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Indent"/>
        <w:pBdr>
          <w:bottom w:val="single" w:sz="8" w:space="1" w:color="auto"/>
        </w:pBdr>
        <w:tabs>
          <w:tab w:val="left" w:pos="1418"/>
          <w:tab w:val="right" w:pos="9639"/>
        </w:tabs>
        <w:spacing w:line="240" w:lineRule="auto"/>
        <w:jc w:val="left"/>
        <w:rPr>
          <w:rFonts w:ascii="Arial" w:hAnsi="Arial"/>
          <w:lang w:val="en-US"/>
        </w:rPr>
      </w:pPr>
      <w:commentRangeStart w:id="0"/>
      <w:r>
        <w:rPr>
          <w:rFonts w:ascii="Arial" w:hAnsi="Arial"/>
          <w:b/>
          <w:sz w:val="6"/>
        </w:rPr>
        <w:t xml:space="preserve">  </w:t>
      </w:r>
      <w:commentRangeEnd w:id="0"/>
      <w:r>
        <w:rPr>
          <w:rStyle w:val="CommentReference"/>
          <w:vanish/>
          <w:color w:val="auto"/>
        </w:rPr>
        <w:commentReference w:id="0"/>
      </w: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TTO/1-3</w:t>
      </w:r>
    </w:p>
    <w:p w:rsidR="00000000" w:rsidRDefault="00000000">
      <w:pPr>
        <w:pStyle w:val="Heading1"/>
        <w:spacing w:before="0" w:after="0"/>
        <w:ind w:left="1304"/>
        <w:jc w:val="left"/>
      </w:pPr>
      <w:r>
        <w:rPr>
          <w:caps/>
          <w:noProof/>
        </w:rPr>
        <w:pict>
          <v:shapetype id="_x0000_t202" coordsize="21600,21600" o:spt="202" path="m,l,21600r21600,l21600,xe">
            <v:stroke joinstyle="miter"/>
            <v:path gradientshapeok="t" o:connecttype="rect"/>
          </v:shapetype>
          <v:shape id="_x0000_s1027" type="#_x0000_t202" style="position:absolute;left:0;text-align:left;margin-left:345.5pt;margin-top:2.65pt;width:103.2pt;height:83.4pt;z-index:2;mso-position-horizontal:absolute;mso-position-horizontal-relative:text;mso-position-vertical:absolute;mso-position-vertical-relative:text" o:allowincell="f" strokecolor="white">
            <v:textbox style="mso-next-textbox:#_x0000_s1027" inset="0,0,0,0">
              <w:txbxContent>
                <w:p w:rsidR="00000000" w:rsidRDefault="00000000">
                  <w:pPr>
                    <w:spacing w:after="0"/>
                  </w:pPr>
                  <w:r>
                    <w:rPr>
                      <w:lang w:val="en-US"/>
                    </w:rPr>
                    <w:t>Distr.: General</w:t>
                  </w:r>
                </w:p>
                <w:p w:rsidR="00000000" w:rsidRDefault="00000000">
                  <w:pPr>
                    <w:spacing w:after="0"/>
                    <w:rPr>
                      <w:lang w:val="en-US"/>
                    </w:rPr>
                  </w:pPr>
                  <w:r>
                    <w:rPr>
                      <w:lang w:val="en-US"/>
                    </w:rPr>
                    <w:t>6 February 2001</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English</w:t>
                  </w:r>
                </w:p>
              </w:txbxContent>
            </v:textbox>
          </v:shape>
        </w:pict>
      </w:r>
      <w:r>
        <w:rPr>
          <w:caps/>
          <w:noProof/>
        </w:rPr>
        <w:pict>
          <v:shape id="_x0000_s1026" type="#_x0000_t202" style="position:absolute;left:0;text-align:left;margin-left:67.45pt;margin-top:3.25pt;width:48.95pt;height:41.85pt;z-index:1;mso-position-horizontal:absolute;mso-position-horizontal-relative:page;mso-position-vertical:absolute;mso-position-vertical-relative:text" o:allowincell="f" strokecolor="white">
            <v:textbox style="mso-next-textbox:#_x0000_s1026" inset="0,0,0,0">
              <w:txbxContent>
                <w:bookmarkStart w:id="1" w:name="_MON_979384112"/>
                <w:bookmarkStart w:id="2" w:name="_MON_1028637953"/>
                <w:bookmarkStart w:id="3" w:name="_MON_1028638124"/>
                <w:bookmarkStart w:id="4" w:name="_MON_1028715977"/>
                <w:bookmarkEnd w:id="1"/>
                <w:bookmarkEnd w:id="2"/>
                <w:bookmarkEnd w:id="3"/>
                <w:bookmarkEnd w:id="4"/>
                <w:p w:rsidR="00000000" w:rsidRDefault="00000000">
                  <w:pPr>
                    <w:spacing w:line="48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8" o:title=""/>
                      </v:shape>
                      <o:OLEObject Type="Embed" ProgID="Word.Picture.8" ShapeID="_x0000_i1025" DrawAspect="Content" ObjectID="_1444042781" r:id="rId9"/>
                    </w:object>
                  </w:r>
                </w:p>
              </w:txbxContent>
            </v:textbox>
            <w10:wrap anchorx="page"/>
          </v:shape>
        </w:pict>
      </w:r>
      <w:r>
        <w:t>Конвенция о ликвидации</w:t>
      </w:r>
      <w:r>
        <w:rPr>
          <w:lang w:val="en-US"/>
        </w:rPr>
        <w:br/>
      </w:r>
      <w:r>
        <w:t>всех форм дискриминации</w:t>
      </w:r>
      <w:r>
        <w:rPr>
          <w:lang w:val="en-US"/>
        </w:rPr>
        <w:br/>
      </w:r>
      <w: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spacing w:after="1080"/>
        <w:jc w:val="left"/>
        <w:rPr>
          <w:caps/>
          <w:sz w:val="24"/>
        </w:rPr>
      </w:pPr>
      <w:r>
        <w:rPr>
          <w:sz w:val="24"/>
        </w:rPr>
        <w:t xml:space="preserve">Комитет по ликвидации дискриминации </w:t>
      </w:r>
      <w:r>
        <w:rPr>
          <w:sz w:val="24"/>
        </w:rPr>
        <w:br/>
        <w:t>в отношении женщин</w:t>
      </w:r>
    </w:p>
    <w:p w:rsidR="00000000" w:rsidRDefault="00000000">
      <w:pPr>
        <w:spacing w:after="600" w:line="240" w:lineRule="auto"/>
        <w:jc w:val="center"/>
        <w:rPr>
          <w:sz w:val="28"/>
        </w:rPr>
      </w:pPr>
      <w:r>
        <w:rPr>
          <w:sz w:val="28"/>
        </w:rPr>
        <w:t xml:space="preserve">Рассмотрение докладов, представленных государствами-участниками в соответствии со </w:t>
      </w:r>
      <w:r>
        <w:rPr>
          <w:sz w:val="28"/>
          <w:lang w:val="en-US"/>
        </w:rPr>
        <w:t>с</w:t>
      </w:r>
      <w:r>
        <w:rPr>
          <w:sz w:val="28"/>
        </w:rPr>
        <w:t xml:space="preserve">татьей 18 Конвенции о ликвидации </w:t>
      </w:r>
      <w:r>
        <w:rPr>
          <w:sz w:val="28"/>
        </w:rPr>
        <w:br/>
        <w:t>всех форм дискриминации в отношении женщин</w:t>
      </w:r>
    </w:p>
    <w:p w:rsidR="00000000" w:rsidRDefault="00000000">
      <w:pPr>
        <w:spacing w:after="1080"/>
        <w:jc w:val="center"/>
        <w:rPr>
          <w:sz w:val="24"/>
          <w:u w:val="single"/>
        </w:rPr>
      </w:pPr>
      <w:r>
        <w:rPr>
          <w:sz w:val="24"/>
          <w:u w:val="single"/>
          <w:lang w:val="en-US"/>
        </w:rPr>
        <w:t>Первоначальные доклады государств-участников</w:t>
      </w:r>
    </w:p>
    <w:p w:rsidR="00000000" w:rsidRDefault="00000000">
      <w:pPr>
        <w:jc w:val="center"/>
        <w:rPr>
          <w:b/>
          <w:sz w:val="28"/>
        </w:rPr>
      </w:pPr>
      <w:r>
        <w:rPr>
          <w:b/>
          <w:sz w:val="28"/>
        </w:rPr>
        <w:t>Тринидад и Тобаго</w:t>
      </w:r>
      <w:r>
        <w:rPr>
          <w:rStyle w:val="FootnoteReference"/>
          <w:b/>
          <w:sz w:val="28"/>
        </w:rPr>
        <w:footnoteReference w:customMarkFollows="1" w:id="1"/>
        <w:t>*</w:t>
      </w:r>
    </w:p>
    <w:p w:rsidR="00000000" w:rsidRDefault="00000000"/>
    <w:p w:rsidR="00000000" w:rsidRDefault="00000000">
      <w:pPr>
        <w:spacing w:after="2000" w:line="240" w:lineRule="auto"/>
        <w:jc w:val="center"/>
      </w:pPr>
      <w:r>
        <w:br w:type="column"/>
      </w:r>
    </w:p>
    <w:p w:rsidR="00000000" w:rsidRDefault="00000000">
      <w:pPr>
        <w:spacing w:after="8000" w:line="240" w:lineRule="auto"/>
        <w:jc w:val="center"/>
        <w:rPr>
          <w:b/>
          <w:sz w:val="28"/>
        </w:rPr>
      </w:pPr>
      <w:r>
        <w:rPr>
          <w:b/>
          <w:sz w:val="28"/>
        </w:rPr>
        <w:t xml:space="preserve">ПЕРВОНАЧАЛЬНЫЙ, ВТОРОЙ И ТРЕТИЙ ПЕРИОДИЧЕСКИЕ ДОКЛАДЫ ТРИНИДАДА И ТОБАГО, ПРЕДСТАВЛЕННЫЕ В СООТВЕТСТВИИ С МЕЖДУНАРОДНОЙ КОНВЕНЦИЕЙ О ЛИКВИДАЦИИ ДИСКРИМИНАЦИИ </w:t>
      </w:r>
      <w:r>
        <w:rPr>
          <w:b/>
          <w:sz w:val="28"/>
        </w:rPr>
        <w:br/>
        <w:t>В ОТНОШЕНИИ ЖЕНЩИН</w:t>
      </w:r>
    </w:p>
    <w:p w:rsidR="00000000" w:rsidRDefault="00000000">
      <w:pPr>
        <w:spacing w:after="0" w:line="240" w:lineRule="auto"/>
        <w:jc w:val="center"/>
        <w:rPr>
          <w:sz w:val="18"/>
          <w:lang w:val="en-US"/>
        </w:rPr>
      </w:pPr>
      <w:r>
        <w:rPr>
          <w:sz w:val="18"/>
          <w:lang w:val="en-US"/>
        </w:rPr>
        <w:t>Human Rights Unit</w:t>
      </w:r>
    </w:p>
    <w:p w:rsidR="00000000" w:rsidRDefault="00000000">
      <w:pPr>
        <w:spacing w:after="0" w:line="240" w:lineRule="auto"/>
        <w:jc w:val="center"/>
        <w:rPr>
          <w:sz w:val="18"/>
          <w:lang w:val="en-US"/>
        </w:rPr>
      </w:pPr>
      <w:r>
        <w:rPr>
          <w:sz w:val="18"/>
          <w:lang w:val="en-US"/>
        </w:rPr>
        <w:t>Ministry of the Attorney General and Legal Affairs</w:t>
      </w:r>
    </w:p>
    <w:p w:rsidR="00000000" w:rsidRDefault="00000000">
      <w:pPr>
        <w:spacing w:after="0" w:line="240" w:lineRule="auto"/>
        <w:jc w:val="center"/>
        <w:rPr>
          <w:sz w:val="18"/>
          <w:lang w:val="en-US"/>
        </w:rPr>
      </w:pPr>
      <w:r>
        <w:rPr>
          <w:sz w:val="18"/>
          <w:lang w:val="en-US"/>
        </w:rPr>
        <w:t>Cabildo Chambers</w:t>
      </w:r>
    </w:p>
    <w:p w:rsidR="00000000" w:rsidRDefault="00000000">
      <w:pPr>
        <w:spacing w:after="0" w:line="240" w:lineRule="auto"/>
        <w:jc w:val="center"/>
        <w:rPr>
          <w:sz w:val="18"/>
          <w:lang w:val="en-US"/>
        </w:rPr>
      </w:pPr>
      <w:r>
        <w:rPr>
          <w:sz w:val="18"/>
          <w:lang w:val="en-US"/>
        </w:rPr>
        <w:t>St. Vincent Street.</w:t>
      </w:r>
    </w:p>
    <w:p w:rsidR="00000000" w:rsidRDefault="00000000">
      <w:pPr>
        <w:spacing w:after="0" w:line="240" w:lineRule="auto"/>
        <w:jc w:val="center"/>
        <w:rPr>
          <w:sz w:val="18"/>
          <w:lang w:val="en-US"/>
        </w:rPr>
        <w:sectPr w:rsidR="00000000">
          <w:headerReference w:type="even" r:id="rId10"/>
          <w:footerReference w:type="even" r:id="rId11"/>
          <w:footerReference w:type="default" r:id="rId12"/>
          <w:footerReference w:type="first" r:id="rId13"/>
          <w:pgSz w:w="12242" w:h="15842" w:code="1"/>
          <w:pgMar w:top="1247" w:right="1298" w:bottom="1531" w:left="1298" w:header="720" w:footer="851" w:gutter="0"/>
          <w:cols w:space="720"/>
          <w:titlePg/>
        </w:sectPr>
      </w:pPr>
      <w:r>
        <w:rPr>
          <w:sz w:val="18"/>
          <w:lang w:val="en-US"/>
        </w:rPr>
        <w:t>Port</w:t>
      </w:r>
      <w:r>
        <w:rPr>
          <w:sz w:val="18"/>
        </w:rPr>
        <w:t>-</w:t>
      </w:r>
      <w:r>
        <w:rPr>
          <w:sz w:val="18"/>
          <w:lang w:val="en-US"/>
        </w:rPr>
        <w:t>of-Spain</w:t>
      </w:r>
    </w:p>
    <w:p w:rsidR="00000000" w:rsidRDefault="00000000">
      <w:pPr>
        <w:pStyle w:val="Heading1"/>
        <w:spacing w:after="360"/>
      </w:pPr>
      <w:r>
        <w:t>СОДЕРЖАНИЕ</w:t>
      </w:r>
    </w:p>
    <w:p w:rsidR="00000000" w:rsidRDefault="00000000">
      <w:pPr>
        <w:spacing w:after="0"/>
        <w:rPr>
          <w:b/>
        </w:rPr>
      </w:pPr>
      <w:r>
        <w:rPr>
          <w:b/>
        </w:rPr>
        <w:t xml:space="preserve">ЧАСТЬ ПЕРВАЯ: ОБЩИЕ СВЕДЕНИЯ: стр. </w:t>
      </w:r>
      <w:r>
        <w:rPr>
          <w:b/>
          <w:lang w:val="en-US"/>
        </w:rPr>
        <w:t>1</w:t>
      </w:r>
      <w:r>
        <w:rPr>
          <w:b/>
        </w:rPr>
        <w:t>–13</w:t>
      </w:r>
    </w:p>
    <w:p w:rsidR="00000000" w:rsidRDefault="00000000">
      <w:pPr>
        <w:spacing w:after="0"/>
        <w:rPr>
          <w:b/>
          <w:lang w:val="en-US"/>
        </w:rPr>
      </w:pPr>
    </w:p>
    <w:p w:rsidR="00000000" w:rsidRDefault="00000000">
      <w:pPr>
        <w:spacing w:after="120"/>
      </w:pPr>
      <w:r>
        <w:rPr>
          <w:lang w:val="en-US"/>
        </w:rPr>
        <w:t>1.</w:t>
      </w:r>
      <w:r>
        <w:rPr>
          <w:b/>
          <w:lang w:val="en-US"/>
        </w:rPr>
        <w:tab/>
      </w:r>
      <w:r>
        <w:rPr>
          <w:b/>
        </w:rPr>
        <w:t>Земля и люди:</w:t>
      </w:r>
      <w:r>
        <w:rPr>
          <w:b/>
          <w:lang w:val="en-US"/>
        </w:rPr>
        <w:t xml:space="preserve"> </w:t>
      </w:r>
      <w:r>
        <w:rPr>
          <w:lang w:val="en-US"/>
        </w:rPr>
        <w:t>стр. 1–3, пункты 1–12</w:t>
      </w:r>
    </w:p>
    <w:p w:rsidR="00000000" w:rsidRDefault="00000000">
      <w:pPr>
        <w:spacing w:after="120"/>
      </w:pPr>
      <w:r>
        <w:rPr>
          <w:lang w:val="en-US"/>
        </w:rPr>
        <w:t>2.</w:t>
      </w:r>
      <w:r>
        <w:rPr>
          <w:b/>
          <w:lang w:val="en-US"/>
        </w:rPr>
        <w:tab/>
      </w:r>
      <w:r>
        <w:rPr>
          <w:b/>
        </w:rPr>
        <w:t xml:space="preserve">Экономика: </w:t>
      </w:r>
      <w:r>
        <w:t>стр. 3–4, пункты 13–24</w:t>
      </w:r>
    </w:p>
    <w:p w:rsidR="00000000" w:rsidRDefault="00000000">
      <w:pPr>
        <w:spacing w:after="120"/>
      </w:pPr>
      <w:r>
        <w:rPr>
          <w:lang w:val="en-US"/>
        </w:rPr>
        <w:t>3.</w:t>
      </w:r>
      <w:r>
        <w:rPr>
          <w:b/>
          <w:lang w:val="en-US"/>
        </w:rPr>
        <w:tab/>
      </w:r>
      <w:r>
        <w:rPr>
          <w:b/>
        </w:rPr>
        <w:t xml:space="preserve">Общая политическая структура: </w:t>
      </w:r>
      <w:r>
        <w:t>стр. 5–6, пункты 25–33</w:t>
      </w:r>
    </w:p>
    <w:p w:rsidR="00000000" w:rsidRDefault="00000000">
      <w:pPr>
        <w:spacing w:after="120"/>
      </w:pPr>
      <w:r>
        <w:rPr>
          <w:lang w:val="en-US"/>
        </w:rPr>
        <w:t>4.</w:t>
      </w:r>
      <w:r>
        <w:rPr>
          <w:b/>
          <w:lang w:val="en-US"/>
        </w:rPr>
        <w:tab/>
      </w:r>
      <w:r>
        <w:rPr>
          <w:b/>
        </w:rPr>
        <w:t xml:space="preserve">Общие правовые рамки защиты прав человека: </w:t>
      </w:r>
      <w:r>
        <w:t>стр. 7–9, пункты 34–46</w:t>
      </w:r>
    </w:p>
    <w:p w:rsidR="00000000" w:rsidRDefault="00000000">
      <w:pPr>
        <w:spacing w:after="120"/>
      </w:pPr>
      <w:r>
        <w:rPr>
          <w:lang w:val="en-US"/>
        </w:rPr>
        <w:t>5.</w:t>
      </w:r>
      <w:r>
        <w:rPr>
          <w:b/>
          <w:lang w:val="en-US"/>
        </w:rPr>
        <w:tab/>
      </w:r>
      <w:r>
        <w:rPr>
          <w:b/>
        </w:rPr>
        <w:t xml:space="preserve">Информация и политика: </w:t>
      </w:r>
      <w:r>
        <w:t>стр. 9–11, пункты 47–51</w:t>
      </w:r>
    </w:p>
    <w:p w:rsidR="00000000" w:rsidRDefault="00000000">
      <w:pPr>
        <w:spacing w:after="120"/>
      </w:pPr>
      <w:r>
        <w:rPr>
          <w:lang w:val="en-US"/>
        </w:rPr>
        <w:t>6.</w:t>
      </w:r>
      <w:r>
        <w:rPr>
          <w:b/>
          <w:lang w:val="en-US"/>
        </w:rPr>
        <w:tab/>
      </w:r>
      <w:r>
        <w:rPr>
          <w:b/>
        </w:rPr>
        <w:t xml:space="preserve">Положение женщин: </w:t>
      </w:r>
      <w:r>
        <w:t xml:space="preserve">стр. 11–13, пункты 52–63 </w:t>
      </w:r>
    </w:p>
    <w:p w:rsidR="00000000" w:rsidRDefault="00000000">
      <w:pPr>
        <w:spacing w:before="240" w:after="360"/>
        <w:rPr>
          <w:b/>
        </w:rPr>
      </w:pPr>
      <w:r>
        <w:rPr>
          <w:b/>
        </w:rPr>
        <w:t>ЧАСТЬ ВТОРАЯ: КОНКРЕТНЫЕ ПОЛОЖЕНИЯ КОНВЕНЦИИ: стр. 14–112</w:t>
      </w:r>
    </w:p>
    <w:p w:rsidR="00000000" w:rsidRDefault="00000000">
      <w:pPr>
        <w:spacing w:after="0"/>
      </w:pPr>
      <w:r>
        <w:t>1.</w:t>
      </w:r>
      <w:r>
        <w:rPr>
          <w:b/>
        </w:rPr>
        <w:tab/>
        <w:t xml:space="preserve">Статья 1 – </w:t>
      </w:r>
      <w:r>
        <w:t>стр. 14–17</w:t>
      </w:r>
    </w:p>
    <w:p w:rsidR="00000000" w:rsidRDefault="00000000">
      <w:pPr>
        <w:spacing w:after="0"/>
        <w:rPr>
          <w:b/>
        </w:rPr>
      </w:pPr>
    </w:p>
    <w:p w:rsidR="00000000" w:rsidRDefault="00000000">
      <w:pPr>
        <w:spacing w:after="120"/>
        <w:ind w:left="680" w:hanging="680"/>
      </w:pPr>
      <w:r>
        <w:rPr>
          <w:b/>
        </w:rPr>
        <w:tab/>
        <w:t>–</w:t>
      </w:r>
      <w:r>
        <w:rPr>
          <w:b/>
        </w:rPr>
        <w:tab/>
        <w:t>Общие правовые рамки запрещения дискриминации по признаку пола в Тринидаде и Тобаго</w:t>
      </w:r>
      <w:r>
        <w:t>: пункты 64–67</w:t>
      </w:r>
    </w:p>
    <w:p w:rsidR="00000000" w:rsidRDefault="00000000">
      <w:pPr>
        <w:spacing w:after="120"/>
        <w:ind w:left="680" w:hanging="680"/>
      </w:pPr>
      <w:r>
        <w:rPr>
          <w:b/>
        </w:rPr>
        <w:tab/>
        <w:t>–</w:t>
      </w:r>
      <w:r>
        <w:rPr>
          <w:b/>
        </w:rPr>
        <w:tab/>
        <w:t>Общие правовые рамки запрещения имеющего гендерную основу насилия в Тринидаде и Тобаго</w:t>
      </w:r>
      <w:r>
        <w:t>: пункты 68–71</w:t>
      </w:r>
    </w:p>
    <w:p w:rsidR="00000000" w:rsidRDefault="00000000">
      <w:pPr>
        <w:spacing w:after="0"/>
        <w:ind w:left="680" w:hanging="680"/>
      </w:pPr>
      <w:r>
        <w:rPr>
          <w:b/>
        </w:rPr>
        <w:tab/>
        <w:t>–</w:t>
      </w:r>
      <w:r>
        <w:rPr>
          <w:b/>
        </w:rPr>
        <w:tab/>
        <w:t>Равенство перед законом</w:t>
      </w:r>
      <w:r>
        <w:t>: пункт 72</w:t>
      </w:r>
    </w:p>
    <w:p w:rsidR="00000000" w:rsidRDefault="00000000">
      <w:pPr>
        <w:spacing w:after="0"/>
      </w:pPr>
    </w:p>
    <w:p w:rsidR="00000000" w:rsidRDefault="00000000">
      <w:pPr>
        <w:spacing w:after="0"/>
      </w:pPr>
    </w:p>
    <w:p w:rsidR="00000000" w:rsidRDefault="00000000">
      <w:pPr>
        <w:spacing w:after="0"/>
      </w:pPr>
      <w:r>
        <w:t>2.</w:t>
      </w:r>
      <w:r>
        <w:rPr>
          <w:b/>
        </w:rPr>
        <w:tab/>
        <w:t xml:space="preserve">Статья 2 </w:t>
      </w:r>
      <w:r>
        <w:t>– стр. 17–24</w:t>
      </w:r>
    </w:p>
    <w:p w:rsidR="00000000" w:rsidRDefault="00000000">
      <w:pPr>
        <w:spacing w:after="0"/>
        <w:rPr>
          <w:b/>
        </w:rPr>
      </w:pPr>
    </w:p>
    <w:p w:rsidR="00000000" w:rsidRDefault="00000000">
      <w:pPr>
        <w:spacing w:after="120"/>
      </w:pPr>
      <w:r>
        <w:rPr>
          <w:b/>
        </w:rPr>
        <w:tab/>
        <w:t>–</w:t>
      </w:r>
      <w:r>
        <w:rPr>
          <w:b/>
        </w:rPr>
        <w:tab/>
        <w:t>Принятие законов, несовместимых с правами человека</w:t>
      </w:r>
      <w:r>
        <w:t>: пункты 73–74</w:t>
      </w:r>
    </w:p>
    <w:p w:rsidR="00000000" w:rsidRDefault="00000000">
      <w:pPr>
        <w:spacing w:after="120"/>
        <w:ind w:left="680" w:hanging="680"/>
      </w:pPr>
      <w:r>
        <w:rPr>
          <w:b/>
        </w:rPr>
        <w:tab/>
        <w:t>–</w:t>
      </w:r>
      <w:r>
        <w:rPr>
          <w:b/>
        </w:rPr>
        <w:tab/>
        <w:t>Правовые средства защиты в случаях нарушения прав человека</w:t>
      </w:r>
      <w:r>
        <w:t>: пункты 75–78</w:t>
      </w:r>
    </w:p>
    <w:p w:rsidR="00000000" w:rsidRDefault="00000000">
      <w:pPr>
        <w:spacing w:after="120"/>
        <w:ind w:left="680" w:hanging="680"/>
      </w:pPr>
      <w:r>
        <w:rPr>
          <w:b/>
        </w:rPr>
        <w:tab/>
        <w:t>–</w:t>
      </w:r>
      <w:r>
        <w:rPr>
          <w:b/>
        </w:rPr>
        <w:tab/>
        <w:t>Правовые структуры, гарантирующие равноправие мужчин и женщин</w:t>
      </w:r>
      <w:r>
        <w:t>: пункты 79–80</w:t>
      </w:r>
    </w:p>
    <w:p w:rsidR="00000000" w:rsidRDefault="00000000">
      <w:pPr>
        <w:spacing w:after="120"/>
        <w:ind w:left="680" w:hanging="680"/>
      </w:pPr>
      <w:r>
        <w:rPr>
          <w:b/>
        </w:rPr>
        <w:tab/>
        <w:t>–</w:t>
      </w:r>
      <w:r>
        <w:rPr>
          <w:b/>
        </w:rPr>
        <w:tab/>
        <w:t>Дела о дискриминации в отношении женщин</w:t>
      </w:r>
      <w:r>
        <w:t>: пункт 81</w:t>
      </w:r>
    </w:p>
    <w:p w:rsidR="00000000" w:rsidRDefault="00000000">
      <w:pPr>
        <w:spacing w:after="120"/>
        <w:ind w:left="680" w:hanging="680"/>
      </w:pPr>
      <w:r>
        <w:rPr>
          <w:b/>
        </w:rPr>
        <w:tab/>
        <w:t>–</w:t>
      </w:r>
      <w:r>
        <w:rPr>
          <w:b/>
        </w:rPr>
        <w:tab/>
        <w:t>Государственная инфраструктура защиты прав человека женщин</w:t>
      </w:r>
      <w:r>
        <w:t>: пункты 82–83</w:t>
      </w:r>
    </w:p>
    <w:p w:rsidR="00000000" w:rsidRDefault="00000000">
      <w:pPr>
        <w:spacing w:after="120"/>
        <w:ind w:left="680" w:hanging="680"/>
      </w:pPr>
      <w:r>
        <w:rPr>
          <w:b/>
        </w:rPr>
        <w:tab/>
        <w:t>–</w:t>
      </w:r>
      <w:r>
        <w:rPr>
          <w:b/>
        </w:rPr>
        <w:tab/>
        <w:t>Службы оказания помощи жертвам насилия, имеющего гендерную основу</w:t>
      </w:r>
      <w:r>
        <w:t>: пункт 84</w:t>
      </w:r>
    </w:p>
    <w:p w:rsidR="00000000" w:rsidRDefault="00000000">
      <w:pPr>
        <w:spacing w:after="120"/>
        <w:ind w:left="680" w:hanging="680"/>
      </w:pPr>
      <w:r>
        <w:rPr>
          <w:b/>
        </w:rPr>
        <w:tab/>
        <w:t>–</w:t>
      </w:r>
      <w:r>
        <w:rPr>
          <w:b/>
        </w:rPr>
        <w:tab/>
        <w:t>Подготовка кадров с учетом гендерной проблематики</w:t>
      </w:r>
      <w:r>
        <w:t>: пункты 85–90, 125, 241</w:t>
      </w:r>
    </w:p>
    <w:p w:rsidR="00000000" w:rsidRDefault="00000000">
      <w:pPr>
        <w:spacing w:after="120"/>
        <w:ind w:left="680" w:hanging="680"/>
      </w:pPr>
      <w:r>
        <w:rPr>
          <w:b/>
        </w:rPr>
        <w:tab/>
        <w:t>–</w:t>
      </w:r>
      <w:r>
        <w:rPr>
          <w:b/>
        </w:rPr>
        <w:tab/>
        <w:t>Законодательство, дискриминационное в отношении женщин</w:t>
      </w:r>
      <w:r>
        <w:t>: пункт 91</w:t>
      </w:r>
    </w:p>
    <w:p w:rsidR="00000000" w:rsidRDefault="00000000">
      <w:pPr>
        <w:spacing w:after="120"/>
        <w:ind w:left="680" w:hanging="680"/>
      </w:pPr>
      <w:r>
        <w:rPr>
          <w:b/>
        </w:rPr>
        <w:tab/>
        <w:t>–</w:t>
      </w:r>
      <w:r>
        <w:rPr>
          <w:b/>
        </w:rPr>
        <w:tab/>
        <w:t>Инициативы по отмене дискриминационного законодательства</w:t>
      </w:r>
      <w:r>
        <w:t>: пункт 92</w:t>
      </w:r>
    </w:p>
    <w:p w:rsidR="00000000" w:rsidRDefault="00000000">
      <w:pPr>
        <w:spacing w:after="0"/>
        <w:ind w:left="680" w:hanging="680"/>
      </w:pPr>
      <w:r>
        <w:rPr>
          <w:b/>
        </w:rPr>
        <w:tab/>
        <w:t>–</w:t>
      </w:r>
      <w:r>
        <w:rPr>
          <w:b/>
        </w:rPr>
        <w:tab/>
        <w:t>Не относящиеся к законодательству препятствия на пути к достижению равноправия мужчин и женщин в Тринидаде и Тобаго</w:t>
      </w:r>
      <w:r>
        <w:t>: пункт 93</w:t>
      </w:r>
    </w:p>
    <w:p w:rsidR="00000000" w:rsidRDefault="00000000">
      <w:pPr>
        <w:spacing w:after="0"/>
      </w:pPr>
    </w:p>
    <w:p w:rsidR="00000000" w:rsidRDefault="00000000">
      <w:pPr>
        <w:spacing w:after="0"/>
      </w:pPr>
    </w:p>
    <w:p w:rsidR="00000000" w:rsidRDefault="00000000">
      <w:pPr>
        <w:spacing w:after="0"/>
      </w:pPr>
      <w:r>
        <w:t>3.</w:t>
      </w:r>
      <w:r>
        <w:tab/>
      </w:r>
      <w:r>
        <w:rPr>
          <w:b/>
        </w:rPr>
        <w:t xml:space="preserve">Статья 3 </w:t>
      </w:r>
      <w:r>
        <w:t>– стр. 24–26</w:t>
      </w:r>
    </w:p>
    <w:p w:rsidR="00000000" w:rsidRDefault="00000000">
      <w:pPr>
        <w:spacing w:after="0"/>
      </w:pPr>
    </w:p>
    <w:p w:rsidR="00000000" w:rsidRDefault="00000000">
      <w:pPr>
        <w:spacing w:after="120"/>
        <w:ind w:left="680" w:hanging="680"/>
      </w:pPr>
      <w:r>
        <w:rPr>
          <w:b/>
        </w:rPr>
        <w:tab/>
        <w:t>–</w:t>
      </w:r>
      <w:r>
        <w:rPr>
          <w:b/>
        </w:rPr>
        <w:tab/>
        <w:t>Отдел гендерных проблем Министерства культуры и гендерных проблем</w:t>
      </w:r>
      <w:r>
        <w:t>: пункт 94</w:t>
      </w:r>
    </w:p>
    <w:p w:rsidR="00000000" w:rsidRDefault="00000000">
      <w:pPr>
        <w:spacing w:after="120"/>
        <w:ind w:left="680" w:hanging="680"/>
      </w:pPr>
      <w:r>
        <w:rPr>
          <w:b/>
        </w:rPr>
        <w:tab/>
        <w:t>–</w:t>
      </w:r>
      <w:r>
        <w:rPr>
          <w:b/>
        </w:rPr>
        <w:tab/>
        <w:t>Управление по вопросам насилия в семье Министерства культуры и гендерных проблем</w:t>
      </w:r>
      <w:r>
        <w:t>: пункт 95</w:t>
      </w:r>
    </w:p>
    <w:p w:rsidR="00000000" w:rsidRDefault="00000000">
      <w:pPr>
        <w:spacing w:after="0"/>
        <w:ind w:left="680" w:hanging="680"/>
      </w:pPr>
      <w:r>
        <w:rPr>
          <w:b/>
        </w:rPr>
        <w:tab/>
        <w:t>–</w:t>
      </w:r>
      <w:r>
        <w:rPr>
          <w:b/>
        </w:rPr>
        <w:tab/>
        <w:t>Инициативы, предпринятые с целью ресоциализации поведения и взаимоотношений в Тринидаде и Тобаго с учетом гендерного фактора</w:t>
      </w:r>
      <w:r>
        <w:t>: пункты 96–101</w:t>
      </w:r>
    </w:p>
    <w:p w:rsidR="00000000" w:rsidRDefault="00000000">
      <w:pPr>
        <w:spacing w:after="0"/>
      </w:pPr>
      <w:r>
        <w:t>4.</w:t>
      </w:r>
      <w:r>
        <w:rPr>
          <w:b/>
        </w:rPr>
        <w:tab/>
        <w:t xml:space="preserve">Статья 4 </w:t>
      </w:r>
      <w:r>
        <w:t>– стр. 26–27</w:t>
      </w:r>
    </w:p>
    <w:p w:rsidR="00000000" w:rsidRDefault="00000000">
      <w:pPr>
        <w:spacing w:after="0"/>
        <w:rPr>
          <w:b/>
        </w:rPr>
      </w:pPr>
    </w:p>
    <w:p w:rsidR="00000000" w:rsidRDefault="00000000">
      <w:pPr>
        <w:spacing w:after="0"/>
      </w:pPr>
      <w:r>
        <w:rPr>
          <w:b/>
        </w:rPr>
        <w:tab/>
        <w:t>–</w:t>
      </w:r>
      <w:r>
        <w:rPr>
          <w:b/>
        </w:rPr>
        <w:tab/>
        <w:t>Конструктивные мероприятия, проведенные в Тринидаде и Тобаго</w:t>
      </w:r>
      <w:r>
        <w:t>: пункты 102–106</w:t>
      </w:r>
    </w:p>
    <w:p w:rsidR="00000000" w:rsidRDefault="00000000">
      <w:pPr>
        <w:spacing w:after="0"/>
      </w:pPr>
    </w:p>
    <w:p w:rsidR="00000000" w:rsidRDefault="00000000">
      <w:pPr>
        <w:spacing w:after="0"/>
      </w:pPr>
    </w:p>
    <w:p w:rsidR="00000000" w:rsidRDefault="00000000">
      <w:pPr>
        <w:spacing w:after="0"/>
      </w:pPr>
      <w:r>
        <w:t>5.</w:t>
      </w:r>
      <w:r>
        <w:rPr>
          <w:b/>
        </w:rPr>
        <w:tab/>
        <w:t xml:space="preserve">Статья 5 </w:t>
      </w:r>
      <w:r>
        <w:t>– стр. 27–42</w:t>
      </w:r>
    </w:p>
    <w:p w:rsidR="00000000" w:rsidRDefault="00000000">
      <w:pPr>
        <w:spacing w:after="0"/>
      </w:pPr>
    </w:p>
    <w:p w:rsidR="00000000" w:rsidRDefault="00000000">
      <w:pPr>
        <w:spacing w:after="120"/>
        <w:ind w:left="680" w:hanging="680"/>
      </w:pPr>
      <w:r>
        <w:rPr>
          <w:b/>
        </w:rPr>
        <w:tab/>
        <w:t>–</w:t>
      </w:r>
      <w:r>
        <w:rPr>
          <w:b/>
        </w:rPr>
        <w:tab/>
        <w:t>Принцип равноправия мужчин и женщин и бытующие в обществе представления</w:t>
      </w:r>
      <w:r>
        <w:t>: пункт 107</w:t>
      </w:r>
    </w:p>
    <w:p w:rsidR="00000000" w:rsidRDefault="00000000">
      <w:pPr>
        <w:spacing w:after="120"/>
        <w:ind w:left="680" w:hanging="680"/>
        <w:rPr>
          <w:b/>
        </w:rPr>
      </w:pPr>
      <w:r>
        <w:rPr>
          <w:b/>
        </w:rPr>
        <w:tab/>
        <w:t>–</w:t>
      </w:r>
      <w:r>
        <w:rPr>
          <w:b/>
        </w:rPr>
        <w:tab/>
        <w:t>Системы выплаты приданого, отказ от жены, покупка невесты, обрезания женщин и насилие в отношении женщин:</w:t>
      </w:r>
      <w:r>
        <w:t xml:space="preserve"> пункт 108</w:t>
      </w:r>
    </w:p>
    <w:p w:rsidR="00000000" w:rsidRDefault="00000000">
      <w:pPr>
        <w:spacing w:after="0"/>
      </w:pPr>
      <w:r>
        <w:rPr>
          <w:b/>
        </w:rPr>
        <w:tab/>
        <w:t>–</w:t>
      </w:r>
      <w:r>
        <w:rPr>
          <w:b/>
        </w:rPr>
        <w:tab/>
        <w:t>Насилие в отношении женщин в Тринидаде и Тобаго</w:t>
      </w:r>
      <w:r>
        <w:t xml:space="preserve">: </w:t>
      </w:r>
    </w:p>
    <w:p w:rsidR="00000000" w:rsidRDefault="00000000">
      <w:pPr>
        <w:spacing w:after="0"/>
      </w:pPr>
    </w:p>
    <w:p w:rsidR="00000000" w:rsidRDefault="00000000">
      <w:pPr>
        <w:spacing w:after="0"/>
      </w:pPr>
    </w:p>
    <w:p w:rsidR="00000000" w:rsidRDefault="00000000">
      <w:pPr>
        <w:spacing w:after="0"/>
        <w:ind w:left="680"/>
      </w:pPr>
      <w:r>
        <w:t>Распространенность: пункты 108–109, 111–112, 115</w:t>
      </w:r>
    </w:p>
    <w:p w:rsidR="00000000" w:rsidRDefault="00000000">
      <w:pPr>
        <w:spacing w:after="0"/>
        <w:ind w:left="680"/>
      </w:pPr>
      <w:r>
        <w:t>Сбор данных: пункты 110–111, 113–114</w:t>
      </w:r>
    </w:p>
    <w:p w:rsidR="00000000" w:rsidRDefault="00000000">
      <w:pPr>
        <w:spacing w:after="0"/>
        <w:ind w:left="680"/>
      </w:pPr>
      <w:r>
        <w:t>Инициативы, предпринятые правительством, по решению проблемы насилия в семье: пункты 116–124</w:t>
      </w:r>
    </w:p>
    <w:p w:rsidR="00000000" w:rsidRDefault="00000000">
      <w:pPr>
        <w:spacing w:after="0"/>
        <w:ind w:left="680"/>
      </w:pPr>
      <w:r>
        <w:t>Инициативы, предпринятые неправительственными организациями, по решению проблемы насилия в отношении женщин: пункты 126–130</w:t>
      </w:r>
    </w:p>
    <w:p w:rsidR="00000000" w:rsidRDefault="00000000">
      <w:pPr>
        <w:spacing w:after="0"/>
        <w:ind w:left="680"/>
      </w:pPr>
      <w:r>
        <w:t>Сексуальное насилие (изнасилование и инцест): пункты 131–137</w:t>
      </w:r>
    </w:p>
    <w:p w:rsidR="00000000" w:rsidRDefault="00000000">
      <w:pPr>
        <w:spacing w:after="0"/>
        <w:ind w:left="680"/>
      </w:pPr>
      <w:r>
        <w:t>Кризисная помощь женщинам – жертвам насилия: пункты 138–141</w:t>
      </w:r>
    </w:p>
    <w:p w:rsidR="00000000" w:rsidRDefault="00000000">
      <w:pPr>
        <w:spacing w:after="0"/>
        <w:ind w:left="680"/>
      </w:pPr>
      <w:r>
        <w:t>Препятствия, с которыми сталкиваются женщины, желающие выйти из ситуации насилия: пункт 142</w:t>
      </w:r>
    </w:p>
    <w:p w:rsidR="00000000" w:rsidRDefault="00000000">
      <w:pPr>
        <w:spacing w:after="0"/>
        <w:ind w:left="680"/>
      </w:pPr>
      <w:r>
        <w:t>Региональные, правительственные, неправительственные и частные агентства, работающие над сокращением и предупреждением насилия в отношении женщин: пункт 143</w:t>
      </w:r>
    </w:p>
    <w:p w:rsidR="00000000" w:rsidRDefault="00000000">
      <w:pPr>
        <w:spacing w:after="0"/>
        <w:ind w:left="680"/>
      </w:pPr>
      <w:r>
        <w:t>Кампании информирования общественности: пункты 144–151</w:t>
      </w:r>
    </w:p>
    <w:p w:rsidR="00000000" w:rsidRDefault="00000000">
      <w:pPr>
        <w:spacing w:after="0"/>
        <w:ind w:left="680"/>
      </w:pPr>
      <w:r>
        <w:t>Правительственное финансирование деятельности по борьбе с насилием и соответствующие расходы: пункты 152–155</w:t>
      </w:r>
    </w:p>
    <w:p w:rsidR="00000000" w:rsidRDefault="00000000">
      <w:pPr>
        <w:spacing w:after="0"/>
        <w:ind w:left="680"/>
      </w:pPr>
      <w:r>
        <w:t>Сексуальные домогательства: пункты 157–159, 288</w:t>
      </w:r>
    </w:p>
    <w:p w:rsidR="00000000" w:rsidRDefault="00000000">
      <w:pPr>
        <w:spacing w:after="0"/>
      </w:pPr>
    </w:p>
    <w:p w:rsidR="00000000" w:rsidRDefault="00000000">
      <w:pPr>
        <w:spacing w:after="120"/>
      </w:pPr>
      <w:r>
        <w:tab/>
        <w:t>–</w:t>
      </w:r>
      <w:r>
        <w:tab/>
      </w:r>
      <w:r>
        <w:rPr>
          <w:b/>
        </w:rPr>
        <w:t>Ответственность за воспитание детей:</w:t>
      </w:r>
      <w:r>
        <w:t xml:space="preserve"> пункты 160–162</w:t>
      </w:r>
    </w:p>
    <w:p w:rsidR="00000000" w:rsidRDefault="00000000">
      <w:pPr>
        <w:spacing w:after="120"/>
      </w:pPr>
      <w:r>
        <w:rPr>
          <w:b/>
        </w:rPr>
        <w:tab/>
        <w:t>–</w:t>
      </w:r>
      <w:r>
        <w:rPr>
          <w:b/>
        </w:rPr>
        <w:tab/>
        <w:t>Участие женщин в работе средств массовой информации:</w:t>
      </w:r>
      <w:r>
        <w:t xml:space="preserve"> пункты 163–164</w:t>
      </w:r>
    </w:p>
    <w:p w:rsidR="00000000" w:rsidRDefault="00000000">
      <w:pPr>
        <w:spacing w:after="120"/>
      </w:pPr>
      <w:r>
        <w:rPr>
          <w:b/>
        </w:rPr>
        <w:tab/>
        <w:t>–</w:t>
      </w:r>
      <w:r>
        <w:rPr>
          <w:b/>
        </w:rPr>
        <w:tab/>
        <w:t xml:space="preserve">Распространение информации о правах женщин: </w:t>
      </w:r>
      <w:r>
        <w:t>пункты 165–169</w:t>
      </w:r>
    </w:p>
    <w:p w:rsidR="00000000" w:rsidRDefault="00000000">
      <w:pPr>
        <w:spacing w:after="0"/>
      </w:pPr>
      <w:r>
        <w:rPr>
          <w:b/>
        </w:rPr>
        <w:tab/>
        <w:t>–</w:t>
      </w:r>
      <w:r>
        <w:rPr>
          <w:b/>
        </w:rPr>
        <w:tab/>
        <w:t>Регулирование работы средств массовой информации:</w:t>
      </w:r>
      <w:r>
        <w:t xml:space="preserve"> пункт 170</w:t>
      </w:r>
    </w:p>
    <w:p w:rsidR="00000000" w:rsidRDefault="00000000">
      <w:pPr>
        <w:spacing w:after="0"/>
        <w:rPr>
          <w:b/>
        </w:rPr>
      </w:pPr>
    </w:p>
    <w:p w:rsidR="00000000" w:rsidRDefault="00000000">
      <w:pPr>
        <w:spacing w:after="0"/>
        <w:rPr>
          <w:b/>
        </w:rPr>
      </w:pPr>
    </w:p>
    <w:p w:rsidR="00000000" w:rsidRDefault="00000000">
      <w:pPr>
        <w:spacing w:after="0"/>
        <w:rPr>
          <w:b/>
        </w:rPr>
      </w:pPr>
      <w:r>
        <w:t>6.</w:t>
      </w:r>
      <w:r>
        <w:rPr>
          <w:b/>
        </w:rPr>
        <w:tab/>
        <w:t xml:space="preserve">Статья 6 – </w:t>
      </w:r>
      <w:r>
        <w:t>стр. 42–46</w:t>
      </w:r>
    </w:p>
    <w:p w:rsidR="00000000" w:rsidRDefault="00000000">
      <w:pPr>
        <w:spacing w:after="0"/>
        <w:rPr>
          <w:b/>
        </w:rPr>
      </w:pPr>
    </w:p>
    <w:p w:rsidR="00000000" w:rsidRDefault="00000000">
      <w:pPr>
        <w:spacing w:after="0"/>
        <w:rPr>
          <w:b/>
        </w:rPr>
      </w:pPr>
      <w:r>
        <w:rPr>
          <w:b/>
        </w:rPr>
        <w:tab/>
        <w:t>–</w:t>
      </w:r>
      <w:r>
        <w:rPr>
          <w:b/>
        </w:rPr>
        <w:tab/>
        <w:t>Сексуальная эксплуатация женщин:</w:t>
      </w:r>
    </w:p>
    <w:p w:rsidR="00000000" w:rsidRDefault="00000000">
      <w:pPr>
        <w:spacing w:after="0"/>
        <w:rPr>
          <w:b/>
        </w:rPr>
      </w:pPr>
    </w:p>
    <w:p w:rsidR="00000000" w:rsidRDefault="00000000">
      <w:pPr>
        <w:spacing w:after="0"/>
        <w:ind w:left="680"/>
      </w:pPr>
      <w:r>
        <w:t>Проституция в Тринидаде и Тобаго: пункты 171–177</w:t>
      </w:r>
    </w:p>
    <w:p w:rsidR="00000000" w:rsidRDefault="00000000">
      <w:pPr>
        <w:spacing w:after="0"/>
        <w:ind w:left="680"/>
      </w:pPr>
      <w:r>
        <w:t>Меры по борьбе с нищетой, неграмотностью и безработицей как форма сокращения проституции: пункты 178–179</w:t>
      </w:r>
    </w:p>
    <w:p w:rsidR="00000000" w:rsidRDefault="00000000">
      <w:pPr>
        <w:spacing w:after="0"/>
        <w:ind w:left="680"/>
      </w:pPr>
      <w:r>
        <w:t>Медицинские услуги, предоставляемые проституткам: пункт 180</w:t>
      </w:r>
    </w:p>
    <w:p w:rsidR="00000000" w:rsidRDefault="00000000">
      <w:pPr>
        <w:spacing w:after="0"/>
        <w:ind w:left="680"/>
      </w:pPr>
      <w:r>
        <w:t>Экзотические танцы: пункт 181</w:t>
      </w:r>
    </w:p>
    <w:p w:rsidR="00000000" w:rsidRDefault="00000000">
      <w:pPr>
        <w:spacing w:after="0"/>
        <w:ind w:left="680"/>
      </w:pPr>
      <w:r>
        <w:t>Меры по борьбе с секс-туризмом и порнографией: пункт 182</w:t>
      </w:r>
    </w:p>
    <w:p w:rsidR="00000000" w:rsidRDefault="00000000">
      <w:pPr>
        <w:spacing w:after="0"/>
      </w:pPr>
    </w:p>
    <w:p w:rsidR="00000000" w:rsidRDefault="00000000">
      <w:pPr>
        <w:spacing w:after="0"/>
      </w:pPr>
    </w:p>
    <w:p w:rsidR="00000000" w:rsidRDefault="00000000">
      <w:pPr>
        <w:spacing w:after="0"/>
        <w:rPr>
          <w:b/>
        </w:rPr>
      </w:pPr>
      <w:r>
        <w:br w:type="page"/>
        <w:t>7.</w:t>
      </w:r>
      <w:r>
        <w:rPr>
          <w:b/>
        </w:rPr>
        <w:tab/>
        <w:t xml:space="preserve">Статья 7 – </w:t>
      </w:r>
      <w:r>
        <w:t>стр. 46–48</w:t>
      </w:r>
    </w:p>
    <w:p w:rsidR="00000000" w:rsidRDefault="00000000">
      <w:pPr>
        <w:spacing w:after="0"/>
      </w:pPr>
    </w:p>
    <w:p w:rsidR="00000000" w:rsidRDefault="00000000">
      <w:pPr>
        <w:spacing w:after="0"/>
        <w:rPr>
          <w:b/>
        </w:rPr>
      </w:pPr>
      <w:r>
        <w:tab/>
        <w:t>–</w:t>
      </w:r>
      <w:r>
        <w:tab/>
      </w:r>
      <w:r>
        <w:rPr>
          <w:b/>
        </w:rPr>
        <w:t>Женщины в роли руководителей и в сфере принятия решений:</w:t>
      </w:r>
    </w:p>
    <w:p w:rsidR="00000000" w:rsidRDefault="00000000">
      <w:pPr>
        <w:spacing w:after="0"/>
      </w:pPr>
    </w:p>
    <w:p w:rsidR="00000000" w:rsidRDefault="00000000">
      <w:pPr>
        <w:spacing w:after="0"/>
        <w:ind w:left="680"/>
      </w:pPr>
      <w:r>
        <w:t>Право вступать в политические партии и выражать политические взгляды: пункт 183</w:t>
      </w:r>
    </w:p>
    <w:p w:rsidR="00000000" w:rsidRDefault="00000000">
      <w:pPr>
        <w:spacing w:after="0"/>
        <w:ind w:left="680"/>
      </w:pPr>
      <w:r>
        <w:t>Женщины в правительстве: пункты 184–190</w:t>
      </w:r>
    </w:p>
    <w:p w:rsidR="00000000" w:rsidRDefault="00000000">
      <w:pPr>
        <w:spacing w:after="0"/>
        <w:ind w:left="680"/>
      </w:pPr>
      <w:r>
        <w:t>Женщины в государственном секторе: пункты 191–192</w:t>
      </w:r>
    </w:p>
    <w:p w:rsidR="00000000" w:rsidRDefault="00000000">
      <w:pPr>
        <w:spacing w:after="0"/>
        <w:ind w:left="680"/>
      </w:pPr>
      <w:r>
        <w:t>Женщины в судебной системе: пункт 193</w:t>
      </w:r>
    </w:p>
    <w:p w:rsidR="00000000" w:rsidRDefault="00000000">
      <w:pPr>
        <w:spacing w:after="0"/>
        <w:ind w:left="680"/>
      </w:pPr>
      <w:r>
        <w:t>Женщины в частном секторе: пункт 194</w:t>
      </w:r>
    </w:p>
    <w:p w:rsidR="00000000" w:rsidRDefault="00000000">
      <w:pPr>
        <w:spacing w:after="0"/>
        <w:ind w:left="680"/>
      </w:pPr>
      <w:r>
        <w:t>Женщины в профсоюзах: пункт 195</w:t>
      </w:r>
    </w:p>
    <w:p w:rsidR="00000000" w:rsidRDefault="00000000">
      <w:pPr>
        <w:spacing w:after="0"/>
      </w:pPr>
    </w:p>
    <w:p w:rsidR="00000000" w:rsidRDefault="00000000">
      <w:pPr>
        <w:spacing w:after="0"/>
      </w:pPr>
    </w:p>
    <w:p w:rsidR="00000000" w:rsidRDefault="00000000">
      <w:pPr>
        <w:spacing w:after="0"/>
        <w:rPr>
          <w:b/>
        </w:rPr>
      </w:pPr>
      <w:r>
        <w:t>8.</w:t>
      </w:r>
      <w:r>
        <w:rPr>
          <w:b/>
        </w:rPr>
        <w:tab/>
        <w:t>Статья 8 –</w:t>
      </w:r>
      <w:r>
        <w:t xml:space="preserve"> стр. 48–49</w:t>
      </w:r>
    </w:p>
    <w:p w:rsidR="00000000" w:rsidRDefault="00000000">
      <w:pPr>
        <w:spacing w:after="0"/>
      </w:pPr>
    </w:p>
    <w:p w:rsidR="00000000" w:rsidRDefault="00000000">
      <w:pPr>
        <w:spacing w:after="0"/>
      </w:pPr>
      <w:r>
        <w:rPr>
          <w:b/>
        </w:rPr>
        <w:tab/>
        <w:t>–</w:t>
      </w:r>
      <w:r>
        <w:rPr>
          <w:b/>
        </w:rPr>
        <w:tab/>
        <w:t>Женщины на дипломатических и других международных постах:</w:t>
      </w:r>
      <w:r>
        <w:t xml:space="preserve"> пункты 196–200</w:t>
      </w:r>
    </w:p>
    <w:p w:rsidR="00000000" w:rsidRDefault="00000000">
      <w:pPr>
        <w:spacing w:after="0"/>
      </w:pPr>
    </w:p>
    <w:p w:rsidR="00000000" w:rsidRDefault="00000000">
      <w:pPr>
        <w:spacing w:after="0"/>
      </w:pPr>
    </w:p>
    <w:p w:rsidR="00000000" w:rsidRDefault="00000000">
      <w:pPr>
        <w:spacing w:after="0"/>
        <w:rPr>
          <w:b/>
        </w:rPr>
      </w:pPr>
      <w:r>
        <w:t>9</w:t>
      </w:r>
      <w:r>
        <w:rPr>
          <w:lang w:val="en-US"/>
        </w:rPr>
        <w:t>.</w:t>
      </w:r>
      <w:r>
        <w:rPr>
          <w:b/>
          <w:lang w:val="en-US"/>
        </w:rPr>
        <w:tab/>
      </w:r>
      <w:r>
        <w:rPr>
          <w:b/>
        </w:rPr>
        <w:t xml:space="preserve">Статья 9 – </w:t>
      </w:r>
      <w:r>
        <w:t>стр. 49–51</w:t>
      </w:r>
    </w:p>
    <w:p w:rsidR="00000000" w:rsidRDefault="00000000">
      <w:pPr>
        <w:spacing w:after="0"/>
      </w:pPr>
    </w:p>
    <w:p w:rsidR="00000000" w:rsidRDefault="00000000">
      <w:pPr>
        <w:spacing w:after="0"/>
        <w:rPr>
          <w:b/>
        </w:rPr>
      </w:pPr>
      <w:r>
        <w:rPr>
          <w:lang w:val="en-US"/>
        </w:rPr>
        <w:tab/>
        <w:t>–</w:t>
      </w:r>
      <w:r>
        <w:rPr>
          <w:lang w:val="en-US"/>
        </w:rPr>
        <w:tab/>
      </w:r>
      <w:r>
        <w:rPr>
          <w:b/>
        </w:rPr>
        <w:t>Право на гражданство:</w:t>
      </w:r>
    </w:p>
    <w:p w:rsidR="00000000" w:rsidRDefault="00000000">
      <w:pPr>
        <w:spacing w:after="0"/>
      </w:pPr>
    </w:p>
    <w:p w:rsidR="00000000" w:rsidRDefault="00000000">
      <w:pPr>
        <w:spacing w:after="0"/>
        <w:ind w:left="680"/>
      </w:pPr>
      <w:r>
        <w:t>Право женщины приобретать, изменять и сохранять свое гражданство: пункты 201–202</w:t>
      </w:r>
    </w:p>
    <w:p w:rsidR="00000000" w:rsidRDefault="00000000">
      <w:pPr>
        <w:spacing w:after="0"/>
        <w:ind w:left="680"/>
      </w:pPr>
      <w:r>
        <w:t>Право женщины передавать свое гражданство детям: пункт 203</w:t>
      </w:r>
    </w:p>
    <w:p w:rsidR="00000000" w:rsidRDefault="00000000">
      <w:pPr>
        <w:spacing w:after="0"/>
        <w:ind w:left="680"/>
      </w:pPr>
      <w:r>
        <w:t>Гражданство и усыновление/удочерение ребенка, родившегося от иностранцев: пункт 204</w:t>
      </w:r>
    </w:p>
    <w:p w:rsidR="00000000" w:rsidRDefault="00000000">
      <w:pPr>
        <w:spacing w:after="0"/>
        <w:ind w:left="680"/>
      </w:pPr>
      <w:r>
        <w:t>Паспорта: пункты 205, 207</w:t>
      </w:r>
    </w:p>
    <w:p w:rsidR="00000000" w:rsidRDefault="00000000">
      <w:pPr>
        <w:spacing w:after="0"/>
        <w:ind w:left="680"/>
      </w:pPr>
      <w:r>
        <w:t>Двойное гражданство: пункт 206</w:t>
      </w:r>
    </w:p>
    <w:p w:rsidR="00000000" w:rsidRDefault="00000000">
      <w:pPr>
        <w:spacing w:after="0"/>
        <w:rPr>
          <w:lang w:val="en-US"/>
        </w:rPr>
      </w:pPr>
    </w:p>
    <w:p w:rsidR="00000000" w:rsidRDefault="00000000">
      <w:pPr>
        <w:spacing w:after="0"/>
        <w:rPr>
          <w:lang w:val="en-US"/>
        </w:rPr>
      </w:pPr>
    </w:p>
    <w:p w:rsidR="00000000" w:rsidRDefault="00000000">
      <w:pPr>
        <w:spacing w:after="0"/>
      </w:pPr>
      <w:r>
        <w:rPr>
          <w:lang w:val="en-US"/>
        </w:rPr>
        <w:t>10.</w:t>
      </w:r>
      <w:r>
        <w:rPr>
          <w:b/>
          <w:lang w:val="en-US"/>
        </w:rPr>
        <w:tab/>
      </w:r>
      <w:r>
        <w:rPr>
          <w:b/>
        </w:rPr>
        <w:t xml:space="preserve">Статья 10 – </w:t>
      </w:r>
      <w:r>
        <w:t>стр. 51–59</w:t>
      </w:r>
    </w:p>
    <w:p w:rsidR="00000000" w:rsidRDefault="00000000">
      <w:pPr>
        <w:spacing w:after="0"/>
      </w:pPr>
    </w:p>
    <w:p w:rsidR="00000000" w:rsidRDefault="00000000">
      <w:pPr>
        <w:spacing w:after="0"/>
      </w:pPr>
      <w:r>
        <w:rPr>
          <w:lang w:val="en-US"/>
        </w:rPr>
        <w:tab/>
        <w:t>–</w:t>
      </w:r>
      <w:r>
        <w:rPr>
          <w:lang w:val="en-US"/>
        </w:rPr>
        <w:tab/>
      </w:r>
      <w:r>
        <w:rPr>
          <w:b/>
        </w:rPr>
        <w:t>Право на образование</w:t>
      </w:r>
    </w:p>
    <w:p w:rsidR="00000000" w:rsidRDefault="00000000">
      <w:pPr>
        <w:spacing w:after="0"/>
      </w:pPr>
    </w:p>
    <w:p w:rsidR="00000000" w:rsidRDefault="00000000">
      <w:pPr>
        <w:spacing w:after="0"/>
        <w:ind w:left="680"/>
      </w:pPr>
      <w:r>
        <w:t>Система образования в Тринидаде и Тобаго: пункты 208–209</w:t>
      </w:r>
    </w:p>
    <w:p w:rsidR="00000000" w:rsidRDefault="00000000">
      <w:pPr>
        <w:spacing w:after="0"/>
        <w:ind w:left="680"/>
      </w:pPr>
      <w:r>
        <w:t>Равный доступ к сдаче одних и тех же экзаменов, обеспечение преподавательским составом одинаковой квалификации, школьными зданиями и оборудованием одинакового качества: пункты 210–211</w:t>
      </w:r>
    </w:p>
    <w:p w:rsidR="00000000" w:rsidRDefault="00000000">
      <w:pPr>
        <w:spacing w:after="0"/>
        <w:ind w:left="680"/>
      </w:pPr>
      <w:r>
        <w:t>Обязательное образование: пункт 212</w:t>
      </w:r>
    </w:p>
    <w:p w:rsidR="00000000" w:rsidRDefault="00000000">
      <w:pPr>
        <w:spacing w:after="0"/>
        <w:ind w:left="680"/>
      </w:pPr>
      <w:r>
        <w:t>Государственная политика: пункты 213–214</w:t>
      </w:r>
    </w:p>
    <w:p w:rsidR="00000000" w:rsidRDefault="00000000">
      <w:pPr>
        <w:spacing w:after="0"/>
        <w:ind w:left="680"/>
      </w:pPr>
      <w:r>
        <w:t>Статистические данные о контингенте учащихся: пункт 215</w:t>
      </w:r>
    </w:p>
    <w:p w:rsidR="00000000" w:rsidRDefault="00000000">
      <w:pPr>
        <w:spacing w:after="0"/>
        <w:ind w:left="680"/>
      </w:pPr>
      <w:r>
        <w:t>Высшее образование: пункты 216–218</w:t>
      </w:r>
    </w:p>
    <w:p w:rsidR="00000000" w:rsidRDefault="00000000">
      <w:pPr>
        <w:spacing w:after="0"/>
        <w:ind w:left="680"/>
      </w:pPr>
      <w:r>
        <w:t>Профессионально-техническое обучение: пункты 219–225</w:t>
      </w:r>
    </w:p>
    <w:p w:rsidR="00000000" w:rsidRDefault="00000000">
      <w:pPr>
        <w:spacing w:after="0"/>
        <w:ind w:left="680"/>
      </w:pPr>
      <w:r>
        <w:t>Возможность получения стипендий: пункты 226–227</w:t>
      </w:r>
    </w:p>
    <w:p w:rsidR="00000000" w:rsidRDefault="00000000">
      <w:pPr>
        <w:spacing w:after="0"/>
        <w:ind w:left="680"/>
        <w:rPr>
          <w:lang w:val="en-US"/>
        </w:rPr>
      </w:pPr>
      <w:r>
        <w:t>Грамотность: пункты 228–229</w:t>
      </w:r>
    </w:p>
    <w:p w:rsidR="00000000" w:rsidRDefault="00000000">
      <w:pPr>
        <w:spacing w:after="0"/>
        <w:ind w:left="680"/>
      </w:pPr>
      <w:r>
        <w:t>Коэффициент отчисленных из учебных заведений: пункты 230–231</w:t>
      </w:r>
    </w:p>
    <w:p w:rsidR="00000000" w:rsidRDefault="00000000">
      <w:pPr>
        <w:spacing w:after="0"/>
        <w:ind w:left="680"/>
      </w:pPr>
      <w:r>
        <w:t>Политика в отношении беременных и замужних студенток: пункт 232</w:t>
      </w:r>
    </w:p>
    <w:p w:rsidR="00000000" w:rsidRDefault="00000000">
      <w:pPr>
        <w:spacing w:after="0"/>
        <w:ind w:left="680"/>
      </w:pPr>
      <w:r>
        <w:t>Непрерывное образование: пункты 233–234</w:t>
      </w:r>
    </w:p>
    <w:p w:rsidR="00000000" w:rsidRDefault="00000000">
      <w:pPr>
        <w:spacing w:after="0"/>
        <w:ind w:left="680"/>
      </w:pPr>
      <w:r>
        <w:t>Образование, предоставляемое через неправительственные организации: пункты 235–237</w:t>
      </w:r>
    </w:p>
    <w:p w:rsidR="00000000" w:rsidRDefault="00000000">
      <w:pPr>
        <w:spacing w:after="0"/>
        <w:ind w:left="680"/>
      </w:pPr>
      <w:r>
        <w:t>Физическое воспитание: пункты 238–240</w:t>
      </w:r>
    </w:p>
    <w:p w:rsidR="00000000" w:rsidRDefault="00000000">
      <w:pPr>
        <w:spacing w:after="0"/>
        <w:ind w:left="680"/>
      </w:pPr>
      <w:r>
        <w:t>Подготовка преподавателей с учетом гендерного фактора: пункт 241</w:t>
      </w:r>
    </w:p>
    <w:p w:rsidR="00000000" w:rsidRDefault="00000000">
      <w:pPr>
        <w:spacing w:after="0"/>
        <w:ind w:left="680"/>
      </w:pPr>
      <w:r>
        <w:t>Образование в области планирования семьи: пункты 242–243</w:t>
      </w:r>
    </w:p>
    <w:p w:rsidR="00000000" w:rsidRDefault="00000000">
      <w:pPr>
        <w:spacing w:after="0"/>
      </w:pPr>
    </w:p>
    <w:p w:rsidR="00000000" w:rsidRDefault="00000000">
      <w:pPr>
        <w:spacing w:after="0"/>
      </w:pPr>
      <w:r>
        <w:rPr>
          <w:b/>
        </w:rPr>
        <w:br w:type="page"/>
      </w:r>
      <w:r>
        <w:rPr>
          <w:lang w:val="en-US"/>
        </w:rPr>
        <w:t>11.</w:t>
      </w:r>
      <w:r>
        <w:rPr>
          <w:b/>
          <w:lang w:val="en-US"/>
        </w:rPr>
        <w:tab/>
      </w:r>
      <w:r>
        <w:rPr>
          <w:b/>
        </w:rPr>
        <w:t xml:space="preserve">Статья 11 – </w:t>
      </w:r>
      <w:r>
        <w:t>стр. 59–74</w:t>
      </w:r>
    </w:p>
    <w:p w:rsidR="00000000" w:rsidRDefault="00000000">
      <w:pPr>
        <w:spacing w:after="0"/>
      </w:pPr>
    </w:p>
    <w:p w:rsidR="00000000" w:rsidRDefault="00000000">
      <w:pPr>
        <w:spacing w:after="0"/>
        <w:rPr>
          <w:b/>
        </w:rPr>
      </w:pPr>
      <w:r>
        <w:rPr>
          <w:lang w:val="en-US"/>
        </w:rPr>
        <w:tab/>
        <w:t>–</w:t>
      </w:r>
      <w:r>
        <w:rPr>
          <w:lang w:val="en-US"/>
        </w:rPr>
        <w:tab/>
      </w:r>
      <w:r>
        <w:rPr>
          <w:b/>
        </w:rPr>
        <w:t>Право на труд</w:t>
      </w:r>
    </w:p>
    <w:p w:rsidR="00000000" w:rsidRDefault="00000000">
      <w:pPr>
        <w:spacing w:after="0"/>
      </w:pPr>
    </w:p>
    <w:p w:rsidR="00000000" w:rsidRDefault="00000000">
      <w:pPr>
        <w:spacing w:after="0"/>
        <w:ind w:left="680"/>
      </w:pPr>
      <w:r>
        <w:t>Конституция: пункт 244</w:t>
      </w:r>
    </w:p>
    <w:p w:rsidR="00000000" w:rsidRDefault="00000000">
      <w:pPr>
        <w:spacing w:after="0"/>
        <w:ind w:left="680"/>
      </w:pPr>
      <w:r>
        <w:t>Нерезиденты: пункт 245</w:t>
      </w:r>
    </w:p>
    <w:p w:rsidR="00000000" w:rsidRDefault="00000000">
      <w:pPr>
        <w:spacing w:after="0"/>
        <w:ind w:left="680"/>
      </w:pPr>
      <w:r>
        <w:t>Практика приема на работу: пункт 246</w:t>
      </w:r>
    </w:p>
    <w:p w:rsidR="00000000" w:rsidRDefault="00000000">
      <w:pPr>
        <w:spacing w:after="0"/>
        <w:ind w:left="680"/>
      </w:pPr>
      <w:r>
        <w:t>Министерство труда и кооперативов: пункты 247–251</w:t>
      </w:r>
    </w:p>
    <w:p w:rsidR="00000000" w:rsidRDefault="00000000">
      <w:pPr>
        <w:spacing w:after="0"/>
        <w:ind w:left="680"/>
      </w:pPr>
      <w:r>
        <w:t>Проект по созданию центра заочного обучения на базе общины: пункт 252</w:t>
      </w:r>
    </w:p>
    <w:p w:rsidR="00000000" w:rsidRDefault="00000000">
      <w:pPr>
        <w:spacing w:after="0"/>
        <w:ind w:left="680"/>
      </w:pPr>
      <w:r>
        <w:t>Экономика: пункт 253</w:t>
      </w:r>
    </w:p>
    <w:p w:rsidR="00000000" w:rsidRDefault="00000000">
      <w:pPr>
        <w:spacing w:after="0"/>
        <w:ind w:left="680"/>
      </w:pPr>
      <w:r>
        <w:t>Участие женщин в рабочей силе: пункты 254–256</w:t>
      </w:r>
    </w:p>
    <w:p w:rsidR="00000000" w:rsidRDefault="00000000">
      <w:pPr>
        <w:spacing w:after="0"/>
        <w:ind w:left="680"/>
      </w:pPr>
      <w:r>
        <w:t>Женская безработица: пункты 257–260</w:t>
      </w:r>
    </w:p>
    <w:p w:rsidR="00000000" w:rsidRDefault="00000000">
      <w:pPr>
        <w:spacing w:after="0"/>
        <w:ind w:left="680"/>
      </w:pPr>
      <w:r>
        <w:t>Условия и обстоятельства занятости: пункты 261, 276–278</w:t>
      </w:r>
    </w:p>
    <w:p w:rsidR="00000000" w:rsidRDefault="00000000">
      <w:pPr>
        <w:spacing w:after="0"/>
        <w:ind w:left="680"/>
      </w:pPr>
      <w:r>
        <w:t>Надомные работники: пункты 262–263, 290</w:t>
      </w:r>
    </w:p>
    <w:p w:rsidR="00000000" w:rsidRDefault="00000000">
      <w:pPr>
        <w:spacing w:after="0"/>
        <w:ind w:left="680"/>
      </w:pPr>
      <w:r>
        <w:t>Женщины, занятые на оплачиваемой работе: пункт 264</w:t>
      </w:r>
    </w:p>
    <w:p w:rsidR="00000000" w:rsidRDefault="00000000">
      <w:pPr>
        <w:spacing w:after="0"/>
        <w:ind w:left="680"/>
      </w:pPr>
      <w:r>
        <w:t>Женщины, выполняющие неоплачиваемую работу: пункт 265–266</w:t>
      </w:r>
    </w:p>
    <w:p w:rsidR="00000000" w:rsidRDefault="00000000">
      <w:pPr>
        <w:spacing w:after="0"/>
        <w:ind w:left="680"/>
      </w:pPr>
      <w:r>
        <w:t>Профессиональная подготовка женщин: пункты 267–269</w:t>
      </w:r>
    </w:p>
    <w:p w:rsidR="00000000" w:rsidRDefault="00000000">
      <w:pPr>
        <w:spacing w:after="0"/>
        <w:ind w:left="680"/>
      </w:pPr>
      <w:r>
        <w:t>Уровень дохода женщин: пункты 270–272</w:t>
      </w:r>
    </w:p>
    <w:p w:rsidR="00000000" w:rsidRDefault="00000000">
      <w:pPr>
        <w:spacing w:after="0"/>
        <w:ind w:left="680"/>
      </w:pPr>
      <w:r>
        <w:t>Дискриминация: пункты 273–275</w:t>
      </w:r>
    </w:p>
    <w:p w:rsidR="00000000" w:rsidRDefault="00000000">
      <w:pPr>
        <w:spacing w:after="0"/>
        <w:ind w:left="680"/>
      </w:pPr>
      <w:r>
        <w:t>Минимальная заработная плата: пункт 279</w:t>
      </w:r>
    </w:p>
    <w:p w:rsidR="00000000" w:rsidRDefault="00000000">
      <w:pPr>
        <w:spacing w:after="0"/>
        <w:ind w:left="680"/>
      </w:pPr>
      <w:r>
        <w:t>Женщины, занятые предпринимательской деятельностью: пункты 280–281, 407–409</w:t>
      </w:r>
    </w:p>
    <w:p w:rsidR="00000000" w:rsidRDefault="00000000">
      <w:pPr>
        <w:spacing w:after="0"/>
        <w:ind w:left="680"/>
      </w:pPr>
      <w:r>
        <w:t>Рассмотрение потребностей и проблем женщин при разработке практических мероприятий в области занятости: пункт 282</w:t>
      </w:r>
    </w:p>
    <w:p w:rsidR="00000000" w:rsidRDefault="00000000">
      <w:pPr>
        <w:spacing w:after="0"/>
        <w:ind w:left="680"/>
      </w:pPr>
      <w:r>
        <w:t>Оповещение о наличии рабочих мест с учетом гендерного фактора; практика найма на работу и обычаи: пункт 283</w:t>
      </w:r>
    </w:p>
    <w:p w:rsidR="00000000" w:rsidRDefault="00000000">
      <w:pPr>
        <w:spacing w:after="0"/>
        <w:ind w:left="680"/>
      </w:pPr>
      <w:r>
        <w:t>Право на равную плату за труд равной ценности: пункты 284–287</w:t>
      </w:r>
    </w:p>
    <w:p w:rsidR="00000000" w:rsidRDefault="00000000">
      <w:pPr>
        <w:spacing w:after="0"/>
        <w:ind w:left="680"/>
      </w:pPr>
      <w:r>
        <w:t>Сексуальное домогательство: пункты 156–159, 288</w:t>
      </w:r>
    </w:p>
    <w:p w:rsidR="00000000" w:rsidRDefault="00000000">
      <w:pPr>
        <w:spacing w:after="0"/>
        <w:ind w:left="680"/>
      </w:pPr>
      <w:r>
        <w:t>Безопасность, здоровье и благополучие женщин на рабочем месте: пункты 289–290</w:t>
      </w:r>
    </w:p>
    <w:p w:rsidR="00000000" w:rsidRDefault="00000000">
      <w:pPr>
        <w:spacing w:after="0"/>
        <w:ind w:left="680"/>
      </w:pPr>
      <w:r>
        <w:t>Охрана материнства: пункты 291–302</w:t>
      </w:r>
    </w:p>
    <w:p w:rsidR="00000000" w:rsidRDefault="00000000">
      <w:pPr>
        <w:spacing w:after="0"/>
        <w:ind w:left="680"/>
      </w:pPr>
      <w:r>
        <w:t>Обеспечение детскими учреждениями работающих матерей: пункт 303</w:t>
      </w:r>
    </w:p>
    <w:p w:rsidR="00000000" w:rsidRDefault="00000000">
      <w:pPr>
        <w:spacing w:after="0"/>
        <w:ind w:left="680"/>
      </w:pPr>
      <w:r>
        <w:t>Обеспеченность работой и семейное положение: пункт 304</w:t>
      </w:r>
    </w:p>
    <w:p w:rsidR="00000000" w:rsidRDefault="00000000">
      <w:pPr>
        <w:spacing w:after="0"/>
        <w:ind w:left="680"/>
      </w:pPr>
      <w:r>
        <w:t>Законопроект об основных условиях труда 2000 года: пункты 305–306</w:t>
      </w:r>
    </w:p>
    <w:p w:rsidR="00000000" w:rsidRDefault="00000000">
      <w:pPr>
        <w:spacing w:after="0"/>
        <w:rPr>
          <w:lang w:val="en-US"/>
        </w:rPr>
      </w:pPr>
    </w:p>
    <w:p w:rsidR="00000000" w:rsidRDefault="00000000">
      <w:pPr>
        <w:spacing w:after="0"/>
        <w:rPr>
          <w:lang w:val="en-US"/>
        </w:rPr>
      </w:pPr>
    </w:p>
    <w:p w:rsidR="00000000" w:rsidRDefault="00000000">
      <w:pPr>
        <w:spacing w:after="0"/>
      </w:pPr>
      <w:r>
        <w:rPr>
          <w:lang w:val="en-US"/>
        </w:rPr>
        <w:t>12.</w:t>
      </w:r>
      <w:r>
        <w:rPr>
          <w:b/>
          <w:lang w:val="en-US"/>
        </w:rPr>
        <w:tab/>
      </w:r>
      <w:r>
        <w:rPr>
          <w:b/>
        </w:rPr>
        <w:t xml:space="preserve">Статья 12 – </w:t>
      </w:r>
      <w:r>
        <w:t>стр. 74–93</w:t>
      </w:r>
    </w:p>
    <w:p w:rsidR="00000000" w:rsidRDefault="00000000">
      <w:pPr>
        <w:spacing w:after="0"/>
      </w:pPr>
    </w:p>
    <w:p w:rsidR="00000000" w:rsidRDefault="00000000">
      <w:pPr>
        <w:spacing w:after="0"/>
      </w:pPr>
      <w:r>
        <w:rPr>
          <w:lang w:val="en-US"/>
        </w:rPr>
        <w:tab/>
        <w:t>–</w:t>
      </w:r>
      <w:r>
        <w:rPr>
          <w:lang w:val="en-US"/>
        </w:rPr>
        <w:tab/>
      </w:r>
      <w:r>
        <w:rPr>
          <w:b/>
        </w:rPr>
        <w:t>Право на охрану здоровья</w:t>
      </w:r>
    </w:p>
    <w:p w:rsidR="00000000" w:rsidRDefault="00000000">
      <w:pPr>
        <w:spacing w:after="0"/>
      </w:pPr>
    </w:p>
    <w:p w:rsidR="00000000" w:rsidRDefault="00000000">
      <w:pPr>
        <w:spacing w:after="0"/>
        <w:ind w:left="680"/>
      </w:pPr>
      <w:r>
        <w:t>Система общественного здравоохранения: пункты 307–320</w:t>
      </w:r>
    </w:p>
    <w:p w:rsidR="00000000" w:rsidRDefault="00000000">
      <w:pPr>
        <w:spacing w:after="0"/>
        <w:ind w:left="680"/>
      </w:pPr>
      <w:r>
        <w:t>Охрана здоровья женщин: пункты 321–323, 327–329</w:t>
      </w:r>
    </w:p>
    <w:p w:rsidR="00000000" w:rsidRDefault="00000000">
      <w:pPr>
        <w:spacing w:after="0"/>
        <w:ind w:left="680"/>
      </w:pPr>
      <w:r>
        <w:t>Коэффициенты фертильности, смертности и другие показатели: пункты 324–326</w:t>
      </w:r>
    </w:p>
    <w:p w:rsidR="00000000" w:rsidRDefault="00000000">
      <w:pPr>
        <w:spacing w:after="0"/>
        <w:ind w:left="680"/>
      </w:pPr>
      <w:r>
        <w:t>Предоставление первичной медико-санитарной помощи: пункты 330–336</w:t>
      </w:r>
    </w:p>
    <w:p w:rsidR="00000000" w:rsidRDefault="00000000">
      <w:pPr>
        <w:spacing w:after="0"/>
        <w:ind w:left="680"/>
      </w:pPr>
      <w:r>
        <w:t>Подростковая беременность: пункты 337–339</w:t>
      </w:r>
    </w:p>
    <w:p w:rsidR="00000000" w:rsidRDefault="00000000">
      <w:pPr>
        <w:spacing w:after="0"/>
        <w:ind w:left="680"/>
      </w:pPr>
      <w:r>
        <w:t>Планирование семьи: пункты 340–350</w:t>
      </w:r>
    </w:p>
    <w:p w:rsidR="00000000" w:rsidRDefault="00000000">
      <w:pPr>
        <w:spacing w:after="0"/>
        <w:ind w:left="680"/>
      </w:pPr>
      <w:r>
        <w:t>Аборт: пункты 351–354</w:t>
      </w:r>
    </w:p>
    <w:p w:rsidR="00000000" w:rsidRDefault="00000000">
      <w:pPr>
        <w:spacing w:after="0"/>
        <w:ind w:left="680"/>
      </w:pPr>
      <w:r>
        <w:t>Алкогольная и наркотическая зависимость: пункты 355–371</w:t>
      </w:r>
    </w:p>
    <w:p w:rsidR="00000000" w:rsidRDefault="00000000">
      <w:pPr>
        <w:spacing w:after="0"/>
        <w:ind w:left="680"/>
      </w:pPr>
      <w:r>
        <w:t>Ситуация в области ВИЧ/СПИДа: пункты 372–376</w:t>
      </w:r>
    </w:p>
    <w:p w:rsidR="00000000" w:rsidRDefault="00000000">
      <w:pPr>
        <w:spacing w:after="0"/>
        <w:ind w:left="680"/>
      </w:pPr>
      <w:r>
        <w:t>Меры по сокращению заболеваемости ВИЧ/СПИДом: пункты 377–379</w:t>
      </w:r>
    </w:p>
    <w:p w:rsidR="00000000" w:rsidRDefault="00000000">
      <w:pPr>
        <w:spacing w:after="0"/>
        <w:ind w:left="680"/>
      </w:pPr>
      <w:r>
        <w:t>Меры по предотвращению дискриминации по факту заболевания ВИЧ/СПИДом: пункты 380–381</w:t>
      </w:r>
    </w:p>
    <w:p w:rsidR="00000000" w:rsidRDefault="00000000">
      <w:pPr>
        <w:spacing w:after="0"/>
        <w:ind w:left="680"/>
      </w:pPr>
      <w:r>
        <w:t>Инициативы по поддержке лиц, инфицированных ВИЧ/СПИДом: пункты 382–383</w:t>
      </w:r>
    </w:p>
    <w:p w:rsidR="00000000" w:rsidRDefault="00000000">
      <w:pPr>
        <w:spacing w:after="0"/>
        <w:ind w:left="680"/>
      </w:pPr>
      <w:r>
        <w:t>Программа для беременных женщин, инфицированных ВИЧ/СПИДом: пункт 384</w:t>
      </w:r>
    </w:p>
    <w:p w:rsidR="00000000" w:rsidRDefault="00000000">
      <w:pPr>
        <w:spacing w:after="0"/>
        <w:ind w:left="680"/>
      </w:pPr>
      <w:r>
        <w:t>Сексуальное поведение и просвещение по вопросам секса: пункты 385–387</w:t>
      </w:r>
    </w:p>
    <w:p w:rsidR="00000000" w:rsidRDefault="00000000">
      <w:pPr>
        <w:spacing w:after="0"/>
        <w:ind w:left="680"/>
      </w:pPr>
      <w:r>
        <w:t>Несчастные случаи на производстве и профессиональные заболевания среди женщин: пункт 388</w:t>
      </w:r>
    </w:p>
    <w:p w:rsidR="00000000" w:rsidRDefault="00000000">
      <w:pPr>
        <w:spacing w:after="0"/>
      </w:pPr>
    </w:p>
    <w:p w:rsidR="00000000" w:rsidRDefault="00000000">
      <w:pPr>
        <w:spacing w:after="0"/>
      </w:pPr>
      <w:r>
        <w:rPr>
          <w:lang w:val="en-US"/>
        </w:rPr>
        <w:t>13.</w:t>
      </w:r>
      <w:r>
        <w:rPr>
          <w:b/>
          <w:lang w:val="en-US"/>
        </w:rPr>
        <w:tab/>
      </w:r>
      <w:r>
        <w:rPr>
          <w:b/>
        </w:rPr>
        <w:t xml:space="preserve">Статья 13 – </w:t>
      </w:r>
      <w:r>
        <w:t>стр. 93–99</w:t>
      </w:r>
    </w:p>
    <w:p w:rsidR="00000000" w:rsidRDefault="00000000">
      <w:pPr>
        <w:spacing w:after="0"/>
      </w:pPr>
    </w:p>
    <w:p w:rsidR="00000000" w:rsidRDefault="00000000">
      <w:pPr>
        <w:spacing w:after="0"/>
        <w:rPr>
          <w:b/>
        </w:rPr>
      </w:pPr>
      <w:r>
        <w:rPr>
          <w:lang w:val="en-US"/>
        </w:rPr>
        <w:tab/>
        <w:t>–</w:t>
      </w:r>
      <w:r>
        <w:rPr>
          <w:lang w:val="en-US"/>
        </w:rPr>
        <w:tab/>
      </w:r>
      <w:r>
        <w:rPr>
          <w:b/>
        </w:rPr>
        <w:t>Право на доступ к социальным службам:</w:t>
      </w:r>
    </w:p>
    <w:p w:rsidR="00000000" w:rsidRDefault="00000000">
      <w:pPr>
        <w:spacing w:after="0"/>
      </w:pPr>
    </w:p>
    <w:p w:rsidR="00000000" w:rsidRDefault="00000000">
      <w:pPr>
        <w:spacing w:after="0"/>
        <w:ind w:left="680"/>
      </w:pPr>
      <w:r>
        <w:t>Схемы оказания социальной помощи: пункты 389–401</w:t>
      </w:r>
    </w:p>
    <w:p w:rsidR="00000000" w:rsidRDefault="00000000">
      <w:pPr>
        <w:spacing w:after="0"/>
        <w:ind w:left="680"/>
      </w:pPr>
      <w:r>
        <w:t>Домохозяйства, возглавляемые женщинами: пункт 402</w:t>
      </w:r>
    </w:p>
    <w:p w:rsidR="00000000" w:rsidRDefault="00000000">
      <w:pPr>
        <w:spacing w:after="0"/>
        <w:ind w:left="680"/>
      </w:pPr>
      <w:r>
        <w:t>Право на адекватный уровень жизни: пункты 403–404</w:t>
      </w:r>
    </w:p>
    <w:p w:rsidR="00000000" w:rsidRDefault="00000000">
      <w:pPr>
        <w:spacing w:after="0"/>
        <w:ind w:left="680"/>
      </w:pPr>
      <w:r>
        <w:t>Инициативы, предпринятые неправительственными организациями: пункт 405</w:t>
      </w:r>
    </w:p>
    <w:p w:rsidR="00000000" w:rsidRDefault="00000000">
      <w:pPr>
        <w:spacing w:after="0"/>
      </w:pPr>
    </w:p>
    <w:p w:rsidR="00000000" w:rsidRDefault="00000000">
      <w:pPr>
        <w:spacing w:after="0"/>
        <w:rPr>
          <w:b/>
        </w:rPr>
      </w:pPr>
      <w:r>
        <w:rPr>
          <w:lang w:val="en-US"/>
        </w:rPr>
        <w:tab/>
        <w:t>–</w:t>
      </w:r>
      <w:r>
        <w:rPr>
          <w:lang w:val="en-US"/>
        </w:rPr>
        <w:tab/>
      </w:r>
      <w:r>
        <w:rPr>
          <w:b/>
        </w:rPr>
        <w:t>Право на получение кредита:</w:t>
      </w:r>
    </w:p>
    <w:p w:rsidR="00000000" w:rsidRDefault="00000000">
      <w:pPr>
        <w:spacing w:after="0"/>
      </w:pPr>
    </w:p>
    <w:p w:rsidR="00000000" w:rsidRDefault="00000000">
      <w:pPr>
        <w:spacing w:after="0"/>
        <w:ind w:left="680"/>
      </w:pPr>
      <w:r>
        <w:t xml:space="preserve">Доступ к банковским займам, ссудам под недвижимость и другим формам кредита: пункты 406, </w:t>
      </w:r>
      <w:r>
        <w:br/>
        <w:t>410–413</w:t>
      </w:r>
    </w:p>
    <w:p w:rsidR="00000000" w:rsidRDefault="00000000">
      <w:pPr>
        <w:spacing w:after="0"/>
        <w:ind w:left="680"/>
      </w:pPr>
      <w:r>
        <w:t>Женщины, занятые предпринимательской деятельностью: пункты 280–281, 407–409</w:t>
      </w:r>
    </w:p>
    <w:p w:rsidR="00000000" w:rsidRDefault="00000000">
      <w:pPr>
        <w:spacing w:after="0"/>
        <w:ind w:left="680"/>
        <w:rPr>
          <w:b/>
        </w:rPr>
      </w:pPr>
    </w:p>
    <w:p w:rsidR="00000000" w:rsidRDefault="00000000">
      <w:pPr>
        <w:spacing w:after="0"/>
        <w:ind w:left="340"/>
        <w:rPr>
          <w:b/>
        </w:rPr>
      </w:pPr>
      <w:r>
        <w:rPr>
          <w:b/>
        </w:rPr>
        <w:t>–</w:t>
      </w:r>
      <w:r>
        <w:rPr>
          <w:b/>
        </w:rPr>
        <w:tab/>
        <w:t xml:space="preserve">Право на участие в культурной жизни: </w:t>
      </w:r>
      <w:r>
        <w:t>пункт 414</w:t>
      </w:r>
    </w:p>
    <w:p w:rsidR="00000000" w:rsidRDefault="00000000">
      <w:pPr>
        <w:spacing w:after="0"/>
        <w:ind w:left="680"/>
        <w:rPr>
          <w:b/>
        </w:rPr>
      </w:pPr>
    </w:p>
    <w:p w:rsidR="00000000" w:rsidRDefault="00000000">
      <w:pPr>
        <w:spacing w:after="0"/>
        <w:ind w:left="340"/>
      </w:pPr>
      <w:r>
        <w:rPr>
          <w:b/>
        </w:rPr>
        <w:t>–</w:t>
      </w:r>
      <w:r>
        <w:rPr>
          <w:b/>
        </w:rPr>
        <w:tab/>
        <w:t>Право на участие в мероприятиях, связанных с отдыхом и занятием спортом:</w:t>
      </w:r>
      <w:r>
        <w:t xml:space="preserve"> пункт 415</w:t>
      </w:r>
    </w:p>
    <w:p w:rsidR="00000000" w:rsidRDefault="00000000">
      <w:pPr>
        <w:spacing w:after="0"/>
      </w:pPr>
    </w:p>
    <w:p w:rsidR="00000000" w:rsidRDefault="00000000">
      <w:pPr>
        <w:spacing w:after="0"/>
      </w:pPr>
    </w:p>
    <w:p w:rsidR="00000000" w:rsidRDefault="00000000">
      <w:pPr>
        <w:spacing w:after="0"/>
      </w:pPr>
      <w:r>
        <w:rPr>
          <w:lang w:val="en-US"/>
        </w:rPr>
        <w:t>14.</w:t>
      </w:r>
      <w:r>
        <w:rPr>
          <w:lang w:val="en-US"/>
        </w:rPr>
        <w:tab/>
      </w:r>
      <w:r>
        <w:rPr>
          <w:b/>
        </w:rPr>
        <w:t xml:space="preserve">Статья 14 – </w:t>
      </w:r>
      <w:r>
        <w:t>стр. 99–104</w:t>
      </w:r>
    </w:p>
    <w:p w:rsidR="00000000" w:rsidRDefault="00000000">
      <w:pPr>
        <w:spacing w:after="0"/>
      </w:pPr>
    </w:p>
    <w:p w:rsidR="00000000" w:rsidRDefault="00000000">
      <w:pPr>
        <w:spacing w:after="0"/>
        <w:rPr>
          <w:b/>
        </w:rPr>
      </w:pPr>
      <w:r>
        <w:rPr>
          <w:lang w:val="en-US"/>
        </w:rPr>
        <w:tab/>
        <w:t>–</w:t>
      </w:r>
      <w:r>
        <w:rPr>
          <w:lang w:val="en-US"/>
        </w:rPr>
        <w:tab/>
      </w:r>
      <w:r>
        <w:rPr>
          <w:b/>
        </w:rPr>
        <w:t>Защита прав человека сельских женщин:</w:t>
      </w:r>
    </w:p>
    <w:p w:rsidR="00000000" w:rsidRDefault="00000000">
      <w:pPr>
        <w:spacing w:after="0"/>
      </w:pPr>
    </w:p>
    <w:p w:rsidR="00000000" w:rsidRDefault="00000000">
      <w:pPr>
        <w:spacing w:after="0"/>
        <w:ind w:left="680"/>
      </w:pPr>
      <w:r>
        <w:t>Сельское население: пункт 416</w:t>
      </w:r>
    </w:p>
    <w:p w:rsidR="00000000" w:rsidRDefault="00000000">
      <w:pPr>
        <w:spacing w:after="0"/>
        <w:ind w:left="680"/>
      </w:pPr>
      <w:r>
        <w:t>Риски, которым подвержены сельские женщины/основные производители: пункты 417–420</w:t>
      </w:r>
    </w:p>
    <w:p w:rsidR="00000000" w:rsidRDefault="00000000">
      <w:pPr>
        <w:spacing w:after="0"/>
        <w:ind w:left="680"/>
      </w:pPr>
      <w:r>
        <w:t>Государственная политика: пункт 421</w:t>
      </w:r>
    </w:p>
    <w:p w:rsidR="00000000" w:rsidRDefault="00000000">
      <w:pPr>
        <w:spacing w:after="0"/>
        <w:ind w:left="680"/>
      </w:pPr>
      <w:r>
        <w:t>Программа экстенсивного развития сельского хозяйства: пункты 422–423</w:t>
      </w:r>
    </w:p>
    <w:p w:rsidR="00000000" w:rsidRDefault="00000000">
      <w:pPr>
        <w:spacing w:after="0"/>
        <w:ind w:left="680"/>
      </w:pPr>
      <w:r>
        <w:t>Насилие в отношении сельских женщин: пункт 424</w:t>
      </w:r>
    </w:p>
    <w:p w:rsidR="00000000" w:rsidRDefault="00000000">
      <w:pPr>
        <w:spacing w:after="0"/>
        <w:ind w:left="680"/>
      </w:pPr>
      <w:r>
        <w:t>Обучение грамоте и математике: пункт 425</w:t>
      </w:r>
    </w:p>
    <w:p w:rsidR="00000000" w:rsidRDefault="00000000">
      <w:pPr>
        <w:spacing w:after="0"/>
        <w:ind w:left="680"/>
      </w:pPr>
      <w:r>
        <w:t>Право на жилище: пункт 426</w:t>
      </w:r>
    </w:p>
    <w:p w:rsidR="00000000" w:rsidRDefault="00000000">
      <w:pPr>
        <w:spacing w:after="0"/>
        <w:ind w:left="680"/>
      </w:pPr>
      <w:r>
        <w:t>Межамериканский институт кооперации в области сельского хозяйства: пункт 427</w:t>
      </w:r>
    </w:p>
    <w:p w:rsidR="00000000" w:rsidRDefault="00000000">
      <w:pPr>
        <w:spacing w:after="0"/>
        <w:ind w:left="680"/>
      </w:pPr>
      <w:r>
        <w:t>Занятость: пункты 428–431</w:t>
      </w:r>
    </w:p>
    <w:p w:rsidR="00000000" w:rsidRDefault="00000000">
      <w:pPr>
        <w:spacing w:after="0"/>
        <w:ind w:left="680"/>
      </w:pPr>
      <w:r>
        <w:t>Участие сельских женщин в планировании и развитии сельских районов: пункт 432</w:t>
      </w:r>
    </w:p>
    <w:p w:rsidR="00000000" w:rsidRDefault="00000000">
      <w:pPr>
        <w:spacing w:after="0"/>
        <w:ind w:left="680"/>
      </w:pPr>
      <w:r>
        <w:t>Программы, ориентированные на участие сельских женщин: пункты 433–435</w:t>
      </w:r>
    </w:p>
    <w:p w:rsidR="00000000" w:rsidRDefault="00000000">
      <w:pPr>
        <w:spacing w:after="0"/>
        <w:rPr>
          <w:lang w:val="en-US"/>
        </w:rPr>
      </w:pPr>
    </w:p>
    <w:p w:rsidR="00000000" w:rsidRDefault="00000000">
      <w:pPr>
        <w:spacing w:after="0"/>
        <w:rPr>
          <w:lang w:val="en-US"/>
        </w:rPr>
      </w:pPr>
    </w:p>
    <w:p w:rsidR="00000000" w:rsidRDefault="00000000">
      <w:pPr>
        <w:spacing w:after="0"/>
      </w:pPr>
      <w:r>
        <w:rPr>
          <w:lang w:val="en-US"/>
        </w:rPr>
        <w:t>15.</w:t>
      </w:r>
      <w:r>
        <w:rPr>
          <w:b/>
          <w:lang w:val="en-US"/>
        </w:rPr>
        <w:tab/>
      </w:r>
      <w:r>
        <w:rPr>
          <w:b/>
        </w:rPr>
        <w:t xml:space="preserve">Статья 15 – </w:t>
      </w:r>
      <w:r>
        <w:t>стр. 104–105</w:t>
      </w:r>
    </w:p>
    <w:p w:rsidR="00000000" w:rsidRDefault="00000000">
      <w:pPr>
        <w:spacing w:after="0"/>
      </w:pPr>
    </w:p>
    <w:p w:rsidR="00000000" w:rsidRDefault="00000000">
      <w:pPr>
        <w:spacing w:after="0"/>
        <w:rPr>
          <w:b/>
        </w:rPr>
      </w:pPr>
      <w:r>
        <w:rPr>
          <w:lang w:val="en-US"/>
        </w:rPr>
        <w:tab/>
        <w:t>–</w:t>
      </w:r>
      <w:r>
        <w:rPr>
          <w:lang w:val="en-US"/>
        </w:rPr>
        <w:tab/>
      </w:r>
      <w:r>
        <w:rPr>
          <w:b/>
        </w:rPr>
        <w:t>Право на гражданство:</w:t>
      </w:r>
      <w:r>
        <w:t xml:space="preserve"> пункты 201–202, 436</w:t>
      </w:r>
    </w:p>
    <w:p w:rsidR="00000000" w:rsidRDefault="00000000">
      <w:pPr>
        <w:spacing w:after="0"/>
        <w:rPr>
          <w:lang w:val="en-US"/>
        </w:rPr>
      </w:pPr>
    </w:p>
    <w:p w:rsidR="00000000" w:rsidRDefault="00000000">
      <w:pPr>
        <w:spacing w:after="0"/>
        <w:rPr>
          <w:lang w:val="en-US"/>
        </w:rPr>
      </w:pPr>
      <w:r>
        <w:rPr>
          <w:lang w:val="en-US"/>
        </w:rPr>
        <w:tab/>
        <w:t>–</w:t>
      </w:r>
      <w:r>
        <w:rPr>
          <w:lang w:val="en-US"/>
        </w:rPr>
        <w:tab/>
      </w:r>
      <w:r>
        <w:rPr>
          <w:b/>
        </w:rPr>
        <w:t>Право передавать свое гражданство детям:</w:t>
      </w:r>
      <w:r>
        <w:t xml:space="preserve"> пункты 203–204, 437</w:t>
      </w:r>
    </w:p>
    <w:p w:rsidR="00000000" w:rsidRDefault="00000000">
      <w:pPr>
        <w:spacing w:after="0"/>
        <w:rPr>
          <w:lang w:val="en-US"/>
        </w:rPr>
      </w:pPr>
    </w:p>
    <w:p w:rsidR="00000000" w:rsidRDefault="00000000">
      <w:pPr>
        <w:spacing w:after="0"/>
        <w:rPr>
          <w:b/>
        </w:rPr>
      </w:pPr>
      <w:r>
        <w:rPr>
          <w:lang w:val="en-US"/>
        </w:rPr>
        <w:tab/>
        <w:t>–</w:t>
      </w:r>
      <w:r>
        <w:rPr>
          <w:lang w:val="en-US"/>
        </w:rPr>
        <w:tab/>
      </w:r>
      <w:r>
        <w:rPr>
          <w:b/>
        </w:rPr>
        <w:t>Свобода передвижения:</w:t>
      </w:r>
      <w:r>
        <w:t xml:space="preserve"> пункт  438</w:t>
      </w:r>
    </w:p>
    <w:p w:rsidR="00000000" w:rsidRDefault="00000000">
      <w:pPr>
        <w:spacing w:after="0"/>
        <w:rPr>
          <w:b/>
          <w:lang w:val="en-US"/>
        </w:rPr>
      </w:pPr>
    </w:p>
    <w:p w:rsidR="00000000" w:rsidRDefault="00000000">
      <w:pPr>
        <w:spacing w:after="0"/>
        <w:rPr>
          <w:b/>
          <w:lang w:val="en-US"/>
        </w:rPr>
      </w:pPr>
      <w:r>
        <w:rPr>
          <w:b/>
          <w:lang w:val="en-US"/>
        </w:rPr>
        <w:tab/>
        <w:t>–</w:t>
      </w:r>
      <w:r>
        <w:rPr>
          <w:b/>
          <w:lang w:val="en-US"/>
        </w:rPr>
        <w:tab/>
        <w:t xml:space="preserve">Право на защиту закона: </w:t>
      </w:r>
      <w:r>
        <w:rPr>
          <w:lang w:val="en-US"/>
        </w:rPr>
        <w:t>пункты 439–440</w:t>
      </w:r>
    </w:p>
    <w:p w:rsidR="00000000" w:rsidRDefault="00000000">
      <w:pPr>
        <w:spacing w:after="0"/>
        <w:rPr>
          <w:b/>
          <w:lang w:val="en-US"/>
        </w:rPr>
      </w:pPr>
    </w:p>
    <w:p w:rsidR="00000000" w:rsidRDefault="00000000">
      <w:pPr>
        <w:spacing w:after="0"/>
      </w:pPr>
      <w:r>
        <w:rPr>
          <w:b/>
          <w:lang w:val="en-US"/>
        </w:rPr>
        <w:tab/>
        <w:t>–</w:t>
      </w:r>
      <w:r>
        <w:rPr>
          <w:b/>
          <w:lang w:val="en-US"/>
        </w:rPr>
        <w:tab/>
      </w:r>
      <w:r>
        <w:rPr>
          <w:b/>
        </w:rPr>
        <w:t>Право женщины заключать контракт от своего собственного имени</w:t>
      </w:r>
      <w:r>
        <w:t>: пункты 441–442</w:t>
      </w:r>
    </w:p>
    <w:p w:rsidR="00000000" w:rsidRDefault="00000000">
      <w:pPr>
        <w:spacing w:after="0"/>
        <w:rPr>
          <w:lang w:val="en-US"/>
        </w:rPr>
      </w:pPr>
    </w:p>
    <w:p w:rsidR="00000000" w:rsidRDefault="00000000">
      <w:pPr>
        <w:spacing w:after="0"/>
        <w:rPr>
          <w:lang w:val="en-US"/>
        </w:rPr>
      </w:pPr>
    </w:p>
    <w:p w:rsidR="00000000" w:rsidRDefault="00000000">
      <w:pPr>
        <w:spacing w:after="0"/>
      </w:pPr>
      <w:r>
        <w:rPr>
          <w:lang w:val="en-US"/>
        </w:rPr>
        <w:br w:type="page"/>
        <w:t>16.</w:t>
      </w:r>
      <w:r>
        <w:rPr>
          <w:lang w:val="en-US"/>
        </w:rPr>
        <w:tab/>
      </w:r>
      <w:r>
        <w:rPr>
          <w:b/>
        </w:rPr>
        <w:t xml:space="preserve">Статья 16 – </w:t>
      </w:r>
      <w:r>
        <w:t>стр. 105–112</w:t>
      </w:r>
    </w:p>
    <w:p w:rsidR="00000000" w:rsidRDefault="00000000">
      <w:pPr>
        <w:spacing w:after="0"/>
      </w:pPr>
    </w:p>
    <w:p w:rsidR="00000000" w:rsidRDefault="00000000">
      <w:pPr>
        <w:spacing w:after="0"/>
      </w:pPr>
      <w:r>
        <w:rPr>
          <w:lang w:val="en-US"/>
        </w:rPr>
        <w:tab/>
        <w:t>–</w:t>
      </w:r>
      <w:r>
        <w:rPr>
          <w:lang w:val="en-US"/>
        </w:rPr>
        <w:tab/>
      </w:r>
      <w:r>
        <w:rPr>
          <w:b/>
        </w:rPr>
        <w:t>Право на вступление в брак:</w:t>
      </w:r>
      <w:r>
        <w:t xml:space="preserve"> </w:t>
      </w:r>
    </w:p>
    <w:p w:rsidR="00000000" w:rsidRDefault="00000000">
      <w:pPr>
        <w:spacing w:after="0"/>
      </w:pPr>
    </w:p>
    <w:p w:rsidR="00000000" w:rsidRDefault="00000000">
      <w:pPr>
        <w:spacing w:after="0"/>
        <w:ind w:left="680"/>
      </w:pPr>
      <w:r>
        <w:t>Заключение брака по достижении брачного возраста: пункт 443</w:t>
      </w:r>
    </w:p>
    <w:p w:rsidR="00000000" w:rsidRDefault="00000000">
      <w:pPr>
        <w:spacing w:after="0"/>
        <w:ind w:left="680"/>
      </w:pPr>
      <w:r>
        <w:t>Должностные лица, регистрирующие бракосочетание: пункты 444–445</w:t>
      </w:r>
    </w:p>
    <w:p w:rsidR="00000000" w:rsidRDefault="00000000">
      <w:pPr>
        <w:spacing w:after="0"/>
        <w:ind w:left="680"/>
      </w:pPr>
      <w:r>
        <w:t>Полигамные браки: пункты 446–447</w:t>
      </w:r>
    </w:p>
    <w:p w:rsidR="00000000" w:rsidRDefault="00000000">
      <w:pPr>
        <w:spacing w:after="0"/>
        <w:ind w:left="680"/>
      </w:pPr>
      <w:r>
        <w:t>Система получения приданого, отказа от жены, покупки невесты, проведения операций на женских половых органах: пункт 448</w:t>
      </w:r>
    </w:p>
    <w:p w:rsidR="00000000" w:rsidRDefault="00000000">
      <w:pPr>
        <w:spacing w:after="0"/>
        <w:ind w:left="680"/>
      </w:pPr>
      <w:r>
        <w:t>Двоебрачие: пункт 449</w:t>
      </w:r>
    </w:p>
    <w:p w:rsidR="00000000" w:rsidRDefault="00000000">
      <w:pPr>
        <w:spacing w:after="0"/>
      </w:pPr>
    </w:p>
    <w:p w:rsidR="00000000" w:rsidRDefault="00000000">
      <w:pPr>
        <w:spacing w:after="0"/>
      </w:pPr>
      <w:r>
        <w:rPr>
          <w:b/>
          <w:lang w:val="en-US"/>
        </w:rPr>
        <w:tab/>
        <w:t>–</w:t>
      </w:r>
      <w:r>
        <w:rPr>
          <w:b/>
          <w:lang w:val="en-US"/>
        </w:rPr>
        <w:tab/>
      </w:r>
      <w:r>
        <w:rPr>
          <w:b/>
        </w:rPr>
        <w:t>Право на наследование</w:t>
      </w:r>
      <w:r>
        <w:t>: пункт 450</w:t>
      </w:r>
    </w:p>
    <w:p w:rsidR="00000000" w:rsidRDefault="00000000">
      <w:pPr>
        <w:spacing w:after="0"/>
        <w:rPr>
          <w:b/>
          <w:lang w:val="en-US"/>
        </w:rPr>
      </w:pPr>
    </w:p>
    <w:p w:rsidR="00000000" w:rsidRDefault="00000000">
      <w:pPr>
        <w:spacing w:after="0"/>
      </w:pPr>
      <w:r>
        <w:rPr>
          <w:b/>
          <w:lang w:val="en-US"/>
        </w:rPr>
        <w:tab/>
        <w:t>–</w:t>
      </w:r>
      <w:r>
        <w:rPr>
          <w:b/>
          <w:lang w:val="en-US"/>
        </w:rPr>
        <w:tab/>
      </w:r>
      <w:r>
        <w:rPr>
          <w:b/>
        </w:rPr>
        <w:t>Право распоряжаться собственностью</w:t>
      </w:r>
      <w:r>
        <w:t>: пункты 451–457</w:t>
      </w:r>
    </w:p>
    <w:p w:rsidR="00000000" w:rsidRDefault="00000000">
      <w:pPr>
        <w:spacing w:after="0"/>
        <w:rPr>
          <w:b/>
          <w:lang w:val="en-US"/>
        </w:rPr>
      </w:pPr>
    </w:p>
    <w:p w:rsidR="00000000" w:rsidRDefault="00000000">
      <w:pPr>
        <w:spacing w:after="0"/>
      </w:pPr>
      <w:r>
        <w:rPr>
          <w:b/>
          <w:lang w:val="en-US"/>
        </w:rPr>
        <w:tab/>
        <w:t>–</w:t>
      </w:r>
      <w:r>
        <w:rPr>
          <w:b/>
          <w:lang w:val="en-US"/>
        </w:rPr>
        <w:tab/>
      </w:r>
      <w:r>
        <w:rPr>
          <w:b/>
        </w:rPr>
        <w:t>Право на опеку и алименты</w:t>
      </w:r>
      <w:r>
        <w:t>: пункты 457–459</w:t>
      </w:r>
    </w:p>
    <w:p w:rsidR="00000000" w:rsidRDefault="00000000">
      <w:pPr>
        <w:spacing w:after="0"/>
        <w:rPr>
          <w:b/>
          <w:lang w:val="en-US"/>
        </w:rPr>
      </w:pPr>
    </w:p>
    <w:p w:rsidR="00000000" w:rsidRDefault="00000000">
      <w:pPr>
        <w:spacing w:after="0"/>
      </w:pPr>
      <w:r>
        <w:rPr>
          <w:b/>
          <w:lang w:val="en-US"/>
        </w:rPr>
        <w:tab/>
        <w:t>–</w:t>
      </w:r>
      <w:r>
        <w:rPr>
          <w:b/>
          <w:lang w:val="en-US"/>
        </w:rPr>
        <w:tab/>
      </w:r>
      <w:r>
        <w:rPr>
          <w:b/>
        </w:rPr>
        <w:t>Право усыновлять детей</w:t>
      </w:r>
      <w:r>
        <w:t>: пункты 460–461</w:t>
      </w:r>
    </w:p>
    <w:p w:rsidR="00000000" w:rsidRDefault="00000000">
      <w:pPr>
        <w:spacing w:after="0"/>
        <w:rPr>
          <w:b/>
          <w:lang w:val="en-US"/>
        </w:rPr>
      </w:pPr>
    </w:p>
    <w:p w:rsidR="00000000" w:rsidRDefault="00000000">
      <w:pPr>
        <w:spacing w:after="0"/>
      </w:pPr>
      <w:r>
        <w:rPr>
          <w:b/>
          <w:lang w:val="en-US"/>
        </w:rPr>
        <w:tab/>
        <w:t>–</w:t>
      </w:r>
      <w:r>
        <w:rPr>
          <w:b/>
          <w:lang w:val="en-US"/>
        </w:rPr>
        <w:tab/>
      </w:r>
      <w:r>
        <w:rPr>
          <w:b/>
        </w:rPr>
        <w:t>Право суррогатных матерей</w:t>
      </w:r>
      <w:r>
        <w:t>: пункт 462</w:t>
      </w:r>
    </w:p>
    <w:p w:rsidR="00000000" w:rsidRDefault="00000000">
      <w:pPr>
        <w:spacing w:after="0"/>
        <w:rPr>
          <w:b/>
          <w:lang w:val="en-US"/>
        </w:rPr>
      </w:pPr>
    </w:p>
    <w:p w:rsidR="00000000" w:rsidRDefault="00000000">
      <w:pPr>
        <w:spacing w:after="0"/>
      </w:pPr>
      <w:r>
        <w:rPr>
          <w:b/>
          <w:lang w:val="en-US"/>
        </w:rPr>
        <w:tab/>
        <w:t>–</w:t>
      </w:r>
      <w:r>
        <w:rPr>
          <w:b/>
          <w:lang w:val="en-US"/>
        </w:rPr>
        <w:tab/>
      </w:r>
      <w:r>
        <w:rPr>
          <w:b/>
        </w:rPr>
        <w:t>Изменение имени несовершеннолетнего ребенка</w:t>
      </w:r>
      <w:r>
        <w:t>: пункт 463</w:t>
      </w:r>
    </w:p>
    <w:p w:rsidR="00000000" w:rsidRDefault="00000000">
      <w:pPr>
        <w:spacing w:after="0"/>
        <w:rPr>
          <w:b/>
          <w:lang w:val="en-US"/>
        </w:rPr>
      </w:pPr>
    </w:p>
    <w:p w:rsidR="00000000" w:rsidRDefault="00000000">
      <w:pPr>
        <w:spacing w:after="0"/>
      </w:pPr>
      <w:r>
        <w:rPr>
          <w:b/>
          <w:lang w:val="en-US"/>
        </w:rPr>
        <w:tab/>
        <w:t>–</w:t>
      </w:r>
      <w:r>
        <w:rPr>
          <w:b/>
          <w:lang w:val="en-US"/>
        </w:rPr>
        <w:tab/>
      </w:r>
      <w:r>
        <w:rPr>
          <w:b/>
        </w:rPr>
        <w:t>Возраст согласия на вступление в половые сношения</w:t>
      </w:r>
      <w:r>
        <w:t>: пункты 464–465</w:t>
      </w:r>
    </w:p>
    <w:p w:rsidR="00000000" w:rsidRDefault="00000000">
      <w:pPr>
        <w:spacing w:after="0"/>
        <w:rPr>
          <w:b/>
          <w:lang w:val="en-US"/>
        </w:rPr>
      </w:pPr>
    </w:p>
    <w:p w:rsidR="00000000" w:rsidRDefault="00000000">
      <w:pPr>
        <w:spacing w:after="0"/>
        <w:ind w:left="680" w:hanging="680"/>
      </w:pPr>
      <w:r>
        <w:rPr>
          <w:b/>
          <w:lang w:val="en-US"/>
        </w:rPr>
        <w:tab/>
        <w:t>–</w:t>
      </w:r>
      <w:r>
        <w:rPr>
          <w:b/>
          <w:lang w:val="en-US"/>
        </w:rPr>
        <w:tab/>
      </w:r>
      <w:r>
        <w:rPr>
          <w:b/>
        </w:rPr>
        <w:t>Право свободно и ответственно принимать решение о числе своих детей и интервалах между их рождением</w:t>
      </w:r>
      <w:r>
        <w:t>: пункт 466</w:t>
      </w:r>
    </w:p>
    <w:p w:rsidR="00000000" w:rsidRDefault="00000000">
      <w:pPr>
        <w:spacing w:after="0"/>
        <w:rPr>
          <w:b/>
          <w:lang w:val="en-US"/>
        </w:rPr>
      </w:pPr>
    </w:p>
    <w:p w:rsidR="00000000" w:rsidRDefault="00000000">
      <w:pPr>
        <w:spacing w:after="0"/>
      </w:pPr>
      <w:r>
        <w:rPr>
          <w:b/>
          <w:lang w:val="en-US"/>
        </w:rPr>
        <w:tab/>
        <w:t>–</w:t>
      </w:r>
      <w:r>
        <w:rPr>
          <w:b/>
          <w:lang w:val="en-US"/>
        </w:rPr>
        <w:tab/>
      </w:r>
      <w:r>
        <w:rPr>
          <w:b/>
        </w:rPr>
        <w:t>Право выбора фамилии, профессии и занятия</w:t>
      </w:r>
      <w:r>
        <w:t>: пункт 467</w:t>
      </w:r>
    </w:p>
    <w:p w:rsidR="00000000" w:rsidRDefault="00000000">
      <w:pPr>
        <w:spacing w:after="0"/>
        <w:rPr>
          <w:b/>
          <w:lang w:val="en-US"/>
        </w:rPr>
      </w:pPr>
    </w:p>
    <w:p w:rsidR="00000000" w:rsidRDefault="00000000">
      <w:pPr>
        <w:spacing w:after="0"/>
      </w:pPr>
      <w:r>
        <w:rPr>
          <w:b/>
          <w:lang w:val="en-US"/>
        </w:rPr>
        <w:tab/>
        <w:t>–</w:t>
      </w:r>
      <w:r>
        <w:rPr>
          <w:b/>
          <w:lang w:val="en-US"/>
        </w:rPr>
        <w:tab/>
      </w:r>
      <w:r>
        <w:rPr>
          <w:b/>
        </w:rPr>
        <w:t>Защита чести</w:t>
      </w:r>
      <w:r>
        <w:t>: пункт 468</w:t>
      </w:r>
    </w:p>
    <w:p w:rsidR="00000000" w:rsidRDefault="00000000">
      <w:pPr>
        <w:spacing w:after="0"/>
        <w:rPr>
          <w:b/>
          <w:lang w:val="en-US"/>
        </w:rPr>
      </w:pPr>
    </w:p>
    <w:p w:rsidR="00000000" w:rsidRDefault="00000000">
      <w:pPr>
        <w:spacing w:after="0"/>
      </w:pPr>
      <w:r>
        <w:rPr>
          <w:b/>
          <w:lang w:val="en-US"/>
        </w:rPr>
        <w:tab/>
        <w:t>–</w:t>
      </w:r>
      <w:r>
        <w:rPr>
          <w:b/>
          <w:lang w:val="en-US"/>
        </w:rPr>
        <w:tab/>
      </w:r>
      <w:r>
        <w:rPr>
          <w:b/>
        </w:rPr>
        <w:t>Закон о насилии в семье</w:t>
      </w:r>
      <w:r>
        <w:t>: пункты 469–474</w:t>
      </w:r>
    </w:p>
    <w:p w:rsidR="00000000" w:rsidRDefault="00000000">
      <w:pPr>
        <w:spacing w:after="0"/>
      </w:pPr>
    </w:p>
    <w:p w:rsidR="00000000" w:rsidRDefault="00000000">
      <w:pPr>
        <w:spacing w:after="0"/>
      </w:pPr>
    </w:p>
    <w:p w:rsidR="00000000" w:rsidRDefault="00000000">
      <w:pPr>
        <w:spacing w:after="0"/>
      </w:pPr>
      <w:r>
        <w:rPr>
          <w:b/>
        </w:rPr>
        <w:t>ПРИЛОЖЕНИЕ</w:t>
      </w:r>
      <w:r>
        <w:t xml:space="preserve"> –Конвенция о ликвидации всех форм дискриминации в отношении женщин: стр. 113–124</w:t>
      </w:r>
    </w:p>
    <w:p w:rsidR="00000000" w:rsidRDefault="00000000">
      <w:pPr>
        <w:spacing w:after="0"/>
      </w:pPr>
    </w:p>
    <w:p w:rsidR="00000000" w:rsidRDefault="00000000">
      <w:pPr>
        <w:rPr>
          <w:lang w:val="en-US"/>
        </w:rPr>
      </w:pPr>
    </w:p>
    <w:p w:rsidR="00000000" w:rsidRDefault="00000000"/>
    <w:p w:rsidR="00000000" w:rsidRDefault="00000000">
      <w:pPr>
        <w:pStyle w:val="Heading1"/>
        <w:sectPr w:rsidR="00000000">
          <w:footerReference w:type="default" r:id="rId14"/>
          <w:headerReference w:type="first" r:id="rId15"/>
          <w:footerReference w:type="first" r:id="rId16"/>
          <w:pgSz w:w="12242" w:h="15842" w:code="1"/>
          <w:pgMar w:top="1247" w:right="1298" w:bottom="1531" w:left="1298" w:header="720" w:footer="851" w:gutter="0"/>
          <w:pgNumType w:fmt="lowerRoman" w:start="1"/>
          <w:cols w:space="720"/>
          <w:titlePg/>
        </w:sectPr>
      </w:pPr>
    </w:p>
    <w:p w:rsidR="00000000" w:rsidRDefault="00000000">
      <w:pPr>
        <w:pStyle w:val="Heading1"/>
      </w:pPr>
      <w:r>
        <w:t xml:space="preserve">ЧАСТЬ ПЕРВАЯ: </w:t>
      </w:r>
      <w:r>
        <w:rPr>
          <w:lang w:val="en-US"/>
        </w:rPr>
        <w:br/>
      </w:r>
      <w:r>
        <w:t>ОБЩИЕ СВЕДЕНИЯ</w:t>
      </w:r>
    </w:p>
    <w:p w:rsidR="00000000" w:rsidRDefault="00000000">
      <w:pPr>
        <w:pStyle w:val="Heading2"/>
      </w:pPr>
      <w:r>
        <w:t>Земля и люди</w:t>
      </w:r>
    </w:p>
    <w:p w:rsidR="00000000" w:rsidRDefault="00000000">
      <w:r>
        <w:rPr>
          <w:lang w:val="en-US"/>
        </w:rPr>
        <w:t>1.</w:t>
      </w:r>
      <w:r>
        <w:rPr>
          <w:lang w:val="en-US"/>
        </w:rPr>
        <w:tab/>
      </w:r>
      <w:r>
        <w:t>Республика Тринидад и Тобаго является самой южной из стран, расположенных на островах Карибского бассейна. Она расположена в семи милях к северо-востоку от Венесуэлы. Территория страны состоит из двух островов – Тринидада, площадью 4820 кв. километров, и Тобаго, площадью 303 кв. километра. Остров Тобаго находится в 32,2 километра к северо-востоку от Тринидада. Столица страны, Порт-оф-Спейн, расположена на северо-западе Тринидада. Страна расположена в зоне тропического климата: температура колеблется от 22 до</w:t>
      </w:r>
      <w:r>
        <w:rPr>
          <w:lang w:val="en-US"/>
        </w:rPr>
        <w:t> </w:t>
      </w:r>
      <w:r>
        <w:t>32° Цельсия. Сухой сезон длится с января по апрель, сезон дождей – с мая по декабрь.</w:t>
      </w:r>
    </w:p>
    <w:p w:rsidR="00000000" w:rsidRDefault="00000000">
      <w:r>
        <w:rPr>
          <w:lang w:val="en-US"/>
        </w:rPr>
        <w:t>2.</w:t>
      </w:r>
      <w:r>
        <w:rPr>
          <w:lang w:val="en-US"/>
        </w:rPr>
        <w:tab/>
      </w:r>
      <w:r>
        <w:t>Население Тринидада и Тобаго составляет 1 290 413 человек, из которых 644 174 мужчин и 646 239</w:t>
      </w:r>
      <w:r>
        <w:rPr>
          <w:lang w:val="en-US"/>
        </w:rPr>
        <w:t> </w:t>
      </w:r>
      <w:r>
        <w:t>женщин (данные на середину 1999 года). Эта цифра свидетельствует о росте населения на 0,7 процента по сравнению с 1998 годом, когда его численность оценивалась в 1 281 825 человек. Уровень рождаемости составляет 13,42, а уровень смертности – 7,3 человека на тысячу, соответственно. Средняя продолжительность жизни – 73 года. Примерно 45,7 процента населения составляют люди в возрасте до 24 лет, 45,2 процента – в возрасте от 25 до 59 лет и 9,1 процента  – в возрасте 65 лет и старше (по оценкам на середину 1999 года). В 1998</w:t>
      </w:r>
      <w:r>
        <w:rPr>
          <w:lang w:val="en-US"/>
        </w:rPr>
        <w:t> </w:t>
      </w:r>
      <w:r>
        <w:t>году 27,9 процента населения составляли люди в возрасте до 15 лет и 6,3 процента – в возрасте 65 лет и старше.</w:t>
      </w:r>
    </w:p>
    <w:p w:rsidR="00000000" w:rsidRDefault="00000000">
      <w:pPr>
        <w:pStyle w:val="Heading2"/>
        <w:spacing w:after="120"/>
        <w:rPr>
          <w:sz w:val="20"/>
        </w:rPr>
      </w:pPr>
      <w:r>
        <w:rPr>
          <w:b w:val="0"/>
          <w:sz w:val="20"/>
          <w:lang w:val="en-US"/>
        </w:rPr>
        <w:t>3.</w:t>
      </w:r>
      <w:r>
        <w:rPr>
          <w:sz w:val="20"/>
          <w:lang w:val="en-US"/>
        </w:rPr>
        <w:tab/>
      </w:r>
      <w:r>
        <w:rPr>
          <w:sz w:val="20"/>
        </w:rPr>
        <w:t>Численность населения с разбивкой по полу и возрасту, 1990–1998 годы</w:t>
      </w:r>
    </w:p>
    <w:tbl>
      <w:tblPr>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077"/>
        <w:gridCol w:w="851"/>
        <w:gridCol w:w="1077"/>
        <w:gridCol w:w="1021"/>
        <w:gridCol w:w="1021"/>
        <w:gridCol w:w="907"/>
        <w:gridCol w:w="1077"/>
        <w:gridCol w:w="1077"/>
      </w:tblGrid>
      <w:tr w:rsidR="00000000">
        <w:tblPrEx>
          <w:tblCellMar>
            <w:top w:w="0" w:type="dxa"/>
            <w:bottom w:w="0" w:type="dxa"/>
          </w:tblCellMar>
        </w:tblPrEx>
        <w:tc>
          <w:tcPr>
            <w:tcW w:w="1134" w:type="dxa"/>
          </w:tcPr>
          <w:p w:rsidR="00000000" w:rsidRDefault="00000000">
            <w:pPr>
              <w:spacing w:before="40" w:after="40" w:line="240" w:lineRule="auto"/>
              <w:jc w:val="center"/>
              <w:rPr>
                <w:rFonts w:ascii="Arial" w:hAnsi="Arial"/>
                <w:sz w:val="16"/>
              </w:rPr>
            </w:pPr>
            <w:r>
              <w:rPr>
                <w:rFonts w:ascii="Arial" w:hAnsi="Arial"/>
                <w:sz w:val="16"/>
              </w:rPr>
              <w:t>Возрастная группа</w:t>
            </w:r>
          </w:p>
        </w:tc>
        <w:tc>
          <w:tcPr>
            <w:tcW w:w="1077" w:type="dxa"/>
          </w:tcPr>
          <w:p w:rsidR="00000000" w:rsidRDefault="00000000">
            <w:pPr>
              <w:spacing w:before="40" w:after="40" w:line="240" w:lineRule="auto"/>
              <w:jc w:val="center"/>
              <w:rPr>
                <w:rFonts w:ascii="Arial" w:hAnsi="Arial"/>
                <w:sz w:val="16"/>
              </w:rPr>
            </w:pPr>
            <w:r>
              <w:rPr>
                <w:rFonts w:ascii="Arial" w:hAnsi="Arial"/>
                <w:sz w:val="16"/>
              </w:rPr>
              <w:t>1990 г.</w:t>
            </w:r>
            <w:r>
              <w:rPr>
                <w:rFonts w:ascii="Arial" w:hAnsi="Arial"/>
                <w:sz w:val="16"/>
                <w:lang w:val="en-US"/>
              </w:rPr>
              <w:br/>
            </w:r>
            <w:r>
              <w:rPr>
                <w:rFonts w:ascii="Arial" w:hAnsi="Arial"/>
                <w:sz w:val="16"/>
              </w:rPr>
              <w:t>Общая численность населения</w:t>
            </w:r>
          </w:p>
        </w:tc>
        <w:tc>
          <w:tcPr>
            <w:tcW w:w="851" w:type="dxa"/>
          </w:tcPr>
          <w:p w:rsidR="00000000" w:rsidRDefault="00000000">
            <w:pPr>
              <w:spacing w:before="40" w:after="40" w:line="240" w:lineRule="auto"/>
              <w:jc w:val="center"/>
              <w:rPr>
                <w:rFonts w:ascii="Arial" w:hAnsi="Arial"/>
                <w:sz w:val="16"/>
              </w:rPr>
            </w:pPr>
            <w:r>
              <w:rPr>
                <w:rFonts w:ascii="Arial" w:hAnsi="Arial"/>
                <w:sz w:val="16"/>
              </w:rPr>
              <w:t>Число женщин</w:t>
            </w:r>
          </w:p>
        </w:tc>
        <w:tc>
          <w:tcPr>
            <w:tcW w:w="1077" w:type="dxa"/>
          </w:tcPr>
          <w:p w:rsidR="00000000" w:rsidRDefault="00000000">
            <w:pPr>
              <w:spacing w:before="40" w:after="40" w:line="240" w:lineRule="auto"/>
              <w:jc w:val="center"/>
              <w:rPr>
                <w:rFonts w:ascii="Arial" w:hAnsi="Arial"/>
                <w:sz w:val="16"/>
              </w:rPr>
            </w:pPr>
            <w:r>
              <w:rPr>
                <w:rFonts w:ascii="Arial" w:hAnsi="Arial"/>
                <w:sz w:val="16"/>
              </w:rPr>
              <w:t>Процентное соотношение женщин</w:t>
            </w:r>
          </w:p>
        </w:tc>
        <w:tc>
          <w:tcPr>
            <w:tcW w:w="1021" w:type="dxa"/>
          </w:tcPr>
          <w:p w:rsidR="00000000" w:rsidRDefault="00000000">
            <w:pPr>
              <w:spacing w:before="40" w:after="40" w:line="240" w:lineRule="auto"/>
              <w:jc w:val="center"/>
              <w:rPr>
                <w:rFonts w:ascii="Arial" w:hAnsi="Arial"/>
                <w:sz w:val="16"/>
              </w:rPr>
            </w:pPr>
            <w:r>
              <w:rPr>
                <w:rFonts w:ascii="Arial" w:hAnsi="Arial"/>
                <w:sz w:val="16"/>
              </w:rPr>
              <w:t>Отношение возрастной группы к общей численности населения, %</w:t>
            </w:r>
          </w:p>
        </w:tc>
        <w:tc>
          <w:tcPr>
            <w:tcW w:w="1021" w:type="dxa"/>
          </w:tcPr>
          <w:p w:rsidR="00000000" w:rsidRDefault="00000000">
            <w:pPr>
              <w:spacing w:before="40" w:after="40" w:line="240" w:lineRule="auto"/>
              <w:jc w:val="center"/>
              <w:rPr>
                <w:rFonts w:ascii="Arial" w:hAnsi="Arial"/>
                <w:sz w:val="16"/>
              </w:rPr>
            </w:pPr>
            <w:r>
              <w:rPr>
                <w:rFonts w:ascii="Arial" w:hAnsi="Arial"/>
                <w:sz w:val="16"/>
              </w:rPr>
              <w:t>1998 г.</w:t>
            </w:r>
            <w:r>
              <w:rPr>
                <w:rFonts w:ascii="Arial" w:hAnsi="Arial"/>
                <w:sz w:val="16"/>
                <w:lang w:val="en-US"/>
              </w:rPr>
              <w:br/>
            </w:r>
            <w:r>
              <w:rPr>
                <w:rFonts w:ascii="Arial" w:hAnsi="Arial"/>
                <w:sz w:val="16"/>
              </w:rPr>
              <w:t>Общая численность населения</w:t>
            </w:r>
          </w:p>
        </w:tc>
        <w:tc>
          <w:tcPr>
            <w:tcW w:w="907" w:type="dxa"/>
          </w:tcPr>
          <w:p w:rsidR="00000000" w:rsidRDefault="00000000">
            <w:pPr>
              <w:spacing w:before="40" w:after="40" w:line="240" w:lineRule="auto"/>
              <w:jc w:val="center"/>
              <w:rPr>
                <w:rFonts w:ascii="Arial" w:hAnsi="Arial"/>
                <w:sz w:val="16"/>
              </w:rPr>
            </w:pPr>
            <w:r>
              <w:rPr>
                <w:rFonts w:ascii="Arial" w:hAnsi="Arial"/>
                <w:sz w:val="16"/>
              </w:rPr>
              <w:t>Число</w:t>
            </w:r>
            <w:r>
              <w:rPr>
                <w:rFonts w:ascii="Arial" w:hAnsi="Arial"/>
                <w:sz w:val="16"/>
                <w:lang w:val="en-US"/>
              </w:rPr>
              <w:t xml:space="preserve"> </w:t>
            </w:r>
            <w:r>
              <w:rPr>
                <w:rFonts w:ascii="Arial" w:hAnsi="Arial"/>
                <w:sz w:val="16"/>
              </w:rPr>
              <w:t>женщин</w:t>
            </w:r>
          </w:p>
        </w:tc>
        <w:tc>
          <w:tcPr>
            <w:tcW w:w="1077" w:type="dxa"/>
          </w:tcPr>
          <w:p w:rsidR="00000000" w:rsidRDefault="00000000">
            <w:pPr>
              <w:spacing w:before="40" w:after="40" w:line="240" w:lineRule="auto"/>
              <w:jc w:val="center"/>
              <w:rPr>
                <w:rFonts w:ascii="Arial" w:hAnsi="Arial"/>
                <w:sz w:val="16"/>
              </w:rPr>
            </w:pPr>
            <w:r>
              <w:rPr>
                <w:rFonts w:ascii="Arial" w:hAnsi="Arial"/>
                <w:sz w:val="16"/>
              </w:rPr>
              <w:t>Процентное соотношение женщин</w:t>
            </w:r>
          </w:p>
        </w:tc>
        <w:tc>
          <w:tcPr>
            <w:tcW w:w="1077" w:type="dxa"/>
          </w:tcPr>
          <w:p w:rsidR="00000000" w:rsidRDefault="00000000">
            <w:pPr>
              <w:spacing w:before="40" w:after="40" w:line="240" w:lineRule="auto"/>
              <w:jc w:val="center"/>
              <w:rPr>
                <w:rFonts w:ascii="Arial" w:hAnsi="Arial"/>
                <w:sz w:val="16"/>
              </w:rPr>
            </w:pPr>
            <w:r>
              <w:rPr>
                <w:rFonts w:ascii="Arial" w:hAnsi="Arial"/>
                <w:sz w:val="16"/>
              </w:rPr>
              <w:t>Отношение возрастной группы к общей численности населения, %</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0–4 года</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122 150</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60 565</w:t>
            </w:r>
          </w:p>
        </w:tc>
        <w:tc>
          <w:tcPr>
            <w:tcW w:w="1077" w:type="dxa"/>
          </w:tcPr>
          <w:p w:rsidR="00000000" w:rsidRDefault="00000000">
            <w:pPr>
              <w:spacing w:before="80" w:after="80" w:line="240" w:lineRule="auto"/>
              <w:jc w:val="center"/>
              <w:rPr>
                <w:rFonts w:ascii="Arial" w:hAnsi="Arial"/>
                <w:sz w:val="16"/>
              </w:rPr>
            </w:pPr>
            <w:r>
              <w:rPr>
                <w:rFonts w:ascii="Arial" w:hAnsi="Arial"/>
                <w:sz w:val="16"/>
              </w:rPr>
              <w:t>49</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11</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89 067</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44 192</w:t>
            </w:r>
          </w:p>
        </w:tc>
        <w:tc>
          <w:tcPr>
            <w:tcW w:w="1077" w:type="dxa"/>
          </w:tcPr>
          <w:p w:rsidR="00000000" w:rsidRDefault="00000000">
            <w:pPr>
              <w:spacing w:before="80" w:after="80" w:line="240" w:lineRule="auto"/>
              <w:jc w:val="center"/>
              <w:rPr>
                <w:rFonts w:ascii="Arial" w:hAnsi="Arial"/>
                <w:sz w:val="16"/>
              </w:rPr>
            </w:pPr>
            <w:r>
              <w:rPr>
                <w:rFonts w:ascii="Arial" w:hAnsi="Arial"/>
                <w:sz w:val="16"/>
              </w:rPr>
              <w:t>49</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 xml:space="preserve">7 </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5–14 лет</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253 977</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125 728</w:t>
            </w:r>
          </w:p>
        </w:tc>
        <w:tc>
          <w:tcPr>
            <w:tcW w:w="1077" w:type="dxa"/>
          </w:tcPr>
          <w:p w:rsidR="00000000" w:rsidRDefault="00000000">
            <w:pPr>
              <w:spacing w:before="80" w:after="80" w:line="240" w:lineRule="auto"/>
              <w:jc w:val="center"/>
              <w:rPr>
                <w:rFonts w:ascii="Arial" w:hAnsi="Arial"/>
                <w:sz w:val="16"/>
              </w:rPr>
            </w:pPr>
            <w:r>
              <w:rPr>
                <w:rFonts w:ascii="Arial" w:hAnsi="Arial"/>
                <w:sz w:val="16"/>
              </w:rPr>
              <w:t>49</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24</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244 820</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120 106</w:t>
            </w:r>
          </w:p>
        </w:tc>
        <w:tc>
          <w:tcPr>
            <w:tcW w:w="1077" w:type="dxa"/>
          </w:tcPr>
          <w:p w:rsidR="00000000" w:rsidRDefault="00000000">
            <w:pPr>
              <w:spacing w:before="80" w:after="80" w:line="240" w:lineRule="auto"/>
              <w:jc w:val="center"/>
              <w:rPr>
                <w:rFonts w:ascii="Arial" w:hAnsi="Arial"/>
                <w:sz w:val="16"/>
              </w:rPr>
            </w:pPr>
            <w:r>
              <w:rPr>
                <w:rFonts w:ascii="Arial" w:hAnsi="Arial"/>
                <w:sz w:val="16"/>
              </w:rPr>
              <w:t>49</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19</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15–24 года</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199 955</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99 785</w:t>
            </w:r>
          </w:p>
        </w:tc>
        <w:tc>
          <w:tcPr>
            <w:tcW w:w="1077" w:type="dxa"/>
          </w:tcPr>
          <w:p w:rsidR="00000000" w:rsidRDefault="00000000">
            <w:pPr>
              <w:spacing w:before="80" w:after="80" w:line="240" w:lineRule="auto"/>
              <w:jc w:val="center"/>
              <w:rPr>
                <w:rFonts w:ascii="Arial" w:hAnsi="Arial"/>
                <w:sz w:val="16"/>
              </w:rPr>
            </w:pPr>
            <w:r>
              <w:rPr>
                <w:rFonts w:ascii="Arial" w:hAnsi="Arial"/>
                <w:sz w:val="16"/>
              </w:rPr>
              <w:t>50</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18</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240 927</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116 632</w:t>
            </w:r>
          </w:p>
        </w:tc>
        <w:tc>
          <w:tcPr>
            <w:tcW w:w="1077" w:type="dxa"/>
          </w:tcPr>
          <w:p w:rsidR="00000000" w:rsidRDefault="00000000">
            <w:pPr>
              <w:spacing w:before="80" w:after="80" w:line="240" w:lineRule="auto"/>
              <w:jc w:val="center"/>
              <w:rPr>
                <w:rFonts w:ascii="Arial" w:hAnsi="Arial"/>
                <w:sz w:val="16"/>
              </w:rPr>
            </w:pPr>
            <w:r>
              <w:rPr>
                <w:rFonts w:ascii="Arial" w:hAnsi="Arial"/>
                <w:sz w:val="16"/>
              </w:rPr>
              <w:t>48</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18</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25–44 года</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325 183</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162 963</w:t>
            </w:r>
          </w:p>
        </w:tc>
        <w:tc>
          <w:tcPr>
            <w:tcW w:w="1077" w:type="dxa"/>
          </w:tcPr>
          <w:p w:rsidR="00000000" w:rsidRDefault="00000000">
            <w:pPr>
              <w:spacing w:before="80" w:after="80" w:line="240" w:lineRule="auto"/>
              <w:jc w:val="center"/>
              <w:rPr>
                <w:rFonts w:ascii="Arial" w:hAnsi="Arial"/>
                <w:sz w:val="16"/>
              </w:rPr>
            </w:pPr>
            <w:r>
              <w:rPr>
                <w:rFonts w:ascii="Arial" w:hAnsi="Arial"/>
                <w:sz w:val="16"/>
              </w:rPr>
              <w:t>50</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29</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403 172</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201 377</w:t>
            </w:r>
          </w:p>
        </w:tc>
        <w:tc>
          <w:tcPr>
            <w:tcW w:w="1077" w:type="dxa"/>
          </w:tcPr>
          <w:p w:rsidR="00000000" w:rsidRDefault="00000000">
            <w:pPr>
              <w:spacing w:before="80" w:after="80" w:line="240" w:lineRule="auto"/>
              <w:jc w:val="center"/>
              <w:rPr>
                <w:rFonts w:ascii="Arial" w:hAnsi="Arial"/>
                <w:sz w:val="16"/>
              </w:rPr>
            </w:pPr>
            <w:r>
              <w:rPr>
                <w:rFonts w:ascii="Arial" w:hAnsi="Arial"/>
                <w:sz w:val="16"/>
              </w:rPr>
              <w:t>50</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31</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45–64 года</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148 007</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75 004</w:t>
            </w:r>
          </w:p>
        </w:tc>
        <w:tc>
          <w:tcPr>
            <w:tcW w:w="1077" w:type="dxa"/>
          </w:tcPr>
          <w:p w:rsidR="00000000" w:rsidRDefault="00000000">
            <w:pPr>
              <w:spacing w:before="80" w:after="80" w:line="240" w:lineRule="auto"/>
              <w:jc w:val="center"/>
              <w:rPr>
                <w:rFonts w:ascii="Arial" w:hAnsi="Arial"/>
                <w:sz w:val="16"/>
              </w:rPr>
            </w:pPr>
            <w:r>
              <w:rPr>
                <w:rFonts w:ascii="Arial" w:hAnsi="Arial"/>
                <w:sz w:val="16"/>
              </w:rPr>
              <w:t>50</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13</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215 601</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109 719</w:t>
            </w:r>
          </w:p>
        </w:tc>
        <w:tc>
          <w:tcPr>
            <w:tcW w:w="1077" w:type="dxa"/>
          </w:tcPr>
          <w:p w:rsidR="00000000" w:rsidRDefault="00000000">
            <w:pPr>
              <w:spacing w:before="80" w:after="80" w:line="240" w:lineRule="auto"/>
              <w:jc w:val="center"/>
              <w:rPr>
                <w:rFonts w:ascii="Arial" w:hAnsi="Arial"/>
                <w:sz w:val="16"/>
              </w:rPr>
            </w:pPr>
            <w:r>
              <w:rPr>
                <w:rFonts w:ascii="Arial" w:hAnsi="Arial"/>
                <w:sz w:val="16"/>
              </w:rPr>
              <w:t>51</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18</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65 +</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69 205</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37 154</w:t>
            </w:r>
          </w:p>
        </w:tc>
        <w:tc>
          <w:tcPr>
            <w:tcW w:w="1077" w:type="dxa"/>
          </w:tcPr>
          <w:p w:rsidR="00000000" w:rsidRDefault="00000000">
            <w:pPr>
              <w:spacing w:before="80" w:after="80" w:line="240" w:lineRule="auto"/>
              <w:jc w:val="center"/>
              <w:rPr>
                <w:rFonts w:ascii="Arial" w:hAnsi="Arial"/>
                <w:sz w:val="16"/>
              </w:rPr>
            </w:pPr>
            <w:r>
              <w:rPr>
                <w:rFonts w:ascii="Arial" w:hAnsi="Arial"/>
                <w:sz w:val="16"/>
              </w:rPr>
              <w:t>53</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5</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84 088</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47 573</w:t>
            </w:r>
          </w:p>
        </w:tc>
        <w:tc>
          <w:tcPr>
            <w:tcW w:w="1077" w:type="dxa"/>
          </w:tcPr>
          <w:p w:rsidR="00000000" w:rsidRDefault="00000000">
            <w:pPr>
              <w:spacing w:before="80" w:after="80" w:line="240" w:lineRule="auto"/>
              <w:jc w:val="center"/>
              <w:rPr>
                <w:rFonts w:ascii="Arial" w:hAnsi="Arial"/>
                <w:sz w:val="16"/>
              </w:rPr>
            </w:pPr>
            <w:r>
              <w:rPr>
                <w:rFonts w:ascii="Arial" w:hAnsi="Arial"/>
                <w:sz w:val="16"/>
              </w:rPr>
              <w:t>57</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7</w:t>
            </w:r>
          </w:p>
        </w:tc>
      </w:tr>
      <w:tr w:rsidR="00000000">
        <w:tblPrEx>
          <w:tblCellMar>
            <w:top w:w="0" w:type="dxa"/>
            <w:bottom w:w="0" w:type="dxa"/>
          </w:tblCellMar>
        </w:tblPrEx>
        <w:tc>
          <w:tcPr>
            <w:tcW w:w="1134" w:type="dxa"/>
          </w:tcPr>
          <w:p w:rsidR="00000000" w:rsidRDefault="00000000">
            <w:pPr>
              <w:spacing w:before="80" w:after="80" w:line="240" w:lineRule="auto"/>
              <w:rPr>
                <w:rFonts w:ascii="Arial" w:hAnsi="Arial"/>
                <w:sz w:val="16"/>
              </w:rPr>
            </w:pPr>
            <w:r>
              <w:rPr>
                <w:rFonts w:ascii="Arial" w:hAnsi="Arial"/>
                <w:sz w:val="16"/>
              </w:rPr>
              <w:t>Всего</w:t>
            </w:r>
          </w:p>
        </w:tc>
        <w:tc>
          <w:tcPr>
            <w:tcW w:w="1077"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1 118 447</w:t>
            </w:r>
          </w:p>
        </w:tc>
        <w:tc>
          <w:tcPr>
            <w:tcW w:w="851"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561 199</w:t>
            </w:r>
          </w:p>
        </w:tc>
        <w:tc>
          <w:tcPr>
            <w:tcW w:w="1077" w:type="dxa"/>
          </w:tcPr>
          <w:p w:rsidR="00000000" w:rsidRDefault="00000000">
            <w:pPr>
              <w:spacing w:before="80" w:after="80" w:line="240" w:lineRule="auto"/>
              <w:jc w:val="center"/>
              <w:rPr>
                <w:rFonts w:ascii="Arial" w:hAnsi="Arial"/>
                <w:sz w:val="16"/>
              </w:rPr>
            </w:pPr>
            <w:r>
              <w:rPr>
                <w:rFonts w:ascii="Arial" w:hAnsi="Arial"/>
                <w:sz w:val="16"/>
              </w:rPr>
              <w:t>50</w:t>
            </w:r>
          </w:p>
        </w:tc>
        <w:tc>
          <w:tcPr>
            <w:tcW w:w="1021"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100</w:t>
            </w:r>
          </w:p>
        </w:tc>
        <w:tc>
          <w:tcPr>
            <w:tcW w:w="1021" w:type="dxa"/>
          </w:tcPr>
          <w:p w:rsidR="00000000" w:rsidRDefault="00000000">
            <w:pPr>
              <w:tabs>
                <w:tab w:val="clear" w:pos="340"/>
                <w:tab w:val="clear" w:pos="680"/>
                <w:tab w:val="decimal" w:pos="794"/>
              </w:tabs>
              <w:spacing w:before="80" w:after="80" w:line="240" w:lineRule="auto"/>
              <w:rPr>
                <w:rFonts w:ascii="Arial" w:hAnsi="Arial"/>
                <w:sz w:val="16"/>
              </w:rPr>
            </w:pPr>
            <w:r>
              <w:rPr>
                <w:rFonts w:ascii="Arial" w:hAnsi="Arial"/>
                <w:sz w:val="16"/>
              </w:rPr>
              <w:t>1 277 675</w:t>
            </w:r>
          </w:p>
        </w:tc>
        <w:tc>
          <w:tcPr>
            <w:tcW w:w="907" w:type="dxa"/>
          </w:tcPr>
          <w:p w:rsidR="00000000" w:rsidRDefault="00000000">
            <w:pPr>
              <w:tabs>
                <w:tab w:val="clear" w:pos="340"/>
                <w:tab w:val="decimal" w:pos="680"/>
              </w:tabs>
              <w:spacing w:before="80" w:after="80" w:line="240" w:lineRule="auto"/>
              <w:rPr>
                <w:rFonts w:ascii="Arial" w:hAnsi="Arial"/>
                <w:sz w:val="16"/>
              </w:rPr>
            </w:pPr>
            <w:r>
              <w:rPr>
                <w:rFonts w:ascii="Arial" w:hAnsi="Arial"/>
                <w:sz w:val="16"/>
              </w:rPr>
              <w:t>639 579</w:t>
            </w:r>
          </w:p>
        </w:tc>
        <w:tc>
          <w:tcPr>
            <w:tcW w:w="1077" w:type="dxa"/>
          </w:tcPr>
          <w:p w:rsidR="00000000" w:rsidRDefault="00000000">
            <w:pPr>
              <w:spacing w:before="80" w:after="80" w:line="240" w:lineRule="auto"/>
              <w:jc w:val="center"/>
              <w:rPr>
                <w:rFonts w:ascii="Arial" w:hAnsi="Arial"/>
                <w:sz w:val="16"/>
              </w:rPr>
            </w:pPr>
            <w:r>
              <w:rPr>
                <w:rFonts w:ascii="Arial" w:hAnsi="Arial"/>
                <w:sz w:val="16"/>
              </w:rPr>
              <w:t>50</w:t>
            </w:r>
          </w:p>
        </w:tc>
        <w:tc>
          <w:tcPr>
            <w:tcW w:w="1077" w:type="dxa"/>
          </w:tcPr>
          <w:p w:rsidR="00000000" w:rsidRDefault="00000000">
            <w:pPr>
              <w:tabs>
                <w:tab w:val="clear" w:pos="340"/>
                <w:tab w:val="clear" w:pos="680"/>
                <w:tab w:val="decimal" w:pos="567"/>
              </w:tabs>
              <w:spacing w:before="80" w:after="80" w:line="240" w:lineRule="auto"/>
              <w:rPr>
                <w:rFonts w:ascii="Arial" w:hAnsi="Arial"/>
                <w:sz w:val="16"/>
              </w:rPr>
            </w:pPr>
            <w:r>
              <w:rPr>
                <w:rFonts w:ascii="Arial" w:hAnsi="Arial"/>
                <w:sz w:val="16"/>
              </w:rPr>
              <w:t>100</w:t>
            </w:r>
          </w:p>
        </w:tc>
      </w:tr>
    </w:tbl>
    <w:p w:rsidR="00000000" w:rsidRDefault="00000000">
      <w:pPr>
        <w:spacing w:before="40"/>
      </w:pPr>
    </w:p>
    <w:p w:rsidR="00000000" w:rsidRDefault="00000000">
      <w:r>
        <w:rPr>
          <w:lang w:val="en-US"/>
        </w:rPr>
        <w:t>4.</w:t>
      </w:r>
      <w:r>
        <w:rPr>
          <w:lang w:val="en-US"/>
        </w:rPr>
        <w:tab/>
      </w:r>
      <w:r>
        <w:t>Республика Тринидад и Тобаго известна своим этническим и культурным разнообразием. По данным на середину 1996</w:t>
      </w:r>
      <w:r>
        <w:rPr>
          <w:lang w:val="en-US"/>
        </w:rPr>
        <w:t> </w:t>
      </w:r>
      <w:r>
        <w:t xml:space="preserve">года, около 40,3 процента населения составляли уроженцы Ост-Индии, 39,6 процента – африканцы, 0,6 процента – белые, 0,4 процента – китайцы, 0,1 процента – сирийцы/ливанцы, 18,4 процента – лица смешанной крови и 0,6 процента – "прочие", или лица, национальность которых не установлена. Для Тринидада и Тобаго также характерны большое разнообразие верований и терпимость, что дает возможность исповедовать самые разные религии, в том числе христианство, индуизм, ислам и </w:t>
      </w:r>
      <w:r>
        <w:rPr>
          <w:lang w:val="en-US"/>
        </w:rPr>
        <w:t>Orisa</w:t>
      </w:r>
      <w:r>
        <w:t xml:space="preserve">. </w:t>
      </w:r>
    </w:p>
    <w:p w:rsidR="00000000" w:rsidRDefault="00000000">
      <w:r>
        <w:rPr>
          <w:lang w:val="en-US"/>
        </w:rPr>
        <w:t>5.</w:t>
      </w:r>
      <w:r>
        <w:rPr>
          <w:lang w:val="en-US"/>
        </w:rPr>
        <w:tab/>
      </w:r>
      <w:r>
        <w:t xml:space="preserve">В систему общественного здравоохранения Тринидада и Тобаго входит свыше 100 медицинских центров, семь больниц и шесть других медицинских учреждений. Они работают под руководством Министерства здравоохранения и четырех региональных органов здравоохранения. Шесть медицинских учреждений, расположенных в разных районах страны, предоставляют ограниченное число специализированных медицинских услуг инвалидам. Систему общественного здравоохранения дополняет система частного здравоохранения, в рамках которой трудится большое число частнопрактикующих врачей и имеется несколько частных больниц. Фактически все население Тринидада и Тобаго имеет доступ к лечебным учреждениям, которые имеют в своем распоряжении 20 видов самых необходимых лекарственных средств и которые находятся не более чем в часе ходьбы или езды от местожительства пациентов. Большинство медицинских учреждений снабжается этими лекарственными средствами; обычно такие учреждения расположены в радиусе пяти миль от населенных пунктов, которые они обслуживают. </w:t>
      </w:r>
    </w:p>
    <w:p w:rsidR="00000000" w:rsidRDefault="00000000">
      <w:r>
        <w:rPr>
          <w:lang w:val="en-US"/>
        </w:rPr>
        <w:t>6.</w:t>
      </w:r>
      <w:r>
        <w:rPr>
          <w:lang w:val="en-US"/>
        </w:rPr>
        <w:tab/>
      </w:r>
      <w:r>
        <w:t xml:space="preserve">В 1995 году правительство </w:t>
      </w:r>
      <w:bookmarkStart w:id="5" w:name="OLE_LINK1"/>
      <w:r>
        <w:t xml:space="preserve">Тринидада </w:t>
      </w:r>
      <w:bookmarkEnd w:id="5"/>
      <w:r>
        <w:t xml:space="preserve">и Тобаго инициировало реализацию программы реформирования системы здравоохранения, в том числе децентрализацию этой отрасли, в качестве стратегии достижения эффективного и одинаково доступного медицинского обслуживания. Выполнение этой программы продолжается. В структуру Министерства здравоохранения теперь входит Директорат содействия развитию здравоохранения и общественного здравоохранения, который отвечает за координацию программ медицинского просвещения и пропаганду различных методов ведения здорового образа жизни. </w:t>
      </w:r>
    </w:p>
    <w:p w:rsidR="00000000" w:rsidRDefault="00000000">
      <w:r>
        <w:rPr>
          <w:lang w:val="en-US"/>
        </w:rPr>
        <w:t>7.</w:t>
      </w:r>
      <w:r>
        <w:rPr>
          <w:lang w:val="en-US"/>
        </w:rPr>
        <w:tab/>
      </w:r>
      <w:r>
        <w:t xml:space="preserve">Министерство социального и общинного развития – это учреждение, ответственное за повышение уровня жизни всех граждан, особенно нуждающихся. Работа Министерства сосредоточена на развитии системы социальных услуг путем реализации программы социального обеспечения и организации национальных служб семьи, пробации и развития общины. </w:t>
      </w:r>
    </w:p>
    <w:p w:rsidR="00000000" w:rsidRDefault="00000000">
      <w:r>
        <w:rPr>
          <w:lang w:val="en-US"/>
        </w:rPr>
        <w:t>8.</w:t>
      </w:r>
      <w:r>
        <w:rPr>
          <w:lang w:val="en-US"/>
        </w:rPr>
        <w:tab/>
      </w:r>
      <w:r>
        <w:t xml:space="preserve">Хотя за последние пять (5) лет объем бюджетных средств, выделяемых на социальные программы и сектор здравоохранения, увеличился, домохозяйства с низким уровнем доходов и домохозяйства, в которых главой семьи является одинокая женщина, по-прежнему остаются социально незащищенными вследствие либерализации торговли, темпов инфляции и бремени рационализации сектора здравоохранения в интересах возмещения издержек. </w:t>
      </w:r>
    </w:p>
    <w:p w:rsidR="00000000" w:rsidRDefault="00000000">
      <w:r>
        <w:rPr>
          <w:lang w:val="en-US"/>
        </w:rPr>
        <w:t>9.</w:t>
      </w:r>
      <w:r>
        <w:rPr>
          <w:lang w:val="en-US"/>
        </w:rPr>
        <w:tab/>
      </w:r>
      <w:r>
        <w:t>Министерство жилищного строительства и расселения является государственным министерством, которому поручено производить и продавать доступное по цене жилье группам населения с низким и средним уровнем дохода. Это согласуется с намерением правительства обеспечить приемлемое и доступное по цене жилье всем гражданам страны.</w:t>
      </w:r>
    </w:p>
    <w:p w:rsidR="00000000" w:rsidRDefault="00000000">
      <w:r>
        <w:rPr>
          <w:lang w:val="en-US"/>
        </w:rPr>
        <w:t>10.</w:t>
      </w:r>
      <w:r>
        <w:rPr>
          <w:lang w:val="en-US"/>
        </w:rPr>
        <w:tab/>
      </w:r>
      <w:r>
        <w:t>По статистическим данным, в 1990 году в стране насчитывалось 197 745 домашних хозяйств, возглавляемых мужчиной, и 77 101 домашнее хозяйство во главе с женщиной. В возглавляемых мужчиной домохозяйствах проживали 828 699 человек, в хозяйствах во главе с женщиной – 296 429 человек. Средняя численность семьи, возглавляемой мужчиной, составляла 4,19 человека, а в семьях во главе с женщиной – 3,84</w:t>
      </w:r>
      <w:r>
        <w:rPr>
          <w:lang w:val="en-US"/>
        </w:rPr>
        <w:t> </w:t>
      </w:r>
      <w:r>
        <w:t>человека.</w:t>
      </w:r>
    </w:p>
    <w:p w:rsidR="00000000" w:rsidRDefault="00000000">
      <w:r>
        <w:rPr>
          <w:lang w:val="en-US"/>
        </w:rPr>
        <w:t>11.</w:t>
      </w:r>
      <w:r>
        <w:rPr>
          <w:lang w:val="en-US"/>
        </w:rPr>
        <w:tab/>
      </w:r>
      <w:r>
        <w:t xml:space="preserve">Официальный язык Тринидада и Тобаго – английский. По статистическим данным об уровне грамотности 1994 года, 77,4 процента от общей численности населения практически грамотны, 14,6 процента – практически неграмотны и 0,8 процента – полностью неграмотны. </w:t>
      </w:r>
    </w:p>
    <w:p w:rsidR="00000000" w:rsidRDefault="00000000">
      <w:r>
        <w:rPr>
          <w:lang w:val="en-US"/>
        </w:rPr>
        <w:t>12.</w:t>
      </w:r>
      <w:r>
        <w:rPr>
          <w:lang w:val="en-US"/>
        </w:rPr>
        <w:tab/>
      </w:r>
      <w:r>
        <w:t xml:space="preserve">Система образования в Тринидаде и Тобаго развивалась на основе британской колониальной системы, модифицированной на средства Карибского экзаменационного совета. В эту систему входят как государственные, так и частные школы, которые функционируют под руководством Министерства образования. Государственные школы и субсидируемые правительством школы с учащимися одного вероисповедания предоставляют бесплатное образование на уровне начальной и средней школы до пятого класса. На конкурсной основе небольшой процент успевающих учащихся получает возможность бесплатно обучаться еще два года, после чего сдает экзамены по программе средней школы на повышенном уровне, установленные Карибским экзаменационным советом, а также английскими Кембриджским, Оксфордским и Лондонским университетами. Другие учащиеся могут сдавать эти экзамены на частной основе. В начальной школе учатся дети в возрасте от 4 до 12 лет, а в средней школе – в возрасте от 11 до 20 лет. Имеются также начальные и средние частные школы. В настоящее время в стране работает в общей сложности 155 средних и 477 начальных школ. Из 155 средних школ 29 субсидируются правительством, 71 школа финансируется правительством, а 55 – это частные школы. Из общего числа начальных школ 341 субсидируется правительством, 136 финансируются правительством, а 68 – это частные школы. В стране есть несколько институтов, студенты которых получают высшее образование; это, в частности, Вест-Индский университет, расположенный в кампусе Сент-Огастин на Тринидаде. На Тринидаде имеются также региональная юридическая школа и медицинская школа. Кроме того, в 2000 году правительством Тринидада и Тобаго был учрежден общинный колледж. Образование можно получить в субсидируемых правительством высших учебных заведениях, предоставляющих весьма существенные скидки студентам. </w:t>
      </w:r>
    </w:p>
    <w:p w:rsidR="00000000" w:rsidRDefault="00000000">
      <w:pPr>
        <w:pStyle w:val="Heading2"/>
      </w:pPr>
      <w:r>
        <w:t>Экономика</w:t>
      </w:r>
    </w:p>
    <w:p w:rsidR="00000000" w:rsidRDefault="00000000">
      <w:r>
        <w:rPr>
          <w:lang w:val="en-US"/>
        </w:rPr>
        <w:t>13.</w:t>
      </w:r>
      <w:r>
        <w:rPr>
          <w:lang w:val="en-US"/>
        </w:rPr>
        <w:tab/>
      </w:r>
      <w:r>
        <w:t>Тринидад и Тобаго имеет бюджетную экономику с валовым внутренним продуктом в 36</w:t>
      </w:r>
      <w:r>
        <w:rPr>
          <w:lang w:val="en-US"/>
        </w:rPr>
        <w:t> </w:t>
      </w:r>
      <w:r>
        <w:t>493,50</w:t>
      </w:r>
      <w:r>
        <w:rPr>
          <w:lang w:val="en-US"/>
        </w:rPr>
        <w:t> </w:t>
      </w:r>
      <w:r>
        <w:t>млн. долл. ТТ по рыночным ценам (1998 год). Следуя путем значительных финансовых и экономических реформ, экономика Тринидада и Тобаго постоянно росла в последние пять лет. В 1998 году темпы роста экономики составили 3,6 процента, а за первые три месяца 1999 года – 0,9 процента. Размер внешнего долга в процентах от валового внутреннего продукта снизился с 26,5 процента в конце 1997 года до 24,6 процента на конец 1998</w:t>
      </w:r>
      <w:r>
        <w:rPr>
          <w:lang w:val="en-US"/>
        </w:rPr>
        <w:t> </w:t>
      </w:r>
      <w:r>
        <w:t>года.</w:t>
      </w:r>
    </w:p>
    <w:p w:rsidR="00000000" w:rsidRDefault="00000000">
      <w:pPr>
        <w:spacing w:after="0"/>
      </w:pPr>
      <w:r>
        <w:rPr>
          <w:lang w:val="en-US"/>
        </w:rPr>
        <w:tab/>
      </w:r>
      <w:r>
        <w:rPr>
          <w:lang w:val="en-US"/>
        </w:rPr>
        <w:tab/>
      </w:r>
      <w:r>
        <w:rPr>
          <w:b/>
        </w:rPr>
        <w:t>Валовой внутренний продукт</w:t>
      </w:r>
      <w:r>
        <w:t xml:space="preserve"> </w:t>
      </w:r>
      <w:r>
        <w:rPr>
          <w:sz w:val="16"/>
        </w:rPr>
        <w:t>по состоянию на март 2000 года</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79"/>
        <w:gridCol w:w="4502"/>
      </w:tblGrid>
      <w:tr w:rsidR="00000000">
        <w:tblPrEx>
          <w:tblCellMar>
            <w:top w:w="0" w:type="dxa"/>
            <w:bottom w:w="0" w:type="dxa"/>
          </w:tblCellMar>
        </w:tblPrEx>
        <w:tc>
          <w:tcPr>
            <w:tcW w:w="4479" w:type="dxa"/>
          </w:tcPr>
          <w:p w:rsidR="00000000" w:rsidRDefault="00000000">
            <w:pPr>
              <w:spacing w:before="60" w:after="20" w:line="240" w:lineRule="auto"/>
              <w:jc w:val="center"/>
              <w:rPr>
                <w:rFonts w:ascii="Arial" w:hAnsi="Arial"/>
                <w:sz w:val="16"/>
              </w:rPr>
            </w:pPr>
            <w:r>
              <w:rPr>
                <w:rFonts w:ascii="Arial" w:hAnsi="Arial"/>
                <w:sz w:val="16"/>
              </w:rPr>
              <w:t>ГОД</w:t>
            </w:r>
          </w:p>
        </w:tc>
        <w:tc>
          <w:tcPr>
            <w:tcW w:w="4502" w:type="dxa"/>
          </w:tcPr>
          <w:p w:rsidR="00000000" w:rsidRDefault="00000000">
            <w:pPr>
              <w:spacing w:before="60" w:after="20" w:line="240" w:lineRule="auto"/>
              <w:jc w:val="center"/>
              <w:rPr>
                <w:rFonts w:ascii="Arial" w:hAnsi="Arial"/>
                <w:sz w:val="16"/>
              </w:rPr>
            </w:pPr>
            <w:r>
              <w:rPr>
                <w:rFonts w:ascii="Arial" w:hAnsi="Arial"/>
                <w:sz w:val="16"/>
              </w:rPr>
              <w:t>ВАЛОВОЙ ВНУТРЕННИЙ ПРОДУКТ</w:t>
            </w:r>
            <w:r>
              <w:rPr>
                <w:rFonts w:ascii="Arial" w:hAnsi="Arial"/>
                <w:sz w:val="16"/>
              </w:rPr>
              <w:br/>
              <w:t>(В МЛН. ДОЛЛ. ТТ)</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2000</w:t>
            </w:r>
          </w:p>
        </w:tc>
        <w:tc>
          <w:tcPr>
            <w:tcW w:w="4502" w:type="dxa"/>
          </w:tcPr>
          <w:p w:rsidR="00000000" w:rsidRDefault="00000000">
            <w:pPr>
              <w:spacing w:before="40" w:after="20" w:line="240" w:lineRule="auto"/>
              <w:jc w:val="center"/>
              <w:rPr>
                <w:rFonts w:ascii="Arial" w:hAnsi="Arial"/>
                <w:sz w:val="16"/>
              </w:rPr>
            </w:pPr>
            <w:r>
              <w:rPr>
                <w:rFonts w:ascii="Arial" w:hAnsi="Arial"/>
                <w:sz w:val="16"/>
              </w:rPr>
              <w:t>50 390,20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1999</w:t>
            </w:r>
          </w:p>
        </w:tc>
        <w:tc>
          <w:tcPr>
            <w:tcW w:w="4502" w:type="dxa"/>
          </w:tcPr>
          <w:p w:rsidR="00000000" w:rsidRDefault="00000000">
            <w:pPr>
              <w:spacing w:before="40" w:after="20" w:line="240" w:lineRule="auto"/>
              <w:jc w:val="center"/>
              <w:rPr>
                <w:rFonts w:ascii="Arial" w:hAnsi="Arial"/>
                <w:sz w:val="16"/>
              </w:rPr>
            </w:pPr>
            <w:r>
              <w:rPr>
                <w:rFonts w:ascii="Arial" w:hAnsi="Arial"/>
                <w:sz w:val="16"/>
              </w:rPr>
              <w:t>42 586,90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1998</w:t>
            </w:r>
          </w:p>
        </w:tc>
        <w:tc>
          <w:tcPr>
            <w:tcW w:w="4502" w:type="dxa"/>
          </w:tcPr>
          <w:p w:rsidR="00000000" w:rsidRDefault="00000000">
            <w:pPr>
              <w:spacing w:before="40" w:after="20" w:line="240" w:lineRule="auto"/>
              <w:jc w:val="center"/>
              <w:rPr>
                <w:rFonts w:ascii="Arial" w:hAnsi="Arial"/>
                <w:sz w:val="16"/>
              </w:rPr>
            </w:pPr>
            <w:r>
              <w:rPr>
                <w:rFonts w:ascii="Arial" w:hAnsi="Arial"/>
                <w:sz w:val="16"/>
              </w:rPr>
              <w:t>38 197,10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1997</w:t>
            </w:r>
          </w:p>
        </w:tc>
        <w:tc>
          <w:tcPr>
            <w:tcW w:w="4502" w:type="dxa"/>
          </w:tcPr>
          <w:p w:rsidR="00000000" w:rsidRDefault="00000000">
            <w:pPr>
              <w:spacing w:before="40" w:after="20" w:line="240" w:lineRule="auto"/>
              <w:jc w:val="center"/>
              <w:rPr>
                <w:rFonts w:ascii="Arial" w:hAnsi="Arial"/>
                <w:sz w:val="16"/>
              </w:rPr>
            </w:pPr>
            <w:r>
              <w:rPr>
                <w:rFonts w:ascii="Arial" w:hAnsi="Arial"/>
                <w:sz w:val="16"/>
              </w:rPr>
              <w:t>36 969,70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1996</w:t>
            </w:r>
          </w:p>
        </w:tc>
        <w:tc>
          <w:tcPr>
            <w:tcW w:w="4502" w:type="dxa"/>
          </w:tcPr>
          <w:p w:rsidR="00000000" w:rsidRDefault="00000000">
            <w:pPr>
              <w:spacing w:before="40" w:after="20" w:line="240" w:lineRule="auto"/>
              <w:jc w:val="center"/>
              <w:rPr>
                <w:rFonts w:ascii="Arial" w:hAnsi="Arial"/>
                <w:sz w:val="16"/>
              </w:rPr>
            </w:pPr>
            <w:r>
              <w:rPr>
                <w:rFonts w:ascii="Arial" w:hAnsi="Arial"/>
                <w:sz w:val="16"/>
              </w:rPr>
              <w:t>34 648,10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1995</w:t>
            </w:r>
          </w:p>
        </w:tc>
        <w:tc>
          <w:tcPr>
            <w:tcW w:w="4502" w:type="dxa"/>
          </w:tcPr>
          <w:p w:rsidR="00000000" w:rsidRDefault="00000000">
            <w:pPr>
              <w:spacing w:before="40" w:after="20" w:line="240" w:lineRule="auto"/>
              <w:jc w:val="center"/>
              <w:rPr>
                <w:rFonts w:ascii="Arial" w:hAnsi="Arial"/>
                <w:sz w:val="16"/>
              </w:rPr>
            </w:pPr>
            <w:r>
              <w:rPr>
                <w:rFonts w:ascii="Arial" w:hAnsi="Arial"/>
                <w:sz w:val="16"/>
              </w:rPr>
              <w:t>31 665,00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1994</w:t>
            </w:r>
          </w:p>
        </w:tc>
        <w:tc>
          <w:tcPr>
            <w:tcW w:w="4502" w:type="dxa"/>
          </w:tcPr>
          <w:p w:rsidR="00000000" w:rsidRDefault="00000000">
            <w:pPr>
              <w:spacing w:before="40" w:after="20" w:line="240" w:lineRule="auto"/>
              <w:jc w:val="center"/>
              <w:rPr>
                <w:rFonts w:ascii="Arial" w:hAnsi="Arial"/>
                <w:sz w:val="16"/>
              </w:rPr>
            </w:pPr>
            <w:r>
              <w:rPr>
                <w:rFonts w:ascii="Arial" w:hAnsi="Arial"/>
                <w:sz w:val="16"/>
              </w:rPr>
              <w:t>29 311,70</w:t>
            </w:r>
          </w:p>
        </w:tc>
      </w:tr>
      <w:tr w:rsidR="00000000">
        <w:tblPrEx>
          <w:tblCellMar>
            <w:top w:w="0" w:type="dxa"/>
            <w:bottom w:w="0" w:type="dxa"/>
          </w:tblCellMar>
        </w:tblPrEx>
        <w:tc>
          <w:tcPr>
            <w:tcW w:w="4479" w:type="dxa"/>
          </w:tcPr>
          <w:p w:rsidR="00000000" w:rsidRDefault="00000000">
            <w:pPr>
              <w:spacing w:before="40" w:after="20" w:line="240" w:lineRule="auto"/>
              <w:jc w:val="center"/>
              <w:rPr>
                <w:rFonts w:ascii="Arial" w:hAnsi="Arial"/>
                <w:sz w:val="16"/>
              </w:rPr>
            </w:pPr>
            <w:r>
              <w:rPr>
                <w:rFonts w:ascii="Arial" w:hAnsi="Arial"/>
                <w:sz w:val="16"/>
              </w:rPr>
              <w:t>1993</w:t>
            </w:r>
          </w:p>
        </w:tc>
        <w:tc>
          <w:tcPr>
            <w:tcW w:w="4502" w:type="dxa"/>
          </w:tcPr>
          <w:p w:rsidR="00000000" w:rsidRDefault="00000000">
            <w:pPr>
              <w:spacing w:before="40" w:after="20" w:line="240" w:lineRule="auto"/>
              <w:jc w:val="center"/>
              <w:rPr>
                <w:rFonts w:ascii="Arial" w:hAnsi="Arial"/>
                <w:sz w:val="16"/>
              </w:rPr>
            </w:pPr>
            <w:r>
              <w:rPr>
                <w:rFonts w:ascii="Arial" w:hAnsi="Arial"/>
                <w:sz w:val="16"/>
              </w:rPr>
              <w:t>24 490,50</w:t>
            </w:r>
          </w:p>
        </w:tc>
      </w:tr>
    </w:tbl>
    <w:p w:rsidR="00000000" w:rsidRDefault="00000000"/>
    <w:p w:rsidR="00000000" w:rsidRDefault="00000000">
      <w:r>
        <w:rPr>
          <w:lang w:val="en-US"/>
        </w:rPr>
        <w:t>14.</w:t>
      </w:r>
      <w:r>
        <w:rPr>
          <w:lang w:val="en-US"/>
        </w:rPr>
        <w:tab/>
      </w:r>
      <w:r>
        <w:t>Основными секторами экономики являются: 1) нефтяной, газовый и нефтехимический, 2) распределение, 3) финансы, страхование и недвижимость, 4) строительство, 5) транспорт, складское хозяйство и связь, 6) правительственный аппарат, 7) производство, 8) прочие службы, в том числе гостиницы, пансионаты, образование, коммунальные и частные услуги, 9) электро- и водоснабжение, 10) сельское хозяйство.</w:t>
      </w:r>
    </w:p>
    <w:p w:rsidR="00000000" w:rsidRDefault="00000000">
      <w:pPr>
        <w:rPr>
          <w:b/>
        </w:rPr>
      </w:pPr>
      <w:r>
        <w:rPr>
          <w:lang w:val="en-US"/>
        </w:rPr>
        <w:t>15.</w:t>
      </w:r>
      <w:r>
        <w:rPr>
          <w:lang w:val="en-US"/>
        </w:rPr>
        <w:tab/>
      </w:r>
      <w:r>
        <w:rPr>
          <w:lang w:val="en-US"/>
        </w:rPr>
        <w:tab/>
      </w:r>
      <w:r>
        <w:rPr>
          <w:b/>
        </w:rPr>
        <w:t>Темпы инфляции (изменение индекса потребительских цен, %)</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871"/>
        <w:gridCol w:w="1191"/>
        <w:gridCol w:w="1191"/>
        <w:gridCol w:w="1191"/>
        <w:gridCol w:w="1191"/>
        <w:gridCol w:w="1191"/>
        <w:gridCol w:w="1191"/>
      </w:tblGrid>
      <w:tr w:rsidR="00000000">
        <w:tblPrEx>
          <w:tblCellMar>
            <w:top w:w="0" w:type="dxa"/>
            <w:bottom w:w="0" w:type="dxa"/>
          </w:tblCellMar>
        </w:tblPrEx>
        <w:tc>
          <w:tcPr>
            <w:tcW w:w="1871" w:type="dxa"/>
          </w:tcPr>
          <w:p w:rsidR="00000000" w:rsidRDefault="00000000">
            <w:pPr>
              <w:spacing w:before="120" w:after="20" w:line="240" w:lineRule="auto"/>
              <w:rPr>
                <w:rFonts w:ascii="Arial" w:hAnsi="Arial"/>
                <w:sz w:val="16"/>
              </w:rPr>
            </w:pPr>
            <w:r>
              <w:rPr>
                <w:rFonts w:ascii="Arial" w:hAnsi="Arial"/>
                <w:sz w:val="16"/>
              </w:rPr>
              <w:t>Год</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1986</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1989</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1992</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1995</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1998</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1999</w:t>
            </w:r>
          </w:p>
        </w:tc>
      </w:tr>
      <w:tr w:rsidR="00000000">
        <w:tblPrEx>
          <w:tblCellMar>
            <w:top w:w="0" w:type="dxa"/>
            <w:bottom w:w="0" w:type="dxa"/>
          </w:tblCellMar>
        </w:tblPrEx>
        <w:tc>
          <w:tcPr>
            <w:tcW w:w="1871" w:type="dxa"/>
          </w:tcPr>
          <w:p w:rsidR="00000000" w:rsidRDefault="00000000">
            <w:pPr>
              <w:spacing w:before="120" w:after="20" w:line="240" w:lineRule="auto"/>
              <w:rPr>
                <w:rFonts w:ascii="Arial" w:hAnsi="Arial"/>
                <w:sz w:val="16"/>
              </w:rPr>
            </w:pPr>
            <w:r>
              <w:rPr>
                <w:rFonts w:ascii="Arial" w:hAnsi="Arial"/>
                <w:sz w:val="16"/>
              </w:rPr>
              <w:t xml:space="preserve">Темпы инфляции </w:t>
            </w:r>
          </w:p>
        </w:tc>
        <w:tc>
          <w:tcPr>
            <w:tcW w:w="1191" w:type="dxa"/>
          </w:tcPr>
          <w:p w:rsidR="00000000" w:rsidRDefault="00000000">
            <w:pPr>
              <w:spacing w:before="120" w:after="20" w:line="240" w:lineRule="auto"/>
              <w:jc w:val="center"/>
              <w:rPr>
                <w:rFonts w:ascii="Arial" w:hAnsi="Arial"/>
                <w:sz w:val="16"/>
              </w:rPr>
            </w:pPr>
            <w:r>
              <w:rPr>
                <w:rFonts w:ascii="Arial" w:hAnsi="Arial"/>
                <w:sz w:val="16"/>
              </w:rPr>
              <w:t>7,7</w:t>
            </w:r>
          </w:p>
        </w:tc>
        <w:tc>
          <w:tcPr>
            <w:tcW w:w="1191" w:type="dxa"/>
          </w:tcPr>
          <w:p w:rsidR="00000000" w:rsidRDefault="00000000">
            <w:pPr>
              <w:spacing w:before="120" w:after="20" w:line="240" w:lineRule="auto"/>
              <w:jc w:val="center"/>
              <w:rPr>
                <w:rFonts w:ascii="Arial" w:hAnsi="Arial"/>
                <w:sz w:val="16"/>
              </w:rPr>
            </w:pPr>
            <w:r>
              <w:rPr>
                <w:rFonts w:ascii="Arial" w:hAnsi="Arial"/>
                <w:sz w:val="16"/>
              </w:rPr>
              <w:t>11,4</w:t>
            </w:r>
          </w:p>
        </w:tc>
        <w:tc>
          <w:tcPr>
            <w:tcW w:w="1191" w:type="dxa"/>
          </w:tcPr>
          <w:p w:rsidR="00000000" w:rsidRDefault="00000000">
            <w:pPr>
              <w:spacing w:before="120" w:after="20" w:line="240" w:lineRule="auto"/>
              <w:jc w:val="center"/>
              <w:rPr>
                <w:rFonts w:ascii="Arial" w:hAnsi="Arial"/>
                <w:sz w:val="16"/>
              </w:rPr>
            </w:pPr>
            <w:r>
              <w:rPr>
                <w:rFonts w:ascii="Arial" w:hAnsi="Arial"/>
                <w:sz w:val="16"/>
              </w:rPr>
              <w:t>6,6</w:t>
            </w:r>
          </w:p>
        </w:tc>
        <w:tc>
          <w:tcPr>
            <w:tcW w:w="1191" w:type="dxa"/>
          </w:tcPr>
          <w:p w:rsidR="00000000" w:rsidRDefault="00000000">
            <w:pPr>
              <w:spacing w:before="120" w:after="20" w:line="240" w:lineRule="auto"/>
              <w:jc w:val="center"/>
              <w:rPr>
                <w:rFonts w:ascii="Arial" w:hAnsi="Arial"/>
                <w:sz w:val="16"/>
              </w:rPr>
            </w:pPr>
            <w:r>
              <w:rPr>
                <w:rFonts w:ascii="Arial" w:hAnsi="Arial"/>
                <w:sz w:val="16"/>
              </w:rPr>
              <w:t>5,3</w:t>
            </w:r>
          </w:p>
        </w:tc>
        <w:tc>
          <w:tcPr>
            <w:tcW w:w="1191" w:type="dxa"/>
          </w:tcPr>
          <w:p w:rsidR="00000000" w:rsidRDefault="00000000">
            <w:pPr>
              <w:spacing w:before="120" w:after="20" w:line="240" w:lineRule="auto"/>
              <w:jc w:val="center"/>
              <w:rPr>
                <w:rFonts w:ascii="Arial" w:hAnsi="Arial"/>
                <w:sz w:val="16"/>
              </w:rPr>
            </w:pPr>
            <w:r>
              <w:rPr>
                <w:rFonts w:ascii="Arial" w:hAnsi="Arial"/>
                <w:sz w:val="16"/>
              </w:rPr>
              <w:t>5,6</w:t>
            </w:r>
          </w:p>
        </w:tc>
        <w:tc>
          <w:tcPr>
            <w:tcW w:w="1191" w:type="dxa"/>
          </w:tcPr>
          <w:p w:rsidR="00000000" w:rsidRDefault="00000000">
            <w:pPr>
              <w:spacing w:before="120" w:after="20" w:line="240" w:lineRule="auto"/>
              <w:jc w:val="center"/>
              <w:rPr>
                <w:rFonts w:ascii="Arial" w:hAnsi="Arial"/>
                <w:sz w:val="16"/>
              </w:rPr>
            </w:pPr>
            <w:r>
              <w:rPr>
                <w:rFonts w:ascii="Arial" w:hAnsi="Arial"/>
                <w:sz w:val="16"/>
              </w:rPr>
              <w:t>2,3</w:t>
            </w:r>
          </w:p>
        </w:tc>
      </w:tr>
    </w:tbl>
    <w:p w:rsidR="00000000" w:rsidRDefault="00000000">
      <w:pPr>
        <w:rPr>
          <w:sz w:val="16"/>
        </w:rPr>
      </w:pPr>
      <w:r>
        <w:rPr>
          <w:lang w:val="en-US"/>
        </w:rPr>
        <w:tab/>
      </w:r>
      <w:r>
        <w:rPr>
          <w:lang w:val="en-US"/>
        </w:rPr>
        <w:tab/>
      </w:r>
      <w:r>
        <w:rPr>
          <w:sz w:val="16"/>
        </w:rPr>
        <w:t>В 1999 году темпы инфляции представляют собой разницу между темпами сентября 1999 года и сентября 1998 года.</w:t>
      </w:r>
    </w:p>
    <w:p w:rsidR="00000000" w:rsidRDefault="00000000">
      <w:pPr>
        <w:spacing w:before="240" w:after="0"/>
        <w:rPr>
          <w:b/>
        </w:rPr>
      </w:pPr>
      <w:r>
        <w:rPr>
          <w:lang w:val="en-US"/>
        </w:rPr>
        <w:t>16.</w:t>
      </w:r>
      <w:r>
        <w:rPr>
          <w:lang w:val="en-US"/>
        </w:rPr>
        <w:tab/>
      </w:r>
      <w:r>
        <w:rPr>
          <w:lang w:val="en-US"/>
        </w:rPr>
        <w:tab/>
      </w:r>
      <w:r>
        <w:rPr>
          <w:b/>
        </w:rPr>
        <w:t>Платежный баланс на 31 декабря 1998 года (в млн. долл. США)</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62"/>
        <w:gridCol w:w="1191"/>
        <w:gridCol w:w="1191"/>
        <w:gridCol w:w="1191"/>
        <w:gridCol w:w="1191"/>
        <w:gridCol w:w="1191"/>
      </w:tblGrid>
      <w:tr w:rsidR="00000000">
        <w:tblPrEx>
          <w:tblCellMar>
            <w:top w:w="0" w:type="dxa"/>
            <w:bottom w:w="0" w:type="dxa"/>
          </w:tblCellMar>
        </w:tblPrEx>
        <w:tc>
          <w:tcPr>
            <w:tcW w:w="3062" w:type="dxa"/>
          </w:tcPr>
          <w:p w:rsidR="00000000" w:rsidRDefault="00000000">
            <w:pPr>
              <w:spacing w:before="120" w:after="20" w:line="240" w:lineRule="auto"/>
              <w:rPr>
                <w:rFonts w:ascii="Arial" w:hAnsi="Arial"/>
                <w:sz w:val="16"/>
              </w:rPr>
            </w:pPr>
            <w:r>
              <w:rPr>
                <w:rFonts w:ascii="Arial" w:hAnsi="Arial"/>
                <w:sz w:val="16"/>
              </w:rPr>
              <w:t>Год, заканчивающийся 31 декабря</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1994</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1995</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1996</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1997</w:t>
            </w:r>
          </w:p>
        </w:tc>
        <w:tc>
          <w:tcPr>
            <w:tcW w:w="1191" w:type="dxa"/>
          </w:tcPr>
          <w:p w:rsidR="00000000" w:rsidRDefault="00000000">
            <w:pPr>
              <w:spacing w:before="120" w:after="20" w:line="240" w:lineRule="auto"/>
              <w:jc w:val="center"/>
              <w:rPr>
                <w:rFonts w:ascii="Arial" w:hAnsi="Arial"/>
                <w:sz w:val="16"/>
              </w:rPr>
            </w:pPr>
            <w:r>
              <w:rPr>
                <w:rFonts w:ascii="Arial" w:hAnsi="Arial"/>
                <w:sz w:val="16"/>
              </w:rPr>
              <w:t>1998</w:t>
            </w:r>
          </w:p>
        </w:tc>
      </w:tr>
      <w:tr w:rsidR="00000000">
        <w:tblPrEx>
          <w:tblCellMar>
            <w:top w:w="0" w:type="dxa"/>
            <w:bottom w:w="0" w:type="dxa"/>
          </w:tblCellMar>
        </w:tblPrEx>
        <w:tc>
          <w:tcPr>
            <w:tcW w:w="3062" w:type="dxa"/>
          </w:tcPr>
          <w:p w:rsidR="00000000" w:rsidRDefault="00000000">
            <w:pPr>
              <w:spacing w:before="120" w:after="20" w:line="240" w:lineRule="auto"/>
              <w:rPr>
                <w:rFonts w:ascii="Arial" w:hAnsi="Arial"/>
                <w:sz w:val="16"/>
              </w:rPr>
            </w:pPr>
            <w:r>
              <w:rPr>
                <w:rFonts w:ascii="Arial" w:hAnsi="Arial"/>
                <w:sz w:val="16"/>
              </w:rPr>
              <w:t xml:space="preserve">Темпы инфляции </w:t>
            </w:r>
          </w:p>
        </w:tc>
        <w:tc>
          <w:tcPr>
            <w:tcW w:w="1191" w:type="dxa"/>
          </w:tcPr>
          <w:p w:rsidR="00000000" w:rsidRDefault="00000000">
            <w:pPr>
              <w:spacing w:before="120" w:after="20" w:line="240" w:lineRule="auto"/>
              <w:jc w:val="center"/>
              <w:rPr>
                <w:rFonts w:ascii="Arial" w:hAnsi="Arial"/>
                <w:sz w:val="16"/>
              </w:rPr>
            </w:pPr>
            <w:r>
              <w:rPr>
                <w:rFonts w:ascii="Arial" w:hAnsi="Arial"/>
                <w:sz w:val="16"/>
              </w:rPr>
              <w:t>181,0</w:t>
            </w:r>
          </w:p>
        </w:tc>
        <w:tc>
          <w:tcPr>
            <w:tcW w:w="1191" w:type="dxa"/>
          </w:tcPr>
          <w:p w:rsidR="00000000" w:rsidRDefault="00000000">
            <w:pPr>
              <w:spacing w:before="120" w:after="20" w:line="240" w:lineRule="auto"/>
              <w:jc w:val="center"/>
              <w:rPr>
                <w:rFonts w:ascii="Arial" w:hAnsi="Arial"/>
                <w:sz w:val="16"/>
              </w:rPr>
            </w:pPr>
            <w:r>
              <w:rPr>
                <w:rFonts w:ascii="Arial" w:hAnsi="Arial"/>
                <w:sz w:val="16"/>
              </w:rPr>
              <w:t>32,5</w:t>
            </w:r>
          </w:p>
        </w:tc>
        <w:tc>
          <w:tcPr>
            <w:tcW w:w="1191" w:type="dxa"/>
          </w:tcPr>
          <w:p w:rsidR="00000000" w:rsidRDefault="00000000">
            <w:pPr>
              <w:spacing w:before="120" w:after="20" w:line="240" w:lineRule="auto"/>
              <w:jc w:val="center"/>
              <w:rPr>
                <w:rFonts w:ascii="Arial" w:hAnsi="Arial"/>
                <w:sz w:val="16"/>
              </w:rPr>
            </w:pPr>
            <w:r>
              <w:rPr>
                <w:rFonts w:ascii="Arial" w:hAnsi="Arial"/>
                <w:sz w:val="16"/>
              </w:rPr>
              <w:t>213,5</w:t>
            </w:r>
          </w:p>
        </w:tc>
        <w:tc>
          <w:tcPr>
            <w:tcW w:w="1191" w:type="dxa"/>
          </w:tcPr>
          <w:p w:rsidR="00000000" w:rsidRDefault="00000000">
            <w:pPr>
              <w:spacing w:before="120" w:after="20" w:line="240" w:lineRule="auto"/>
              <w:jc w:val="center"/>
              <w:rPr>
                <w:rFonts w:ascii="Arial" w:hAnsi="Arial"/>
                <w:sz w:val="16"/>
              </w:rPr>
            </w:pPr>
            <w:r>
              <w:rPr>
                <w:rFonts w:ascii="Arial" w:hAnsi="Arial"/>
                <w:sz w:val="16"/>
              </w:rPr>
              <w:t>175,3</w:t>
            </w:r>
          </w:p>
        </w:tc>
        <w:tc>
          <w:tcPr>
            <w:tcW w:w="1191" w:type="dxa"/>
          </w:tcPr>
          <w:p w:rsidR="00000000" w:rsidRDefault="00000000">
            <w:pPr>
              <w:spacing w:before="120" w:after="20" w:line="240" w:lineRule="auto"/>
              <w:jc w:val="center"/>
              <w:rPr>
                <w:rFonts w:ascii="Arial" w:hAnsi="Arial"/>
                <w:sz w:val="16"/>
              </w:rPr>
            </w:pPr>
            <w:r>
              <w:rPr>
                <w:rFonts w:ascii="Arial" w:hAnsi="Arial"/>
                <w:sz w:val="16"/>
              </w:rPr>
              <w:t>80,6</w:t>
            </w:r>
          </w:p>
        </w:tc>
      </w:tr>
    </w:tbl>
    <w:p w:rsidR="00000000" w:rsidRDefault="00000000">
      <w:pPr>
        <w:spacing w:after="120"/>
        <w:rPr>
          <w:lang w:val="en-US"/>
        </w:rPr>
      </w:pPr>
    </w:p>
    <w:p w:rsidR="00000000" w:rsidRDefault="00000000">
      <w:r>
        <w:rPr>
          <w:lang w:val="en-US"/>
        </w:rPr>
        <w:br w:type="page"/>
        <w:t>17.</w:t>
      </w:r>
      <w:r>
        <w:rPr>
          <w:lang w:val="en-US"/>
        </w:rPr>
        <w:tab/>
      </w:r>
      <w:r>
        <w:t>Ниже приведены цифры внешнего долга центрального правительства и внешний долг центрального правительства и неправительственного государственного сектора за 1999 и 2000 годы.</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479"/>
        <w:gridCol w:w="2268"/>
        <w:gridCol w:w="2268"/>
      </w:tblGrid>
      <w:tr w:rsidR="00000000">
        <w:tblPrEx>
          <w:tblCellMar>
            <w:top w:w="0" w:type="dxa"/>
            <w:bottom w:w="0" w:type="dxa"/>
          </w:tblCellMar>
        </w:tblPrEx>
        <w:tc>
          <w:tcPr>
            <w:tcW w:w="4479" w:type="dxa"/>
          </w:tcPr>
          <w:p w:rsidR="00000000" w:rsidRDefault="00000000">
            <w:pPr>
              <w:spacing w:before="40" w:after="0" w:line="240" w:lineRule="auto"/>
              <w:jc w:val="center"/>
              <w:rPr>
                <w:rFonts w:ascii="Arial" w:hAnsi="Arial"/>
                <w:sz w:val="16"/>
              </w:rPr>
            </w:pPr>
            <w:r>
              <w:rPr>
                <w:rFonts w:ascii="Arial" w:hAnsi="Arial"/>
                <w:sz w:val="16"/>
              </w:rPr>
              <w:t>ДОЛГ</w:t>
            </w:r>
          </w:p>
        </w:tc>
        <w:tc>
          <w:tcPr>
            <w:tcW w:w="2268" w:type="dxa"/>
          </w:tcPr>
          <w:p w:rsidR="00000000" w:rsidRDefault="00000000">
            <w:pPr>
              <w:spacing w:before="40" w:after="0" w:line="240" w:lineRule="auto"/>
              <w:jc w:val="center"/>
              <w:rPr>
                <w:rFonts w:ascii="Arial" w:hAnsi="Arial"/>
                <w:sz w:val="16"/>
              </w:rPr>
            </w:pPr>
            <w:r>
              <w:rPr>
                <w:rFonts w:ascii="Arial" w:hAnsi="Arial"/>
                <w:sz w:val="16"/>
              </w:rPr>
              <w:t>1999 год</w:t>
            </w:r>
          </w:p>
        </w:tc>
        <w:tc>
          <w:tcPr>
            <w:tcW w:w="2268" w:type="dxa"/>
          </w:tcPr>
          <w:p w:rsidR="00000000" w:rsidRDefault="00000000">
            <w:pPr>
              <w:spacing w:before="40" w:after="0" w:line="240" w:lineRule="auto"/>
              <w:jc w:val="center"/>
              <w:rPr>
                <w:rFonts w:ascii="Arial" w:hAnsi="Arial"/>
                <w:sz w:val="16"/>
              </w:rPr>
            </w:pPr>
            <w:r>
              <w:rPr>
                <w:rFonts w:ascii="Arial" w:hAnsi="Arial"/>
                <w:sz w:val="16"/>
              </w:rPr>
              <w:t>2000 год*</w:t>
            </w:r>
          </w:p>
        </w:tc>
      </w:tr>
      <w:tr w:rsidR="00000000">
        <w:tblPrEx>
          <w:tblCellMar>
            <w:top w:w="0" w:type="dxa"/>
            <w:bottom w:w="0" w:type="dxa"/>
          </w:tblCellMar>
        </w:tblPrEx>
        <w:tc>
          <w:tcPr>
            <w:tcW w:w="4479" w:type="dxa"/>
          </w:tcPr>
          <w:p w:rsidR="00000000" w:rsidRDefault="00000000">
            <w:pPr>
              <w:spacing w:before="120" w:after="0" w:line="240" w:lineRule="auto"/>
              <w:rPr>
                <w:rFonts w:ascii="Arial" w:hAnsi="Arial"/>
                <w:sz w:val="16"/>
              </w:rPr>
            </w:pPr>
            <w:r>
              <w:rPr>
                <w:rFonts w:ascii="Arial" w:hAnsi="Arial"/>
                <w:sz w:val="16"/>
              </w:rPr>
              <w:t>Внешний долг центрального правительства</w:t>
            </w:r>
          </w:p>
        </w:tc>
        <w:tc>
          <w:tcPr>
            <w:tcW w:w="2268" w:type="dxa"/>
          </w:tcPr>
          <w:p w:rsidR="00000000" w:rsidRDefault="00000000">
            <w:pPr>
              <w:spacing w:before="120" w:after="0" w:line="240" w:lineRule="auto"/>
              <w:jc w:val="center"/>
              <w:rPr>
                <w:rFonts w:ascii="Arial" w:hAnsi="Arial"/>
                <w:sz w:val="16"/>
              </w:rPr>
            </w:pPr>
            <w:r>
              <w:rPr>
                <w:rFonts w:ascii="Arial" w:hAnsi="Arial"/>
                <w:sz w:val="16"/>
              </w:rPr>
              <w:t>8 734,70</w:t>
            </w:r>
          </w:p>
        </w:tc>
        <w:tc>
          <w:tcPr>
            <w:tcW w:w="2268" w:type="dxa"/>
          </w:tcPr>
          <w:p w:rsidR="00000000" w:rsidRDefault="00000000">
            <w:pPr>
              <w:spacing w:before="120" w:after="0" w:line="240" w:lineRule="auto"/>
              <w:jc w:val="center"/>
              <w:rPr>
                <w:rFonts w:ascii="Arial" w:hAnsi="Arial"/>
                <w:sz w:val="16"/>
              </w:rPr>
            </w:pPr>
            <w:r>
              <w:rPr>
                <w:rFonts w:ascii="Arial" w:hAnsi="Arial"/>
                <w:sz w:val="16"/>
              </w:rPr>
              <w:t>8 359,00</w:t>
            </w:r>
          </w:p>
        </w:tc>
      </w:tr>
      <w:tr w:rsidR="00000000">
        <w:tblPrEx>
          <w:tblCellMar>
            <w:top w:w="0" w:type="dxa"/>
            <w:bottom w:w="0" w:type="dxa"/>
          </w:tblCellMar>
        </w:tblPrEx>
        <w:tc>
          <w:tcPr>
            <w:tcW w:w="4479" w:type="dxa"/>
          </w:tcPr>
          <w:p w:rsidR="00000000" w:rsidRDefault="00000000">
            <w:pPr>
              <w:spacing w:before="120" w:after="0" w:line="240" w:lineRule="auto"/>
              <w:jc w:val="left"/>
              <w:rPr>
                <w:rFonts w:ascii="Arial" w:hAnsi="Arial"/>
                <w:sz w:val="16"/>
              </w:rPr>
            </w:pPr>
            <w:r>
              <w:rPr>
                <w:rFonts w:ascii="Arial" w:hAnsi="Arial"/>
                <w:sz w:val="16"/>
              </w:rPr>
              <w:t>Внешний долг центрального правительства и неправительственного государственного сектора</w:t>
            </w:r>
          </w:p>
        </w:tc>
        <w:tc>
          <w:tcPr>
            <w:tcW w:w="2268" w:type="dxa"/>
            <w:vAlign w:val="bottom"/>
          </w:tcPr>
          <w:p w:rsidR="00000000" w:rsidRDefault="00000000">
            <w:pPr>
              <w:spacing w:before="120" w:after="0" w:line="240" w:lineRule="auto"/>
              <w:jc w:val="center"/>
              <w:rPr>
                <w:rFonts w:ascii="Arial" w:hAnsi="Arial"/>
                <w:sz w:val="16"/>
              </w:rPr>
            </w:pPr>
            <w:r>
              <w:rPr>
                <w:rFonts w:ascii="Arial" w:hAnsi="Arial"/>
                <w:sz w:val="16"/>
              </w:rPr>
              <w:t>1 584,80</w:t>
            </w:r>
          </w:p>
        </w:tc>
        <w:tc>
          <w:tcPr>
            <w:tcW w:w="2268" w:type="dxa"/>
            <w:vAlign w:val="bottom"/>
          </w:tcPr>
          <w:p w:rsidR="00000000" w:rsidRDefault="00000000">
            <w:pPr>
              <w:spacing w:before="120" w:after="0" w:line="240" w:lineRule="auto"/>
              <w:jc w:val="center"/>
              <w:rPr>
                <w:rFonts w:ascii="Arial" w:hAnsi="Arial"/>
                <w:sz w:val="16"/>
              </w:rPr>
            </w:pPr>
            <w:r>
              <w:rPr>
                <w:rFonts w:ascii="Arial" w:hAnsi="Arial"/>
                <w:sz w:val="16"/>
              </w:rPr>
              <w:t>1 536,80</w:t>
            </w:r>
          </w:p>
        </w:tc>
      </w:tr>
    </w:tbl>
    <w:p w:rsidR="00000000" w:rsidRDefault="00000000">
      <w:pPr>
        <w:rPr>
          <w:sz w:val="16"/>
        </w:rPr>
      </w:pPr>
      <w:r>
        <w:rPr>
          <w:sz w:val="16"/>
          <w:lang w:val="en-US"/>
        </w:rPr>
        <w:tab/>
      </w:r>
      <w:r>
        <w:rPr>
          <w:sz w:val="16"/>
          <w:lang w:val="en-US"/>
        </w:rPr>
        <w:tab/>
      </w:r>
      <w:r>
        <w:rPr>
          <w:sz w:val="16"/>
        </w:rPr>
        <w:t>*  По состоянию на март 2000 года.</w:t>
      </w:r>
    </w:p>
    <w:p w:rsidR="00000000" w:rsidRDefault="00000000">
      <w:r>
        <w:rPr>
          <w:lang w:val="en-US"/>
        </w:rPr>
        <w:t>18.</w:t>
      </w:r>
      <w:r>
        <w:rPr>
          <w:lang w:val="en-US"/>
        </w:rPr>
        <w:tab/>
      </w:r>
      <w:r>
        <w:t>В апреле 1993 года правительство Тринидада и Тобаго отменило режим валютного контроля и ввело более либеральную валютную систему, допускающую свободное колебание курса доллара ТТ. В конце августа 2000 года обменный курс доллара ТТ/доллара США составлял 6,2997 долл. ТТ за 1 долл. США (это соответствует среднему курсу продаж в конце месяца).</w:t>
      </w:r>
    </w:p>
    <w:p w:rsidR="00000000" w:rsidRDefault="00000000">
      <w:r>
        <w:rPr>
          <w:lang w:val="en-US"/>
        </w:rPr>
        <w:t>19.</w:t>
      </w:r>
      <w:r>
        <w:rPr>
          <w:lang w:val="en-US"/>
        </w:rPr>
        <w:tab/>
      </w:r>
      <w:r>
        <w:t>Доход на душу населения в 1998 году составил 4261 долл. США.</w:t>
      </w:r>
    </w:p>
    <w:p w:rsidR="00000000" w:rsidRDefault="00000000">
      <w:pPr>
        <w:spacing w:after="0"/>
      </w:pPr>
      <w:r>
        <w:rPr>
          <w:lang w:val="en-US"/>
        </w:rPr>
        <w:t>20.</w:t>
      </w:r>
      <w:r>
        <w:rPr>
          <w:lang w:val="en-US"/>
        </w:rPr>
        <w:tab/>
      </w:r>
      <w:r>
        <w:rPr>
          <w:lang w:val="en-US"/>
        </w:rPr>
        <w:tab/>
      </w:r>
      <w:r>
        <w:rPr>
          <w:b/>
        </w:rPr>
        <w:t>Ежемесячный доход: 1994 –1998 годы (в долл. ТТ)</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95"/>
        <w:gridCol w:w="1304"/>
        <w:gridCol w:w="1304"/>
        <w:gridCol w:w="1304"/>
        <w:gridCol w:w="1304"/>
        <w:gridCol w:w="1304"/>
      </w:tblGrid>
      <w:tr w:rsidR="00000000">
        <w:tblPrEx>
          <w:tblCellMar>
            <w:top w:w="0" w:type="dxa"/>
            <w:bottom w:w="0" w:type="dxa"/>
          </w:tblCellMar>
        </w:tblPrEx>
        <w:tc>
          <w:tcPr>
            <w:tcW w:w="2495" w:type="dxa"/>
          </w:tcPr>
          <w:p w:rsidR="00000000" w:rsidRDefault="00000000">
            <w:pPr>
              <w:spacing w:before="40" w:after="0" w:line="240" w:lineRule="auto"/>
              <w:rPr>
                <w:rFonts w:ascii="Arial" w:hAnsi="Arial"/>
                <w:sz w:val="16"/>
              </w:rPr>
            </w:pPr>
            <w:r>
              <w:rPr>
                <w:rFonts w:ascii="Arial" w:hAnsi="Arial"/>
                <w:sz w:val="16"/>
              </w:rPr>
              <w:t>Доход</w:t>
            </w:r>
          </w:p>
        </w:tc>
        <w:tc>
          <w:tcPr>
            <w:tcW w:w="1304" w:type="dxa"/>
          </w:tcPr>
          <w:p w:rsidR="00000000" w:rsidRDefault="00000000">
            <w:pPr>
              <w:spacing w:before="40" w:after="0" w:line="240" w:lineRule="auto"/>
              <w:jc w:val="center"/>
              <w:rPr>
                <w:rFonts w:ascii="Arial" w:hAnsi="Arial"/>
                <w:sz w:val="16"/>
              </w:rPr>
            </w:pPr>
            <w:r>
              <w:rPr>
                <w:rFonts w:ascii="Arial" w:hAnsi="Arial"/>
                <w:sz w:val="16"/>
              </w:rPr>
              <w:t>1994 год</w:t>
            </w:r>
          </w:p>
        </w:tc>
        <w:tc>
          <w:tcPr>
            <w:tcW w:w="1304" w:type="dxa"/>
          </w:tcPr>
          <w:p w:rsidR="00000000" w:rsidRDefault="00000000">
            <w:pPr>
              <w:spacing w:before="40" w:after="0" w:line="240" w:lineRule="auto"/>
              <w:jc w:val="center"/>
              <w:rPr>
                <w:rFonts w:ascii="Arial" w:hAnsi="Arial"/>
                <w:sz w:val="16"/>
              </w:rPr>
            </w:pPr>
            <w:r>
              <w:rPr>
                <w:rFonts w:ascii="Arial" w:hAnsi="Arial"/>
                <w:sz w:val="16"/>
              </w:rPr>
              <w:t>1995 год</w:t>
            </w:r>
          </w:p>
        </w:tc>
        <w:tc>
          <w:tcPr>
            <w:tcW w:w="1304" w:type="dxa"/>
          </w:tcPr>
          <w:p w:rsidR="00000000" w:rsidRDefault="00000000">
            <w:pPr>
              <w:spacing w:before="40" w:after="0" w:line="240" w:lineRule="auto"/>
              <w:jc w:val="center"/>
              <w:rPr>
                <w:rFonts w:ascii="Arial" w:hAnsi="Arial"/>
                <w:sz w:val="16"/>
              </w:rPr>
            </w:pPr>
            <w:r>
              <w:rPr>
                <w:rFonts w:ascii="Arial" w:hAnsi="Arial"/>
                <w:sz w:val="16"/>
              </w:rPr>
              <w:t>1996 год</w:t>
            </w:r>
          </w:p>
        </w:tc>
        <w:tc>
          <w:tcPr>
            <w:tcW w:w="1304" w:type="dxa"/>
          </w:tcPr>
          <w:p w:rsidR="00000000" w:rsidRDefault="00000000">
            <w:pPr>
              <w:spacing w:before="40" w:after="0" w:line="240" w:lineRule="auto"/>
              <w:jc w:val="center"/>
              <w:rPr>
                <w:rFonts w:ascii="Arial" w:hAnsi="Arial"/>
                <w:sz w:val="16"/>
              </w:rPr>
            </w:pPr>
            <w:r>
              <w:rPr>
                <w:rFonts w:ascii="Arial" w:hAnsi="Arial"/>
                <w:sz w:val="16"/>
              </w:rPr>
              <w:t>1997 год</w:t>
            </w:r>
          </w:p>
        </w:tc>
        <w:tc>
          <w:tcPr>
            <w:tcW w:w="1304" w:type="dxa"/>
          </w:tcPr>
          <w:p w:rsidR="00000000" w:rsidRDefault="00000000">
            <w:pPr>
              <w:spacing w:before="40" w:after="0" w:line="240" w:lineRule="auto"/>
              <w:jc w:val="center"/>
              <w:rPr>
                <w:rFonts w:ascii="Arial" w:hAnsi="Arial"/>
                <w:sz w:val="16"/>
              </w:rPr>
            </w:pPr>
            <w:r>
              <w:rPr>
                <w:rFonts w:ascii="Arial" w:hAnsi="Arial"/>
                <w:sz w:val="16"/>
              </w:rPr>
              <w:t>1998 год</w:t>
            </w:r>
          </w:p>
        </w:tc>
      </w:tr>
      <w:tr w:rsidR="00000000">
        <w:tblPrEx>
          <w:tblCellMar>
            <w:top w:w="0" w:type="dxa"/>
            <w:bottom w:w="0" w:type="dxa"/>
          </w:tblCellMar>
        </w:tblPrEx>
        <w:tc>
          <w:tcPr>
            <w:tcW w:w="2495" w:type="dxa"/>
          </w:tcPr>
          <w:p w:rsidR="00000000" w:rsidRDefault="00000000">
            <w:pPr>
              <w:spacing w:before="120" w:after="0" w:line="240" w:lineRule="auto"/>
              <w:rPr>
                <w:rFonts w:ascii="Arial" w:hAnsi="Arial"/>
                <w:sz w:val="16"/>
              </w:rPr>
            </w:pPr>
            <w:r>
              <w:rPr>
                <w:rFonts w:ascii="Arial" w:hAnsi="Arial"/>
                <w:sz w:val="16"/>
              </w:rPr>
              <w:t>Средний доход</w:t>
            </w:r>
          </w:p>
        </w:tc>
        <w:tc>
          <w:tcPr>
            <w:tcW w:w="1304" w:type="dxa"/>
          </w:tcPr>
          <w:p w:rsidR="00000000" w:rsidRDefault="00000000">
            <w:pPr>
              <w:spacing w:before="120" w:after="0" w:line="240" w:lineRule="auto"/>
              <w:jc w:val="center"/>
              <w:rPr>
                <w:rFonts w:ascii="Arial" w:hAnsi="Arial"/>
                <w:sz w:val="16"/>
              </w:rPr>
            </w:pPr>
            <w:r>
              <w:rPr>
                <w:rFonts w:ascii="Arial" w:hAnsi="Arial"/>
                <w:sz w:val="16"/>
              </w:rPr>
              <w:t>1 712</w:t>
            </w:r>
          </w:p>
        </w:tc>
        <w:tc>
          <w:tcPr>
            <w:tcW w:w="1304" w:type="dxa"/>
          </w:tcPr>
          <w:p w:rsidR="00000000" w:rsidRDefault="00000000">
            <w:pPr>
              <w:spacing w:before="120" w:after="0" w:line="240" w:lineRule="auto"/>
              <w:jc w:val="center"/>
              <w:rPr>
                <w:rFonts w:ascii="Arial" w:hAnsi="Arial"/>
                <w:sz w:val="16"/>
              </w:rPr>
            </w:pPr>
            <w:r>
              <w:rPr>
                <w:rFonts w:ascii="Arial" w:hAnsi="Arial"/>
                <w:sz w:val="16"/>
              </w:rPr>
              <w:t>1 831</w:t>
            </w:r>
          </w:p>
        </w:tc>
        <w:tc>
          <w:tcPr>
            <w:tcW w:w="1304" w:type="dxa"/>
          </w:tcPr>
          <w:p w:rsidR="00000000" w:rsidRDefault="00000000">
            <w:pPr>
              <w:spacing w:before="120" w:after="0" w:line="240" w:lineRule="auto"/>
              <w:jc w:val="center"/>
              <w:rPr>
                <w:rFonts w:ascii="Arial" w:hAnsi="Arial"/>
                <w:sz w:val="16"/>
              </w:rPr>
            </w:pPr>
            <w:r>
              <w:rPr>
                <w:rFonts w:ascii="Arial" w:hAnsi="Arial"/>
                <w:sz w:val="16"/>
              </w:rPr>
              <w:t>1 895</w:t>
            </w:r>
          </w:p>
        </w:tc>
        <w:tc>
          <w:tcPr>
            <w:tcW w:w="1304" w:type="dxa"/>
          </w:tcPr>
          <w:p w:rsidR="00000000" w:rsidRDefault="00000000">
            <w:pPr>
              <w:spacing w:before="120" w:after="0" w:line="240" w:lineRule="auto"/>
              <w:jc w:val="center"/>
              <w:rPr>
                <w:rFonts w:ascii="Arial" w:hAnsi="Arial"/>
                <w:sz w:val="16"/>
              </w:rPr>
            </w:pPr>
            <w:r>
              <w:rPr>
                <w:rFonts w:ascii="Arial" w:hAnsi="Arial"/>
                <w:sz w:val="16"/>
              </w:rPr>
              <w:t>1 966</w:t>
            </w:r>
          </w:p>
        </w:tc>
        <w:tc>
          <w:tcPr>
            <w:tcW w:w="1304" w:type="dxa"/>
          </w:tcPr>
          <w:p w:rsidR="00000000" w:rsidRDefault="00000000">
            <w:pPr>
              <w:spacing w:before="120" w:after="0" w:line="240" w:lineRule="auto"/>
              <w:jc w:val="center"/>
              <w:rPr>
                <w:rFonts w:ascii="Arial" w:hAnsi="Arial"/>
                <w:sz w:val="16"/>
              </w:rPr>
            </w:pPr>
            <w:r>
              <w:rPr>
                <w:rFonts w:ascii="Arial" w:hAnsi="Arial"/>
                <w:sz w:val="16"/>
              </w:rPr>
              <w:t>2 180</w:t>
            </w:r>
          </w:p>
        </w:tc>
      </w:tr>
      <w:tr w:rsidR="00000000">
        <w:tblPrEx>
          <w:tblCellMar>
            <w:top w:w="0" w:type="dxa"/>
            <w:bottom w:w="0" w:type="dxa"/>
          </w:tblCellMar>
        </w:tblPrEx>
        <w:tc>
          <w:tcPr>
            <w:tcW w:w="2495" w:type="dxa"/>
          </w:tcPr>
          <w:p w:rsidR="00000000" w:rsidRDefault="00000000">
            <w:pPr>
              <w:spacing w:before="120" w:after="0" w:line="240" w:lineRule="auto"/>
              <w:rPr>
                <w:rFonts w:ascii="Arial" w:hAnsi="Arial"/>
                <w:sz w:val="16"/>
              </w:rPr>
            </w:pPr>
            <w:r>
              <w:rPr>
                <w:rFonts w:ascii="Arial" w:hAnsi="Arial"/>
                <w:sz w:val="16"/>
              </w:rPr>
              <w:t>Медианный доход</w:t>
            </w:r>
          </w:p>
        </w:tc>
        <w:tc>
          <w:tcPr>
            <w:tcW w:w="1304" w:type="dxa"/>
          </w:tcPr>
          <w:p w:rsidR="00000000" w:rsidRDefault="00000000">
            <w:pPr>
              <w:spacing w:before="120" w:after="0" w:line="240" w:lineRule="auto"/>
              <w:jc w:val="center"/>
              <w:rPr>
                <w:rFonts w:ascii="Arial" w:hAnsi="Arial"/>
                <w:sz w:val="16"/>
              </w:rPr>
            </w:pPr>
            <w:r>
              <w:rPr>
                <w:rFonts w:ascii="Arial" w:hAnsi="Arial"/>
                <w:sz w:val="16"/>
              </w:rPr>
              <w:t>1 300</w:t>
            </w:r>
          </w:p>
        </w:tc>
        <w:tc>
          <w:tcPr>
            <w:tcW w:w="1304" w:type="dxa"/>
          </w:tcPr>
          <w:p w:rsidR="00000000" w:rsidRDefault="00000000">
            <w:pPr>
              <w:spacing w:before="120" w:after="0" w:line="240" w:lineRule="auto"/>
              <w:jc w:val="center"/>
              <w:rPr>
                <w:rFonts w:ascii="Arial" w:hAnsi="Arial"/>
                <w:sz w:val="16"/>
              </w:rPr>
            </w:pPr>
            <w:r>
              <w:rPr>
                <w:rFonts w:ascii="Arial" w:hAnsi="Arial"/>
                <w:sz w:val="16"/>
              </w:rPr>
              <w:t>1 400</w:t>
            </w:r>
          </w:p>
        </w:tc>
        <w:tc>
          <w:tcPr>
            <w:tcW w:w="1304" w:type="dxa"/>
          </w:tcPr>
          <w:p w:rsidR="00000000" w:rsidRDefault="00000000">
            <w:pPr>
              <w:spacing w:before="120" w:after="0" w:line="240" w:lineRule="auto"/>
              <w:jc w:val="center"/>
              <w:rPr>
                <w:rFonts w:ascii="Arial" w:hAnsi="Arial"/>
                <w:sz w:val="16"/>
              </w:rPr>
            </w:pPr>
            <w:r>
              <w:rPr>
                <w:rFonts w:ascii="Arial" w:hAnsi="Arial"/>
                <w:sz w:val="16"/>
              </w:rPr>
              <w:t>1 500</w:t>
            </w:r>
          </w:p>
        </w:tc>
        <w:tc>
          <w:tcPr>
            <w:tcW w:w="1304" w:type="dxa"/>
          </w:tcPr>
          <w:p w:rsidR="00000000" w:rsidRDefault="00000000">
            <w:pPr>
              <w:spacing w:before="120" w:after="0" w:line="240" w:lineRule="auto"/>
              <w:jc w:val="center"/>
              <w:rPr>
                <w:rFonts w:ascii="Arial" w:hAnsi="Arial"/>
                <w:sz w:val="16"/>
              </w:rPr>
            </w:pPr>
            <w:r>
              <w:rPr>
                <w:rFonts w:ascii="Arial" w:hAnsi="Arial"/>
                <w:sz w:val="16"/>
              </w:rPr>
              <w:t>1 500</w:t>
            </w:r>
          </w:p>
        </w:tc>
        <w:tc>
          <w:tcPr>
            <w:tcW w:w="1304" w:type="dxa"/>
          </w:tcPr>
          <w:p w:rsidR="00000000" w:rsidRDefault="00000000">
            <w:pPr>
              <w:spacing w:before="120" w:after="0" w:line="240" w:lineRule="auto"/>
              <w:jc w:val="center"/>
              <w:rPr>
                <w:rFonts w:ascii="Arial" w:hAnsi="Arial"/>
                <w:sz w:val="16"/>
              </w:rPr>
            </w:pPr>
            <w:r>
              <w:rPr>
                <w:rFonts w:ascii="Arial" w:hAnsi="Arial"/>
                <w:sz w:val="16"/>
              </w:rPr>
              <w:t>1 800</w:t>
            </w:r>
          </w:p>
        </w:tc>
      </w:tr>
    </w:tbl>
    <w:p w:rsidR="00000000" w:rsidRDefault="00000000"/>
    <w:p w:rsidR="00000000" w:rsidRDefault="00000000">
      <w:pPr>
        <w:spacing w:after="0"/>
      </w:pPr>
      <w:r>
        <w:rPr>
          <w:lang w:val="en-US"/>
        </w:rPr>
        <w:t>21.</w:t>
      </w:r>
      <w:r>
        <w:rPr>
          <w:lang w:val="en-US"/>
        </w:rPr>
        <w:tab/>
      </w:r>
      <w:r>
        <w:rPr>
          <w:lang w:val="en-US"/>
        </w:rPr>
        <w:tab/>
      </w:r>
      <w:r>
        <w:rPr>
          <w:b/>
        </w:rPr>
        <w:t>Уровень безработицы (человек)</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04"/>
        <w:gridCol w:w="3124"/>
        <w:gridCol w:w="3125"/>
      </w:tblGrid>
      <w:tr w:rsidR="00000000">
        <w:tblPrEx>
          <w:tblCellMar>
            <w:top w:w="0" w:type="dxa"/>
            <w:bottom w:w="0" w:type="dxa"/>
          </w:tblCellMar>
        </w:tblPrEx>
        <w:tc>
          <w:tcPr>
            <w:tcW w:w="2804" w:type="dxa"/>
          </w:tcPr>
          <w:p w:rsidR="00000000" w:rsidRDefault="00000000">
            <w:pPr>
              <w:spacing w:before="240" w:after="0" w:line="240" w:lineRule="auto"/>
              <w:jc w:val="center"/>
              <w:rPr>
                <w:rFonts w:ascii="Arial" w:hAnsi="Arial"/>
                <w:sz w:val="16"/>
              </w:rPr>
            </w:pPr>
            <w:r>
              <w:rPr>
                <w:rFonts w:ascii="Arial" w:hAnsi="Arial"/>
                <w:sz w:val="16"/>
              </w:rPr>
              <w:t>Год</w:t>
            </w:r>
          </w:p>
        </w:tc>
        <w:tc>
          <w:tcPr>
            <w:tcW w:w="3124" w:type="dxa"/>
          </w:tcPr>
          <w:p w:rsidR="00000000" w:rsidRDefault="00000000">
            <w:pPr>
              <w:spacing w:before="240" w:after="0" w:line="240" w:lineRule="auto"/>
              <w:jc w:val="center"/>
              <w:rPr>
                <w:rFonts w:ascii="Arial" w:hAnsi="Arial"/>
                <w:sz w:val="16"/>
              </w:rPr>
            </w:pPr>
            <w:r>
              <w:rPr>
                <w:rFonts w:ascii="Arial" w:hAnsi="Arial"/>
                <w:sz w:val="16"/>
              </w:rPr>
              <w:t>Число безработных мужчин</w:t>
            </w:r>
          </w:p>
        </w:tc>
        <w:tc>
          <w:tcPr>
            <w:tcW w:w="3125" w:type="dxa"/>
          </w:tcPr>
          <w:p w:rsidR="00000000" w:rsidRDefault="00000000">
            <w:pPr>
              <w:spacing w:before="240" w:after="0" w:line="240" w:lineRule="auto"/>
              <w:jc w:val="center"/>
              <w:rPr>
                <w:rFonts w:ascii="Arial" w:hAnsi="Arial"/>
                <w:sz w:val="16"/>
              </w:rPr>
            </w:pPr>
            <w:r>
              <w:rPr>
                <w:rFonts w:ascii="Arial" w:hAnsi="Arial"/>
                <w:sz w:val="16"/>
              </w:rPr>
              <w:t>Число безработных женщин</w:t>
            </w:r>
          </w:p>
        </w:tc>
      </w:tr>
      <w:tr w:rsidR="00000000">
        <w:tblPrEx>
          <w:tblCellMar>
            <w:top w:w="0" w:type="dxa"/>
            <w:bottom w:w="0" w:type="dxa"/>
          </w:tblCellMar>
        </w:tblPrEx>
        <w:tc>
          <w:tcPr>
            <w:tcW w:w="2804" w:type="dxa"/>
          </w:tcPr>
          <w:p w:rsidR="00000000" w:rsidRDefault="00000000">
            <w:pPr>
              <w:spacing w:before="240" w:after="0" w:line="240" w:lineRule="auto"/>
              <w:rPr>
                <w:rFonts w:ascii="Arial" w:hAnsi="Arial"/>
                <w:sz w:val="16"/>
              </w:rPr>
            </w:pPr>
            <w:r>
              <w:rPr>
                <w:rFonts w:ascii="Arial" w:hAnsi="Arial"/>
                <w:sz w:val="16"/>
              </w:rPr>
              <w:t>1998</w:t>
            </w:r>
          </w:p>
        </w:tc>
        <w:tc>
          <w:tcPr>
            <w:tcW w:w="3124" w:type="dxa"/>
          </w:tcPr>
          <w:p w:rsidR="00000000" w:rsidRDefault="00000000">
            <w:pPr>
              <w:spacing w:before="240" w:after="0" w:line="240" w:lineRule="auto"/>
              <w:jc w:val="center"/>
              <w:rPr>
                <w:rFonts w:ascii="Arial" w:hAnsi="Arial"/>
                <w:sz w:val="16"/>
              </w:rPr>
            </w:pPr>
            <w:r>
              <w:rPr>
                <w:rFonts w:ascii="Arial" w:hAnsi="Arial"/>
                <w:sz w:val="16"/>
              </w:rPr>
              <w:t>39 000</w:t>
            </w:r>
          </w:p>
        </w:tc>
        <w:tc>
          <w:tcPr>
            <w:tcW w:w="3125" w:type="dxa"/>
          </w:tcPr>
          <w:p w:rsidR="00000000" w:rsidRDefault="00000000">
            <w:pPr>
              <w:spacing w:before="240" w:after="0" w:line="240" w:lineRule="auto"/>
              <w:jc w:val="center"/>
              <w:rPr>
                <w:rFonts w:ascii="Arial" w:hAnsi="Arial"/>
                <w:sz w:val="16"/>
              </w:rPr>
            </w:pPr>
            <w:r>
              <w:rPr>
                <w:rFonts w:ascii="Arial" w:hAnsi="Arial"/>
                <w:sz w:val="16"/>
              </w:rPr>
              <w:t>40 400</w:t>
            </w:r>
          </w:p>
        </w:tc>
      </w:tr>
      <w:tr w:rsidR="00000000">
        <w:tblPrEx>
          <w:tblCellMar>
            <w:top w:w="0" w:type="dxa"/>
            <w:bottom w:w="0" w:type="dxa"/>
          </w:tblCellMar>
        </w:tblPrEx>
        <w:tc>
          <w:tcPr>
            <w:tcW w:w="2804" w:type="dxa"/>
          </w:tcPr>
          <w:p w:rsidR="00000000" w:rsidRDefault="00000000">
            <w:pPr>
              <w:spacing w:before="240" w:after="0" w:line="240" w:lineRule="auto"/>
              <w:rPr>
                <w:rFonts w:ascii="Arial" w:hAnsi="Arial"/>
                <w:sz w:val="16"/>
              </w:rPr>
            </w:pPr>
            <w:r>
              <w:rPr>
                <w:rFonts w:ascii="Arial" w:hAnsi="Arial"/>
                <w:sz w:val="16"/>
              </w:rPr>
              <w:t>1997</w:t>
            </w:r>
          </w:p>
        </w:tc>
        <w:tc>
          <w:tcPr>
            <w:tcW w:w="3124" w:type="dxa"/>
          </w:tcPr>
          <w:p w:rsidR="00000000" w:rsidRDefault="00000000">
            <w:pPr>
              <w:spacing w:before="240" w:after="0" w:line="240" w:lineRule="auto"/>
              <w:jc w:val="center"/>
              <w:rPr>
                <w:rFonts w:ascii="Arial" w:hAnsi="Arial"/>
                <w:sz w:val="16"/>
              </w:rPr>
            </w:pPr>
            <w:r>
              <w:rPr>
                <w:rFonts w:ascii="Arial" w:hAnsi="Arial"/>
                <w:sz w:val="16"/>
              </w:rPr>
              <w:t>41 300</w:t>
            </w:r>
          </w:p>
        </w:tc>
        <w:tc>
          <w:tcPr>
            <w:tcW w:w="3125" w:type="dxa"/>
          </w:tcPr>
          <w:p w:rsidR="00000000" w:rsidRDefault="00000000">
            <w:pPr>
              <w:spacing w:before="240" w:after="0" w:line="240" w:lineRule="auto"/>
              <w:jc w:val="center"/>
              <w:rPr>
                <w:rFonts w:ascii="Arial" w:hAnsi="Arial"/>
                <w:sz w:val="16"/>
              </w:rPr>
            </w:pPr>
            <w:r>
              <w:rPr>
                <w:rFonts w:ascii="Arial" w:hAnsi="Arial"/>
                <w:sz w:val="16"/>
              </w:rPr>
              <w:t>39 000</w:t>
            </w:r>
          </w:p>
        </w:tc>
      </w:tr>
    </w:tbl>
    <w:p w:rsidR="00000000" w:rsidRDefault="00000000"/>
    <w:p w:rsidR="00000000" w:rsidRDefault="00000000">
      <w:r>
        <w:rPr>
          <w:lang w:val="en-US"/>
        </w:rPr>
        <w:t>22.</w:t>
      </w:r>
      <w:r>
        <w:rPr>
          <w:lang w:val="en-US"/>
        </w:rPr>
        <w:tab/>
      </w:r>
      <w:r>
        <w:t>Уровень безработицы постоянно снижался и в 1998 году составил 14,2 процента. Основными отраслями, где создавались рабочие места, были: строительство (81 000 рабочих мест), сектор услуг (6500 рабочих мест) и производственный сектор (4800 рабочих мест).</w:t>
      </w:r>
    </w:p>
    <w:p w:rsidR="00000000" w:rsidRDefault="00000000">
      <w:pPr>
        <w:rPr>
          <w:lang w:val="en-US"/>
        </w:rPr>
      </w:pPr>
      <w:r>
        <w:rPr>
          <w:lang w:val="en-US"/>
        </w:rPr>
        <w:t>23.</w:t>
      </w:r>
      <w:r>
        <w:rPr>
          <w:lang w:val="en-US"/>
        </w:rPr>
        <w:tab/>
      </w:r>
      <w:r>
        <w:t>За период с октября 1998 года по март 1999 года общая численность занятых в среднем составляла 562</w:t>
      </w:r>
      <w:r>
        <w:rPr>
          <w:lang w:val="en-US"/>
        </w:rPr>
        <w:t> </w:t>
      </w:r>
      <w:r>
        <w:t>600 человек: 307</w:t>
      </w:r>
      <w:r>
        <w:rPr>
          <w:lang w:val="en-US"/>
        </w:rPr>
        <w:t> </w:t>
      </w:r>
      <w:r>
        <w:t>300</w:t>
      </w:r>
      <w:r>
        <w:rPr>
          <w:lang w:val="en-US"/>
        </w:rPr>
        <w:t> </w:t>
      </w:r>
      <w:r>
        <w:t>мужчин и 173</w:t>
      </w:r>
      <w:r>
        <w:rPr>
          <w:lang w:val="en-US"/>
        </w:rPr>
        <w:t> </w:t>
      </w:r>
      <w:r>
        <w:t>300</w:t>
      </w:r>
      <w:r>
        <w:rPr>
          <w:lang w:val="en-US"/>
        </w:rPr>
        <w:t> </w:t>
      </w:r>
      <w:r>
        <w:t>женщин.</w:t>
      </w:r>
    </w:p>
    <w:p w:rsidR="00000000" w:rsidRDefault="00000000">
      <w:pPr>
        <w:spacing w:after="0"/>
        <w:rPr>
          <w:b/>
        </w:rPr>
      </w:pPr>
      <w:r>
        <w:rPr>
          <w:lang w:val="en-US"/>
        </w:rPr>
        <w:tab/>
      </w:r>
      <w:r>
        <w:rPr>
          <w:lang w:val="en-US"/>
        </w:rPr>
        <w:tab/>
      </w:r>
      <w:r>
        <w:rPr>
          <w:b/>
        </w:rPr>
        <w:t>Данные о рабочей силе в отношении мужчин и женщин:</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2778"/>
        <w:gridCol w:w="2213"/>
        <w:gridCol w:w="2098"/>
      </w:tblGrid>
      <w:tr w:rsidR="00000000">
        <w:tblPrEx>
          <w:tblCellMar>
            <w:top w:w="0" w:type="dxa"/>
            <w:bottom w:w="0" w:type="dxa"/>
          </w:tblCellMar>
        </w:tblPrEx>
        <w:tc>
          <w:tcPr>
            <w:tcW w:w="1928" w:type="dxa"/>
          </w:tcPr>
          <w:p w:rsidR="00000000" w:rsidRDefault="00000000">
            <w:pPr>
              <w:spacing w:before="240" w:after="0" w:line="240" w:lineRule="auto"/>
              <w:jc w:val="center"/>
              <w:rPr>
                <w:rFonts w:ascii="Arial" w:hAnsi="Arial"/>
                <w:sz w:val="16"/>
              </w:rPr>
            </w:pPr>
            <w:r>
              <w:rPr>
                <w:rFonts w:ascii="Arial" w:hAnsi="Arial"/>
                <w:sz w:val="16"/>
              </w:rPr>
              <w:t>Год</w:t>
            </w:r>
          </w:p>
        </w:tc>
        <w:tc>
          <w:tcPr>
            <w:tcW w:w="2778" w:type="dxa"/>
          </w:tcPr>
          <w:p w:rsidR="00000000" w:rsidRDefault="00000000">
            <w:pPr>
              <w:spacing w:before="240" w:after="0" w:line="240" w:lineRule="auto"/>
              <w:jc w:val="center"/>
              <w:rPr>
                <w:rFonts w:ascii="Arial" w:hAnsi="Arial"/>
                <w:sz w:val="16"/>
              </w:rPr>
            </w:pPr>
            <w:r>
              <w:rPr>
                <w:rFonts w:ascii="Arial" w:hAnsi="Arial"/>
                <w:sz w:val="16"/>
              </w:rPr>
              <w:t>Общая численность занятых</w:t>
            </w:r>
          </w:p>
        </w:tc>
        <w:tc>
          <w:tcPr>
            <w:tcW w:w="2213" w:type="dxa"/>
          </w:tcPr>
          <w:p w:rsidR="00000000" w:rsidRDefault="00000000">
            <w:pPr>
              <w:spacing w:before="240" w:after="0" w:line="240" w:lineRule="auto"/>
              <w:jc w:val="center"/>
              <w:rPr>
                <w:rFonts w:ascii="Arial" w:hAnsi="Arial"/>
                <w:sz w:val="16"/>
              </w:rPr>
            </w:pPr>
            <w:r>
              <w:rPr>
                <w:rFonts w:ascii="Arial" w:hAnsi="Arial"/>
                <w:sz w:val="16"/>
              </w:rPr>
              <w:t>Мужчины</w:t>
            </w:r>
          </w:p>
        </w:tc>
        <w:tc>
          <w:tcPr>
            <w:tcW w:w="2098" w:type="dxa"/>
          </w:tcPr>
          <w:p w:rsidR="00000000" w:rsidRDefault="00000000">
            <w:pPr>
              <w:spacing w:before="240" w:after="0" w:line="240" w:lineRule="auto"/>
              <w:jc w:val="center"/>
              <w:rPr>
                <w:rFonts w:ascii="Arial" w:hAnsi="Arial"/>
                <w:sz w:val="16"/>
              </w:rPr>
            </w:pPr>
            <w:r>
              <w:rPr>
                <w:rFonts w:ascii="Arial" w:hAnsi="Arial"/>
                <w:sz w:val="16"/>
              </w:rPr>
              <w:t>Женщины</w:t>
            </w:r>
          </w:p>
        </w:tc>
      </w:tr>
      <w:tr w:rsidR="00000000">
        <w:tblPrEx>
          <w:tblCellMar>
            <w:top w:w="0" w:type="dxa"/>
            <w:bottom w:w="0" w:type="dxa"/>
          </w:tblCellMar>
        </w:tblPrEx>
        <w:tc>
          <w:tcPr>
            <w:tcW w:w="1928" w:type="dxa"/>
          </w:tcPr>
          <w:p w:rsidR="00000000" w:rsidRDefault="00000000">
            <w:pPr>
              <w:spacing w:before="240" w:after="0" w:line="240" w:lineRule="auto"/>
              <w:rPr>
                <w:rFonts w:ascii="Arial" w:hAnsi="Arial"/>
                <w:sz w:val="16"/>
              </w:rPr>
            </w:pPr>
            <w:r>
              <w:rPr>
                <w:rFonts w:ascii="Arial" w:hAnsi="Arial"/>
                <w:sz w:val="16"/>
              </w:rPr>
              <w:t>1998</w:t>
            </w:r>
          </w:p>
        </w:tc>
        <w:tc>
          <w:tcPr>
            <w:tcW w:w="2778" w:type="dxa"/>
          </w:tcPr>
          <w:p w:rsidR="00000000" w:rsidRDefault="00000000">
            <w:pPr>
              <w:spacing w:before="240" w:after="0" w:line="240" w:lineRule="auto"/>
              <w:jc w:val="center"/>
              <w:rPr>
                <w:rFonts w:ascii="Arial" w:hAnsi="Arial"/>
                <w:sz w:val="16"/>
              </w:rPr>
            </w:pPr>
            <w:r>
              <w:rPr>
                <w:rFonts w:ascii="Arial" w:hAnsi="Arial"/>
                <w:sz w:val="16"/>
              </w:rPr>
              <w:t>558 700</w:t>
            </w:r>
          </w:p>
        </w:tc>
        <w:tc>
          <w:tcPr>
            <w:tcW w:w="2213" w:type="dxa"/>
          </w:tcPr>
          <w:p w:rsidR="00000000" w:rsidRDefault="00000000">
            <w:pPr>
              <w:spacing w:before="240" w:after="0" w:line="240" w:lineRule="auto"/>
              <w:jc w:val="center"/>
              <w:rPr>
                <w:rFonts w:ascii="Arial" w:hAnsi="Arial"/>
                <w:sz w:val="16"/>
              </w:rPr>
            </w:pPr>
            <w:r>
              <w:rPr>
                <w:rFonts w:ascii="Arial" w:hAnsi="Arial"/>
                <w:sz w:val="16"/>
              </w:rPr>
              <w:t>344 600</w:t>
            </w:r>
          </w:p>
        </w:tc>
        <w:tc>
          <w:tcPr>
            <w:tcW w:w="2098" w:type="dxa"/>
          </w:tcPr>
          <w:p w:rsidR="00000000" w:rsidRDefault="00000000">
            <w:pPr>
              <w:spacing w:before="240" w:after="0" w:line="240" w:lineRule="auto"/>
              <w:jc w:val="center"/>
              <w:rPr>
                <w:rFonts w:ascii="Arial" w:hAnsi="Arial"/>
                <w:sz w:val="16"/>
              </w:rPr>
            </w:pPr>
            <w:r>
              <w:rPr>
                <w:rFonts w:ascii="Arial" w:hAnsi="Arial"/>
                <w:sz w:val="16"/>
              </w:rPr>
              <w:t>214 100</w:t>
            </w:r>
          </w:p>
        </w:tc>
      </w:tr>
      <w:tr w:rsidR="00000000">
        <w:tblPrEx>
          <w:tblCellMar>
            <w:top w:w="0" w:type="dxa"/>
            <w:bottom w:w="0" w:type="dxa"/>
          </w:tblCellMar>
        </w:tblPrEx>
        <w:tc>
          <w:tcPr>
            <w:tcW w:w="1928" w:type="dxa"/>
          </w:tcPr>
          <w:p w:rsidR="00000000" w:rsidRDefault="00000000">
            <w:pPr>
              <w:spacing w:before="240" w:after="0" w:line="240" w:lineRule="auto"/>
              <w:rPr>
                <w:rFonts w:ascii="Arial" w:hAnsi="Arial"/>
                <w:sz w:val="16"/>
              </w:rPr>
            </w:pPr>
            <w:r>
              <w:rPr>
                <w:rFonts w:ascii="Arial" w:hAnsi="Arial"/>
                <w:sz w:val="16"/>
              </w:rPr>
              <w:t>1997</w:t>
            </w:r>
          </w:p>
        </w:tc>
        <w:tc>
          <w:tcPr>
            <w:tcW w:w="2778" w:type="dxa"/>
          </w:tcPr>
          <w:p w:rsidR="00000000" w:rsidRDefault="00000000">
            <w:pPr>
              <w:spacing w:before="240" w:after="0" w:line="240" w:lineRule="auto"/>
              <w:jc w:val="center"/>
              <w:rPr>
                <w:rFonts w:ascii="Arial" w:hAnsi="Arial"/>
                <w:sz w:val="16"/>
              </w:rPr>
            </w:pPr>
            <w:r>
              <w:rPr>
                <w:rFonts w:ascii="Arial" w:hAnsi="Arial"/>
                <w:sz w:val="16"/>
              </w:rPr>
              <w:t>541 000</w:t>
            </w:r>
          </w:p>
        </w:tc>
        <w:tc>
          <w:tcPr>
            <w:tcW w:w="2213" w:type="dxa"/>
          </w:tcPr>
          <w:p w:rsidR="00000000" w:rsidRDefault="00000000">
            <w:pPr>
              <w:spacing w:before="240" w:after="0" w:line="240" w:lineRule="auto"/>
              <w:jc w:val="center"/>
              <w:rPr>
                <w:rFonts w:ascii="Arial" w:hAnsi="Arial"/>
                <w:sz w:val="16"/>
              </w:rPr>
            </w:pPr>
            <w:r>
              <w:rPr>
                <w:rFonts w:ascii="Arial" w:hAnsi="Arial"/>
                <w:sz w:val="16"/>
              </w:rPr>
              <w:t>335 800</w:t>
            </w:r>
          </w:p>
        </w:tc>
        <w:tc>
          <w:tcPr>
            <w:tcW w:w="2098" w:type="dxa"/>
          </w:tcPr>
          <w:p w:rsidR="00000000" w:rsidRDefault="00000000">
            <w:pPr>
              <w:spacing w:before="240" w:after="0" w:line="240" w:lineRule="auto"/>
              <w:jc w:val="center"/>
              <w:rPr>
                <w:rFonts w:ascii="Arial" w:hAnsi="Arial"/>
                <w:sz w:val="16"/>
              </w:rPr>
            </w:pPr>
            <w:r>
              <w:rPr>
                <w:rFonts w:ascii="Arial" w:hAnsi="Arial"/>
                <w:sz w:val="16"/>
              </w:rPr>
              <w:t>205 200</w:t>
            </w:r>
          </w:p>
        </w:tc>
      </w:tr>
    </w:tbl>
    <w:p w:rsidR="00000000" w:rsidRDefault="00000000"/>
    <w:p w:rsidR="00000000" w:rsidRDefault="00000000">
      <w:r>
        <w:rPr>
          <w:lang w:val="en-US"/>
        </w:rPr>
        <w:t>24.</w:t>
      </w:r>
      <w:r>
        <w:rPr>
          <w:lang w:val="en-US"/>
        </w:rPr>
        <w:tab/>
      </w:r>
      <w:r>
        <w:t>Республика Тринидад и Тобаго пользуется международной помощью и сотрудничеством в деле полного соблюдения прав человека. За 1999/2000 финансовый год международное финансирование проектов, программ и других инициатив, реализующихся через государственный сектор в целях соблюдения этих прав, в сумме составит 30,6 процента (или 479,4 млн. долл. ТТ) от всего бюджета этих программ. Источниками такого финансирования являются Межамериканский банк развития, Международный банк реконструкции, Карибский банк развития, Европейский инвестиционный банк и Европейский союз.</w:t>
      </w:r>
    </w:p>
    <w:p w:rsidR="00000000" w:rsidRDefault="00000000">
      <w:pPr>
        <w:pStyle w:val="Heading2"/>
      </w:pPr>
      <w:r>
        <w:t>Общая политическая структура</w:t>
      </w:r>
    </w:p>
    <w:p w:rsidR="00000000" w:rsidRDefault="00000000">
      <w:r>
        <w:t>25.</w:t>
      </w:r>
      <w:r>
        <w:tab/>
        <w:t>Тринидад и Тобаго – суверенное демократическое государство, основанное на принципе господства права, что зафиксировано в преамбуле к Конституции. Раньше Тринидад и Тобаго являлись колонией Британской короны, в 1956 году получили статус самоуправляющейся территории. Полной независимости от Британии Тринидад и Тобаго достигли 31 августа 1962 года, а 24 сентября 1976 года стали республикой в рамках Британского содружества наций.</w:t>
      </w:r>
    </w:p>
    <w:p w:rsidR="00000000" w:rsidRDefault="00000000">
      <w:r>
        <w:t>26</w:t>
      </w:r>
      <w:r>
        <w:rPr>
          <w:lang w:val="en-US"/>
        </w:rPr>
        <w:t>.</w:t>
      </w:r>
      <w:r>
        <w:rPr>
          <w:lang w:val="en-US"/>
        </w:rPr>
        <w:tab/>
      </w:r>
      <w:r>
        <w:t xml:space="preserve">Суверенитет народа Тринидада и Тобаго проявляется путем выражения его воли через избранных представителей. Право вступать в политические партии и выражать политические взгляды прямо признается в статье 4 е) Конституции. Для проведения выборов Тринидад и Тобаго разделена на 36 избирательных округов, два из которых находятся на Тобаго. В соответствии с Конституцией учреждены независимые комиссии по выборам и избирательным округам. После парламентских выборов победивший в избирательном округе кандидат становится членом палаты представителей, нижней палаты парламента. Парламент, если он не распускается досрочно, действует в течение пяти лет со дня его первого заседания после роспуска по любой причине, а затем распускается. Всеобщие выборы членов палаты представителей проводятся не позднее, чем через три месяца после роспуска парламента, в срок, назначаемый президентом по представлению премьер-министра. </w:t>
      </w:r>
    </w:p>
    <w:p w:rsidR="00000000" w:rsidRDefault="00000000">
      <w:r>
        <w:rPr>
          <w:lang w:val="en-US"/>
        </w:rPr>
        <w:t>27.</w:t>
      </w:r>
      <w:r>
        <w:rPr>
          <w:lang w:val="en-US"/>
        </w:rPr>
        <w:tab/>
      </w:r>
      <w:r>
        <w:t>Свободные выборы проводятся в Тринидаде и Тобаго с 1956 года. С точки зрения политической истории Народное национальное движение (ННД) пришло к власти в сентябре 1956 года и не терпело поражений до декабря 1986 года, проиграв коалиционной партии под названием Национальный альянс за реконструкцию (НАР). Убедительная победа НАР в 1986 году ознаменовала окончание трех десятилетий доминирования ННД. Через пять лет, в ноябре 1991 года, ННД вновь пришло к власти. На последних всеобщих выборах 1995 года Объединенный национальный конгресс (ОНК) и ННД получили по 17 из 36 выборных депутатских мест. Остальные два депутатских мандата получил на Тобаго НАР. ОНК и НАР решили объединиться, чтобы сформировать руководимое премьер-министром г-ном Басдео Пандей нынешнее коалиционное правительство, которое до сих пор находится у власти. На следующих парламентских выборах, которые состоялись 11 декабря 2000</w:t>
      </w:r>
      <w:r>
        <w:rPr>
          <w:lang w:val="en-US"/>
        </w:rPr>
        <w:t> </w:t>
      </w:r>
      <w:r>
        <w:t xml:space="preserve">года, ОНК подтвердил свое положение в правительстве Тринидада и Тобаго. </w:t>
      </w:r>
    </w:p>
    <w:p w:rsidR="00000000" w:rsidRDefault="00000000">
      <w:r>
        <w:rPr>
          <w:lang w:val="en-US"/>
        </w:rPr>
        <w:t>28.</w:t>
      </w:r>
      <w:r>
        <w:rPr>
          <w:lang w:val="en-US"/>
        </w:rPr>
        <w:tab/>
      </w:r>
      <w:r>
        <w:t>В 1976 году Конституция независимости Тринидада и Тобаго была заменена Республиканской конституцией. Эта Конституция, провозглашенная высшим законом страны, закрепляет разделение власти между тремя ее ветвями – исполнительной, законодательной и судебной.</w:t>
      </w:r>
    </w:p>
    <w:p w:rsidR="00000000" w:rsidRDefault="00000000">
      <w:r>
        <w:rPr>
          <w:lang w:val="en-US"/>
        </w:rPr>
        <w:t>29.</w:t>
      </w:r>
      <w:r>
        <w:rPr>
          <w:lang w:val="en-US"/>
        </w:rPr>
        <w:tab/>
      </w:r>
      <w:r>
        <w:t xml:space="preserve">Исполнительная власть в Тринидаде и Тобаго принадлежит президенту и, в соответствии с Конституцией, может осуществляться им самим или подчиненными ему должностными лицами. Президент избирается всеми членами двухпалатного парламента. Премьер-министр, являющийся лидером партии большинства в парламенте, возглавляет правительство. В состав Кабинета министров входят премьер-министр, Генеральный прокурор и другие министры правительства, назначаемые премьер-министром из числа членов парламента. Конституция наделяет Кабинет функциями осуществления общего руководства и контроля над деятельностью правительства Тринидада и Тобаго и устанавливает коллективную ответственность Кабинета перед парламентом. При осуществлении своих конституционных прав президент должен действовать, консультируясь с Кабинетом, за исключением тех случаев, когда в Конституции указано иное. Кабинет может быть отстранен от власти членами законодательного органа путем вынесения вотума недоверия. </w:t>
      </w:r>
    </w:p>
    <w:p w:rsidR="00000000" w:rsidRDefault="00000000">
      <w:r>
        <w:rPr>
          <w:lang w:val="en-US"/>
        </w:rPr>
        <w:t>30.</w:t>
      </w:r>
      <w:r>
        <w:rPr>
          <w:lang w:val="en-US"/>
        </w:rPr>
        <w:tab/>
      </w:r>
      <w:r>
        <w:t xml:space="preserve">Законодательную власть в Тринидаде и Тобаго осуществляет парламент, который, в соответствии с Конституцией, состоит из президента, верхней палаты – сената, и нижней палаты – палаты представителей. В состав палаты представителей входят 36 членов, избираемых взрослыми гражданами на основе всеобщего избирательного права в 36 избирательных округах, на которые разделены Тринидад и Тобаго. В разделе 73 Конституции устанавливается, что выборы членов палаты представителей проводятся по системе относительного большинства. Сенат состоит из 31 назначаемого члена. По рекомендации премьер-министра назначаются 16 из 31 сенатора, 6 сенаторов назначаются по рекомендации лидера оппозиции и 9 назначаются президентом по его усмотрению из числа известных деятелей, работающих в экономических, социальных или общинных организациях и других важнейших областях деятельности. В соответствии с разделом 53 Конституции парламент наделяется правом принимать законы во имя мира, порядка и надлежащего управления в Республике Тринидад и Тобаго. Хотя парламент имеет право изменять Конституцию, изменение некоторых ее частей, содержащих, например, положения об основных правах человека, закреплено за парламентом и они могут быть изменены только им, если такое решение будет принято квалифицированным большинством голосов в каждой из палат парламента. </w:t>
      </w:r>
    </w:p>
    <w:p w:rsidR="00000000" w:rsidRDefault="00000000">
      <w:r>
        <w:rPr>
          <w:lang w:val="en-US"/>
        </w:rPr>
        <w:t>31.</w:t>
      </w:r>
      <w:r>
        <w:rPr>
          <w:lang w:val="en-US"/>
        </w:rPr>
        <w:tab/>
      </w:r>
      <w:r>
        <w:t xml:space="preserve">Повседневная работа парламента в основном осуществляется государственной гражданской службой, организованной в виде министерств и департаментов. Конституция ограждает служащих государственной гражданской службы от прямого политического вмешательства действующего правительства, наделяя независимые комитеты правом назначать, увольнять или применять дисциплинарные меры, за исключением того или иного органа власти или руководителя. </w:t>
      </w:r>
    </w:p>
    <w:p w:rsidR="00000000" w:rsidRDefault="00000000">
      <w:r>
        <w:rPr>
          <w:lang w:val="en-US"/>
        </w:rPr>
        <w:t>32.</w:t>
      </w:r>
      <w:r>
        <w:rPr>
          <w:lang w:val="en-US"/>
        </w:rPr>
        <w:tab/>
      </w:r>
      <w:r>
        <w:t>В 1888 году произошло административное объединение островов Тобаго и Тринидада для образования единой колонии Тринидад и Тобаго. До 1980 года всеми делами Тобаго полностью управляли из Порт-оф-Спейна, столицы Тринидада. С принятием в 1980 году акта парламента в целях лучшего обеспечения управления островом была учреждена Национальная ассамблея Тобаго. В 1996 году акт 1980 года был аннулирован и заменен новым актом о Национальной ассамблее Тобаго. В соответствии с актом 1996 года ассамблея является органом, в состав которого входят 12 членов, избираемых населением Тобаго, четыре назначаемых советника и председательствующее лицо. Члены ассамблеи избирают из своего состава главного секретаря и заместителя главного секретаря. Ассамблея избирается на четыре года, исчисляемых со дня ее первого заседания. Актом устанавливается, что в обязанности ассамблеи, в частности, входят: формулирование и осуществление политики по таким вопросам, как финансы, то есть сбор денежных поступлений и оплата расходов, понесенных при исполнении функций ассамблеи; управление государственными землями, парками на суше и на море; туризм; спорт; культура и искусство; общинное развитие; сельское хозяйство; рыболовство; производство продовольственных товаров; лесное хозяйство; городское и сельское планирование; окружающая среда; таможня и акцизы; здравоохранение и жилищное строительство. К вопросам, решать которые ассамблея не имеет полномочий, среди прочего относятся национальная безопасность, иммиграция и правосудие. В соответствии с Конституцией Кабинет Тринидада и Тобаго осуществляет общее руководство и контроль за деятельностью ассамблеи.</w:t>
      </w:r>
    </w:p>
    <w:p w:rsidR="00000000" w:rsidRDefault="00000000">
      <w:r>
        <w:rPr>
          <w:lang w:val="en-US"/>
        </w:rPr>
        <w:t>33.</w:t>
      </w:r>
      <w:r>
        <w:rPr>
          <w:lang w:val="en-US"/>
        </w:rPr>
        <w:tab/>
      </w:r>
      <w:r>
        <w:t>Конституцией учреждается Верховный суд Тринидада и Тобаго, в который входят Высокий суд правосудия и Апелляционный суд. Председатель Верховного суда несет полную ответственность за отправление правосудия в Тринидаде и Тобаго и возглавляет независимый Юридический комитет. Юридический комитет объединяет высший орган судебной системы (Верховный суд) и нижний орган судебной системы (Магистратуру). Верховный суд имеет отделения в четырех населенных пунктах страны. Магистратура делится на 13 округов. Магистратура и Высокий суд имеют юрисдикцию суда первой инстанции по гражданским и уголовным делам. Подразделение суда малых сессий Магистратуры ведет гражданские дела на суммы, не превышающие 15 000 долл. ТТ. Оно осуществляет суммарное судопроизводство по уголовным делам и проводит предварительное судебное следствие в случаях, являющихся основанием для уголовного преследования по обвинительному акту, и решает вопрос о необходимости передачи такого дела суду присяжных. Высокий суд ведет дела, являющиеся основанием для уголовного преследования по обвинительному акту, семейные и гражданские дела в отношении сумм, превышающих уровень малого судопроизводства по гражданским делам. Отдельно функционируют Суд по трудовым делам и Апелляционная коллегия по налогам, которые по своему статусу являются судами высшей инстанции. Апелляции Магистратуры и Высокого суда рассматриваются Апелляционным судом. Главный судья является председателям Апелляционного суда. Апелляции Апелляционного суда рассматриваются Судебным комитетом тайного совета в Англии иногда как апелляции по неотъемлемому праву стороны, а иногда как апелляции, возбуждение которых зависит от усмотрения Апелляционного суда. Тайный совет является высшим апелляционным судом Тринидада и Тобаго.</w:t>
      </w:r>
    </w:p>
    <w:p w:rsidR="00000000" w:rsidRDefault="00000000">
      <w:pPr>
        <w:pStyle w:val="Heading2"/>
      </w:pPr>
      <w:r>
        <w:t>Общие правовые рамки защиты прав человека</w:t>
      </w:r>
    </w:p>
    <w:p w:rsidR="00000000" w:rsidRDefault="00000000">
      <w:r>
        <w:rPr>
          <w:lang w:val="en-US"/>
        </w:rPr>
        <w:t>34.</w:t>
      </w:r>
      <w:r>
        <w:rPr>
          <w:lang w:val="en-US"/>
        </w:rPr>
        <w:tab/>
      </w:r>
      <w:r>
        <w:t>Органом, ответственным за обеспечение соблюдения прав человека в стране, является Юридический комитет. Хотя в стране нет судов специальной юрисдикции, дела о нарушении прав человека обычно заносятся в список дел для рассмотрения в первоочередном порядке.</w:t>
      </w:r>
    </w:p>
    <w:p w:rsidR="00000000" w:rsidRDefault="00000000">
      <w:r>
        <w:rPr>
          <w:lang w:val="en-US"/>
        </w:rPr>
        <w:t>35.</w:t>
      </w:r>
      <w:r>
        <w:rPr>
          <w:lang w:val="en-US"/>
        </w:rPr>
        <w:tab/>
      </w:r>
      <w:r>
        <w:t>Общие правовые рамки защиты прав человека, установленные Международной конвенцией о ликвидации дискриминации в отношении женщин, обеспечиваются Конституцией и другими правовыми актами, в том числе законом о насилии в семье № 27 1999 года; законом о половых преступлениях 1986 года и относящимся к нему актом (поправка) 2000 года; законом о юридической помощи и консультациях, глава 7:07, и относящимся к нему актом (поправка) 1999 года; законом о государственной помощи  (поправка) № 10 1996 года; законом о регулировании государственной помощи 1997 года; законом об охране материнства № 4 1998 года; законом о совместном проживании № 30 1998 года; законом о наложении ареста на доходы (содержании) № 14 от 1998</w:t>
      </w:r>
      <w:r>
        <w:rPr>
          <w:lang w:val="en-US"/>
        </w:rPr>
        <w:t> </w:t>
      </w:r>
      <w:r>
        <w:t>года; законом о наложении ареста на доходы (содержании) (поправка) № 28 1995 года; законом об отправлении правосудия (разные положения) № 28 1996 года и законом о подсчете объема неоплачиваемого труда № 29 1996 года; распоряжением о минимальной заработной плате (№2) 1998 года. Разработаны системы компенсации в случаях нарушения прав человека, которая часто принимает форму денежной компенсации.</w:t>
      </w:r>
    </w:p>
    <w:p w:rsidR="00000000" w:rsidRDefault="00000000">
      <w:r>
        <w:rPr>
          <w:lang w:val="en-US"/>
        </w:rPr>
        <w:t>36.</w:t>
      </w:r>
      <w:r>
        <w:rPr>
          <w:lang w:val="en-US"/>
        </w:rPr>
        <w:tab/>
      </w:r>
      <w:r>
        <w:t>К правам, которые установлены в Международной конвенции о ликвидации дискриминации в отношении женщин и защищаются Конституцией или другими правовыми актами, относятся: равенство мужчин и женщин перед законом; право образовывать и вступать в профсоюзы; право на социальное обеспечение; право на защиту семьи; право на нормальное жилье; право на охрану здоровья и право на образование.</w:t>
      </w:r>
    </w:p>
    <w:p w:rsidR="00000000" w:rsidRDefault="00000000">
      <w:r>
        <w:rPr>
          <w:lang w:val="en-US"/>
        </w:rPr>
        <w:t>37.</w:t>
      </w:r>
      <w:r>
        <w:rPr>
          <w:lang w:val="en-US"/>
        </w:rPr>
        <w:tab/>
      </w:r>
      <w:r>
        <w:t xml:space="preserve">Все лица, подпадающие под юрисдикцию Тринидада и Тобаго, находятся под защитой Конституции, будь то взрослые или дети, граждане, постоянные жители или иностранцы. Кроме того, в Конституции прямо указывается, что содержащиеся в ней основные права являются действительными без какой-либо дискриминации по признакам расы, происхождения, цвета кожи, религии или пола. </w:t>
      </w:r>
    </w:p>
    <w:p w:rsidR="00000000" w:rsidRDefault="00000000">
      <w:r>
        <w:rPr>
          <w:lang w:val="en-US"/>
        </w:rPr>
        <w:t>38.</w:t>
      </w:r>
      <w:r>
        <w:rPr>
          <w:lang w:val="en-US"/>
        </w:rPr>
        <w:tab/>
      </w:r>
      <w:r>
        <w:t xml:space="preserve">В разделе 8 Конституции говорится, что президент "имеет право объявлять чрезвычайное положение в стране". Такое объявление не считается действительным, если не содержит заявления о том, что президент пришел к убеждению, что чрезвычайное положение в стране явилось результатом нависшей угрозы войны между Тринидадом и Тобаго и каким-либо иностранным государством, или следствием землетрясения, урагана, наводнения, пожара, эпидемии, распространения инфекционного заболевания или иного стихийного бедствия, или уже происшедших либо грозящих опасностью действий со стороны какого-либо лица и имеющих такой характер и такие масштабы, которые, по всей вероятности, угрожают безопасности населения или несут в себе опасность лишения населения или какой-либо значительной его части жизненно необходимых ресурсов или услуг. </w:t>
      </w:r>
    </w:p>
    <w:p w:rsidR="00000000" w:rsidRDefault="00000000">
      <w:r>
        <w:rPr>
          <w:lang w:val="en-US"/>
        </w:rPr>
        <w:t>39.</w:t>
      </w:r>
      <w:r>
        <w:rPr>
          <w:lang w:val="en-US"/>
        </w:rPr>
        <w:tab/>
      </w:r>
      <w:r>
        <w:t xml:space="preserve">Конституция допускает некоторое умаление конституционных прав во время введения чрезвычайного положения. В любое время действия чрезвычайного положения президент может издавать распоряжения по управлению ситуацией, в том числе содержащие положения о задержании тех или иных лиц. Законодательный акт, принятый в период чрезвычайного положения, в котором ясно указывается, что срок его действия ограничивается только этим периодом, является действительным, даже если не соответствует положениям раздела 4 и раздела 5 Конституции (основные права человека), за исключением тех случаев, когда положения этого акта могут представляться недостаточно обоснованными с точки зрения управления ситуацией, сложившейся в период чрезвычайного положения. Если какое-либо лицо незаконно задерживается в соответствии с законодательным актом, принятым в период чрезвычайного положения, оно может в любое время его задержания потребовать пересмотра своего дела независимым и беспристрастным, учрежденным согласно законодательным нормам судебным органом под председательством лица, назначенного Главным судьей. Лицо, незаконно задержанное во время чрезвычайного положения, также может опротестовать законность его или ее задержания путем подачи апелляции в Высокий суд. </w:t>
      </w:r>
    </w:p>
    <w:p w:rsidR="00000000" w:rsidRDefault="00000000">
      <w:r>
        <w:rPr>
          <w:lang w:val="en-US"/>
        </w:rPr>
        <w:t>40.</w:t>
      </w:r>
      <w:r>
        <w:rPr>
          <w:lang w:val="en-US"/>
        </w:rPr>
        <w:tab/>
      </w:r>
      <w:r>
        <w:t xml:space="preserve">Разделом 2 Конституции провозглашается, что она является высшим законом и что любой иной закон, не соответствующий Конституции, не имеет юридической силы в той мере, в какой он не соответствует Конституции. Разделом 13 Конституции парламенту разрешено принимать законы, не согласующиеся с разделами Конституции, посвященными основным правам человека. Но такой законодательный акт может быть принят только тремя пятыми членов обеих палат парламента. Более того, даже в случае принятия закона требуемым парламентским большинством он остается открытым для опротестования в Высоком суде на том основании, что представляется недостаточно оправданным для общества, с должным уважением относящегося к правам и свободам личности. </w:t>
      </w:r>
    </w:p>
    <w:p w:rsidR="00000000" w:rsidRDefault="00000000">
      <w:r>
        <w:rPr>
          <w:lang w:val="en-US"/>
        </w:rPr>
        <w:t>41.</w:t>
      </w:r>
      <w:r>
        <w:rPr>
          <w:lang w:val="en-US"/>
        </w:rPr>
        <w:tab/>
      </w:r>
      <w:r>
        <w:t>Если конституционные права какого-либо человека нарушаются или могут быть нарушены тем или иным государственным органом, или государственным служащим, или представителем государства, то, в соответствии с разделом 14 Конституции, он имеет право обратиться в Высокий суд с требованием сатисфакции. Высокий суд является судом первой инстанции по конституционным вопросам, но Конституция предусматривает также право обращаться в Апелляционный суд и затем в Судебный комитет тайного совета по любому делу, в ходе рассмотрения которого возникает необходимость толкования Конституции. Если вышеуказанный суд обнаруживает какое-либо нарушение одного из конституционных прав, он мотивирует свое решение по этому делу и может присудить денежную компенсацию пострадавшему лицу. Права, установленные Конституцией, предоставляются не только гражданам страны, но и всем, кто находится под ее юрисдикцией, включая приезжих, лиц, отбывающих заключение по приговору суда, и лиц, приговоренных к смертной казни.</w:t>
      </w:r>
    </w:p>
    <w:p w:rsidR="00000000" w:rsidRDefault="00000000">
      <w:r>
        <w:rPr>
          <w:lang w:val="en-US"/>
        </w:rPr>
        <w:t>42.</w:t>
      </w:r>
      <w:r>
        <w:rPr>
          <w:lang w:val="en-US"/>
        </w:rPr>
        <w:tab/>
      </w:r>
      <w:r>
        <w:t>Еще одним средством судебной защиты, имеющимся в распоряжении мужчины или женщины, утверждающих, что их права были нарушены, является право обращаться к судебной власти с ходатайством о пересмотре и отмене постановления законодательной и исполнительной властей. Материально-правовой характер обращения к процедуре судебного пересмотра был недавно систематизирован в законе о судебном пересмотре № 60 2000 года. К этой процедуре можно прибегнуть только в том случае, если нет других способов правовой защиты и если права какого-либо лица нарушены органом или облеченным властью лицом, функционирующим в области государственного права. До начала процедуры судебного пересмотра необходимо получить разрешение Высокого суда на судопроизводство по заявлению стороны. Если соблюдены все требования для получения такого разрешения, Высокий суд производит судебный пересмотр решения или поведения указанного выше лица, облеченного властью, чтобы определить, не превысило ли это лицо своих полномочий и не нарушило ли принципов естественной справедливости, в том числе права быть беспристрастно выслушанным. К основаниям для возвращения прав лицу, подавшему ходатайство о судебном пересмотре, среди прочего, относятся следующие случаи:</w:t>
      </w:r>
    </w:p>
    <w:p w:rsidR="00000000" w:rsidRDefault="00000000">
      <w:pPr>
        <w:tabs>
          <w:tab w:val="clear" w:pos="340"/>
          <w:tab w:val="left" w:pos="1021"/>
          <w:tab w:val="left" w:pos="1418"/>
        </w:tabs>
        <w:spacing w:after="0"/>
        <w:ind w:right="680"/>
        <w:jc w:val="left"/>
        <w:rPr>
          <w:i/>
        </w:rPr>
      </w:pPr>
      <w:r>
        <w:rPr>
          <w:i/>
          <w:lang w:val="en-US"/>
        </w:rPr>
        <w:tab/>
      </w:r>
      <w:r>
        <w:rPr>
          <w:i/>
        </w:rPr>
        <w:t>5.</w:t>
      </w:r>
      <w:r>
        <w:rPr>
          <w:i/>
        </w:rPr>
        <w:tab/>
        <w:t>(3)</w:t>
      </w:r>
      <w:r>
        <w:rPr>
          <w:i/>
          <w:lang w:val="en-US"/>
        </w:rPr>
        <w:tab/>
      </w:r>
      <w:r>
        <w:rPr>
          <w:i/>
        </w:rPr>
        <w:t>а) данное решение в каком-то отношении неправомочн</w:t>
      </w:r>
      <w:r>
        <w:rPr>
          <w:i/>
          <w:lang w:val="en-US"/>
        </w:rPr>
        <w:t>о</w:t>
      </w:r>
      <w:r>
        <w:rPr>
          <w:i/>
        </w:rPr>
        <w:t xml:space="preserve"> или противоречи</w:t>
      </w:r>
      <w:r>
        <w:rPr>
          <w:i/>
          <w:lang w:val="en-US"/>
        </w:rPr>
        <w:t>т</w:t>
      </w:r>
      <w:r>
        <w:rPr>
          <w:i/>
        </w:rPr>
        <w:t xml:space="preserve"> закону;</w:t>
      </w:r>
    </w:p>
    <w:p w:rsidR="00000000" w:rsidRDefault="00000000">
      <w:pPr>
        <w:tabs>
          <w:tab w:val="clear" w:pos="340"/>
          <w:tab w:val="clear" w:pos="680"/>
          <w:tab w:val="left" w:pos="1418"/>
        </w:tabs>
        <w:spacing w:after="0"/>
        <w:ind w:left="1418" w:right="680" w:hanging="1418"/>
        <w:jc w:val="left"/>
        <w:rPr>
          <w:i/>
        </w:rPr>
      </w:pPr>
      <w:r>
        <w:rPr>
          <w:i/>
          <w:lang w:val="en-US"/>
        </w:rPr>
        <w:tab/>
        <w:t>b</w:t>
      </w:r>
      <w:r>
        <w:rPr>
          <w:i/>
        </w:rPr>
        <w:t>) превышение юрисдикции;…</w:t>
      </w:r>
    </w:p>
    <w:p w:rsidR="00000000" w:rsidRDefault="00000000">
      <w:pPr>
        <w:tabs>
          <w:tab w:val="clear" w:pos="340"/>
          <w:tab w:val="clear" w:pos="680"/>
          <w:tab w:val="left" w:pos="1418"/>
        </w:tabs>
        <w:spacing w:after="0"/>
        <w:ind w:left="1418" w:right="680" w:hanging="1418"/>
        <w:jc w:val="left"/>
        <w:rPr>
          <w:i/>
        </w:rPr>
      </w:pPr>
      <w:r>
        <w:rPr>
          <w:i/>
          <w:lang w:val="en-US"/>
        </w:rPr>
        <w:tab/>
        <w:t>d</w:t>
      </w:r>
      <w:r>
        <w:rPr>
          <w:i/>
        </w:rPr>
        <w:t>) нарушение принципов естественной справедливости;…</w:t>
      </w:r>
    </w:p>
    <w:p w:rsidR="00000000" w:rsidRDefault="00000000">
      <w:pPr>
        <w:tabs>
          <w:tab w:val="clear" w:pos="340"/>
          <w:tab w:val="clear" w:pos="680"/>
          <w:tab w:val="left" w:pos="1418"/>
        </w:tabs>
        <w:spacing w:after="0"/>
        <w:ind w:left="1418" w:right="680" w:hanging="1418"/>
        <w:jc w:val="left"/>
        <w:rPr>
          <w:i/>
        </w:rPr>
      </w:pPr>
      <w:r>
        <w:rPr>
          <w:i/>
          <w:lang w:val="en-US"/>
        </w:rPr>
        <w:tab/>
        <w:t>f</w:t>
      </w:r>
      <w:r>
        <w:rPr>
          <w:i/>
        </w:rPr>
        <w:t>) превышение власти;</w:t>
      </w:r>
    </w:p>
    <w:p w:rsidR="00000000" w:rsidRDefault="00000000">
      <w:pPr>
        <w:tabs>
          <w:tab w:val="clear" w:pos="340"/>
          <w:tab w:val="clear" w:pos="680"/>
          <w:tab w:val="left" w:pos="1418"/>
        </w:tabs>
        <w:spacing w:after="0"/>
        <w:ind w:left="1418" w:right="680" w:hanging="1418"/>
        <w:jc w:val="left"/>
        <w:rPr>
          <w:i/>
        </w:rPr>
      </w:pPr>
      <w:r>
        <w:rPr>
          <w:i/>
          <w:lang w:val="en-US"/>
        </w:rPr>
        <w:tab/>
        <w:t>g</w:t>
      </w:r>
      <w:r>
        <w:rPr>
          <w:i/>
        </w:rPr>
        <w:t>) обман, недобросовестность, ненадлежащая цель или не относящиеся к делу соображения;…</w:t>
      </w:r>
    </w:p>
    <w:p w:rsidR="00000000" w:rsidRDefault="00000000">
      <w:pPr>
        <w:tabs>
          <w:tab w:val="clear" w:pos="340"/>
          <w:tab w:val="clear" w:pos="680"/>
          <w:tab w:val="left" w:pos="1418"/>
        </w:tabs>
        <w:spacing w:after="0"/>
        <w:ind w:left="1418" w:right="680" w:hanging="1418"/>
        <w:jc w:val="left"/>
        <w:rPr>
          <w:i/>
        </w:rPr>
      </w:pPr>
      <w:r>
        <w:rPr>
          <w:i/>
          <w:lang w:val="en-US"/>
        </w:rPr>
        <w:tab/>
        <w:t>j</w:t>
      </w:r>
      <w:r>
        <w:rPr>
          <w:i/>
        </w:rPr>
        <w:t>) ошибка в праве, независимо от того, является ли она очевидной при обращении к протоколу или нет;…</w:t>
      </w:r>
    </w:p>
    <w:p w:rsidR="00000000" w:rsidRDefault="00000000">
      <w:pPr>
        <w:tabs>
          <w:tab w:val="clear" w:pos="340"/>
          <w:tab w:val="clear" w:pos="680"/>
          <w:tab w:val="left" w:pos="1418"/>
        </w:tabs>
        <w:ind w:left="1418" w:right="680" w:hanging="1418"/>
        <w:jc w:val="left"/>
      </w:pPr>
      <w:r>
        <w:rPr>
          <w:i/>
          <w:lang w:val="en-US"/>
        </w:rPr>
        <w:tab/>
        <w:t>o</w:t>
      </w:r>
      <w:r>
        <w:rPr>
          <w:i/>
        </w:rPr>
        <w:t>) настолько неразумное использование власти, какое не мог бы допустить ни один разумный человек.</w:t>
      </w:r>
    </w:p>
    <w:p w:rsidR="00000000" w:rsidRDefault="00000000">
      <w:r>
        <w:t>Суд имеет право присудить возмещение ущерба по ходатайству о судебном пересмотре, если такой ущерб возместим в порядке обычного иска, начатого по судебному приказу или конституционному ходатайству. Как и в случаях, касающихся конституционных вопросов, эти дела могут быть обжалованы в Апелляционном суде и Судебном комитете тайного совета.</w:t>
      </w:r>
    </w:p>
    <w:p w:rsidR="00000000" w:rsidRDefault="00000000">
      <w:r>
        <w:rPr>
          <w:lang w:val="en-US"/>
        </w:rPr>
        <w:t>43.</w:t>
      </w:r>
      <w:r>
        <w:rPr>
          <w:lang w:val="en-US"/>
        </w:rPr>
        <w:tab/>
      </w:r>
      <w:r>
        <w:t>Недавно правительство приняло закон о судебном пересмотре № 60 2000 года как закон материально-правового характера, регулирующий вопросы, связанные с ходатайствами о судебном пересмотре. Процессуальное право, регулирующее рассмотрение таких ходатайств, обеспечивается правилами судопроизводства. Этот закон позволяет лицу, прямо или косвенно потерпевшему урон в результате вынесенного решения или затронутому решением какого-либо нижестоящего суда, трибунала, государственного органа, уполномоченной администрации или лица, намеренного осуществить или не сумевшего осуществить какие-либо права или обязанности, налагаемые каким-либо законом, подавать ходатайство о судебном пересмотре. Этот закон также предусматривает возможность проведения судебного процесса в государственных интересах:</w:t>
      </w:r>
    </w:p>
    <w:p w:rsidR="00000000" w:rsidRDefault="00000000">
      <w:pPr>
        <w:tabs>
          <w:tab w:val="clear" w:pos="340"/>
          <w:tab w:val="left" w:pos="1021"/>
        </w:tabs>
        <w:ind w:left="680" w:right="680" w:hanging="680"/>
        <w:jc w:val="left"/>
        <w:rPr>
          <w:i/>
        </w:rPr>
      </w:pPr>
      <w:r>
        <w:rPr>
          <w:i/>
        </w:rPr>
        <w:tab/>
        <w:t>5.</w:t>
      </w:r>
      <w:r>
        <w:rPr>
          <w:i/>
        </w:rPr>
        <w:tab/>
        <w:t xml:space="preserve">(2) Суд может, по ходатайству о судебном пересмотре, предоставлять судебную защиту в соответствии с настоящим Законом – </w:t>
      </w:r>
    </w:p>
    <w:p w:rsidR="00000000" w:rsidRDefault="00000000">
      <w:pPr>
        <w:tabs>
          <w:tab w:val="clear" w:pos="340"/>
          <w:tab w:val="left" w:pos="1021"/>
        </w:tabs>
        <w:ind w:left="1021" w:right="680" w:hanging="1021"/>
        <w:jc w:val="left"/>
        <w:rPr>
          <w:i/>
        </w:rPr>
      </w:pPr>
      <w:r>
        <w:rPr>
          <w:i/>
        </w:rPr>
        <w:tab/>
      </w:r>
      <w:r>
        <w:rPr>
          <w:i/>
          <w:lang w:val="en-US"/>
        </w:rPr>
        <w:tab/>
        <w:t>b</w:t>
      </w:r>
      <w:r>
        <w:rPr>
          <w:i/>
        </w:rPr>
        <w:t>) лицу или группе лиц, если Суд убежден, что данное ходатайство оправданно с точки зрения государственных интересов с учетом обстоятельств данного дела.</w:t>
      </w:r>
    </w:p>
    <w:p w:rsidR="00000000" w:rsidRDefault="00000000">
      <w:r>
        <w:rPr>
          <w:lang w:val="en-US"/>
        </w:rPr>
        <w:t>44.</w:t>
      </w:r>
      <w:r>
        <w:rPr>
          <w:lang w:val="en-US"/>
        </w:rPr>
        <w:tab/>
      </w:r>
      <w:r>
        <w:t xml:space="preserve">Одним из представителей административной власти, правомочным расследовать предполагаемые нарушения прав человека, является омбудсмен. Его роль заключается в расследовании поданных отдельными лицами жалоб в отношении административных действий или решений государственных органов. Омбудсмен занимает эту должность в течение пяти лет и назначается президентом по консультации с премьер-министром и лидером оппозиции. В соответствии с законом об омбудсмене № 23 1997 года направляемые омбудсмену жалобы и просьбы о проведении расследования подаются в письменном виде, но на практике рассматриваются и жалобы, переданные по телефону или по факсу. В разделе 3 (4) этого закона говорится: если омбудсмен считает, что имеется доказательство нарушения обязанностей, неправомерного поведения или совершения уголовного преступления со стороны должностного лица или служащего любого департамента или органа власти, он может передавать это дело компетентному органу для принятия в отношении нарушителя дисциплинарных или иных мер. Начиная с 1977 года омбудсмен публикует ежегодные доклады. Омбудсмену подается в среднем 1000 новых жалоб в год. В своем докладе 1997 года омбудсмен сообщал, что "жалобы поступают от граждан всех районов обоих островов и представителей всех социальных групп, рас и классов". Всего в 1997 году омбудсмену было подано 1276 жалоб, и к концу года омбудсмен завершил расследование 48 процентов этих жалоб. </w:t>
      </w:r>
    </w:p>
    <w:p w:rsidR="00000000" w:rsidRDefault="00000000">
      <w:r>
        <w:rPr>
          <w:lang w:val="en-US"/>
        </w:rPr>
        <w:t>45.</w:t>
      </w:r>
      <w:r>
        <w:rPr>
          <w:lang w:val="en-US"/>
        </w:rPr>
        <w:tab/>
      </w:r>
      <w:r>
        <w:t>Еще одним административным органом, обладающим юрисдикцией в связи с нарушением прав человека, является Полицейское управление по рассмотрению жалоб. Это предусмотренный законом, учрежденный в 1995</w:t>
      </w:r>
      <w:r>
        <w:rPr>
          <w:lang w:val="en-US"/>
        </w:rPr>
        <w:t> </w:t>
      </w:r>
      <w:r>
        <w:t xml:space="preserve">году орган, состоящий из пяти назначаемых президентом членов. В настоящее время председателем Управления является вышедший в отставку судья Апелляционного суда. Согласно закону в обязанности Управления входят получение жалоб о поведении любого офицера полиции и контроль за расследованием жалоб, которое проводится отделом жалоб. Сотрудниками отдела жалоб, учрежденного комиссаром полиции в соответствии с законом, являются офицеры полиции. Полицейское управление по рассмотрению жалоб регистрирует все жалобы и передает их в отдел жалоб для расследования и принятия решения. Отдел тщательно и беспристрастно расследует все жалобы, за исключением тех, которые начальник отдела считает необоснованными; в этом случае никаких действий не предпринимается. Жалобы могут разбираться разными способами, включая консультирование, дисциплинарное производство или судопроизводство в уголовном суде. </w:t>
      </w:r>
    </w:p>
    <w:p w:rsidR="00000000" w:rsidRDefault="00000000">
      <w:r>
        <w:rPr>
          <w:lang w:val="en-US"/>
        </w:rPr>
        <w:t>46.</w:t>
      </w:r>
      <w:r>
        <w:rPr>
          <w:lang w:val="en-US"/>
        </w:rPr>
        <w:tab/>
      </w:r>
      <w:r>
        <w:t>В Тринидаде и Тобаго положения международного законодательства не включаются автоматически во внутригосударственное право и не оказывают на него прямого влияния, если только они прямо не преобразуются в законы внутригосударственного права актом парламента. Правительство Тринидада и Тобаго в настоящее время пересматривает все заключенные им договоры и соглашения, с тем чтобы международные обязательства были должным образом отражены во внутригосударственном праве, и в случае необходимости для их осуществления разрабатываются соответствующие законопроекты.</w:t>
      </w:r>
    </w:p>
    <w:p w:rsidR="00000000" w:rsidRDefault="00000000">
      <w:pPr>
        <w:pStyle w:val="Heading2"/>
      </w:pPr>
      <w:r>
        <w:t>Информация и политика</w:t>
      </w:r>
    </w:p>
    <w:p w:rsidR="00000000" w:rsidRDefault="00000000">
      <w:r>
        <w:rPr>
          <w:lang w:val="en-US"/>
        </w:rPr>
        <w:t>47.</w:t>
      </w:r>
      <w:r>
        <w:rPr>
          <w:lang w:val="en-US"/>
        </w:rPr>
        <w:tab/>
      </w:r>
      <w:r>
        <w:t>Сектор по правам человека ведомства Генерального прокурора и правовых вопросов, основанный в 1998</w:t>
      </w:r>
      <w:r>
        <w:rPr>
          <w:lang w:val="en-US"/>
        </w:rPr>
        <w:t> </w:t>
      </w:r>
      <w:r>
        <w:t>году, отвечает за подготовку периодических докладов в рамках обязательств по разным международным договорам по правам человека, государством-участником которых является Тринидад и Тобаго. Сектор выполняет некоторые другие функции, такие как:</w:t>
      </w:r>
    </w:p>
    <w:p w:rsidR="00000000" w:rsidRDefault="00000000">
      <w:pPr>
        <w:numPr>
          <w:ilvl w:val="0"/>
          <w:numId w:val="458"/>
        </w:numPr>
      </w:pPr>
      <w:r>
        <w:t>Подготовка от имени государства ответов на петиции и сообщения, представленные в международные органы по правам человека, в которых говорится о нарушениях договорных обязательств Тринидадом и Тобаго.</w:t>
      </w:r>
    </w:p>
    <w:p w:rsidR="00000000" w:rsidRDefault="00000000">
      <w:pPr>
        <w:numPr>
          <w:ilvl w:val="0"/>
          <w:numId w:val="458"/>
        </w:numPr>
      </w:pPr>
      <w:r>
        <w:t>Юридические консультации по вопросам ратификации международных документов по правам человека, еще не ратифицированных Тринидадом и Тобаго.</w:t>
      </w:r>
    </w:p>
    <w:p w:rsidR="00000000" w:rsidRDefault="00000000">
      <w:pPr>
        <w:numPr>
          <w:ilvl w:val="0"/>
          <w:numId w:val="458"/>
        </w:numPr>
      </w:pPr>
      <w:r>
        <w:t xml:space="preserve">Рассмотрение оговорок, сделанных Тринидадом и Тобаго к уже ратифицированным международным договорам по правам человека. </w:t>
      </w:r>
    </w:p>
    <w:p w:rsidR="00000000" w:rsidRDefault="00000000">
      <w:pPr>
        <w:numPr>
          <w:ilvl w:val="0"/>
          <w:numId w:val="458"/>
        </w:numPr>
      </w:pPr>
      <w:r>
        <w:t>Рассмотрение вопроса о совместимости внутригосударственных законов Тринидада и Тобаго и обязательств по международным договорам по правам человека.</w:t>
      </w:r>
    </w:p>
    <w:p w:rsidR="00000000" w:rsidRDefault="00000000">
      <w:pPr>
        <w:numPr>
          <w:ilvl w:val="0"/>
          <w:numId w:val="458"/>
        </w:numPr>
      </w:pPr>
      <w:r>
        <w:t>Содействие более широкому ознакомлению с документами по правам человека и вытекающими из них правовыми обязательствами Тринидада и Тобаго.</w:t>
      </w:r>
    </w:p>
    <w:p w:rsidR="00000000" w:rsidRDefault="00000000">
      <w:pPr>
        <w:numPr>
          <w:ilvl w:val="0"/>
          <w:numId w:val="458"/>
        </w:numPr>
      </w:pPr>
      <w:r>
        <w:t>Обеспечение представительства в надзорных комитетах, а именно в Комитете по правам человека и Комитете по ликвидации всех форм расовой дискриминации.</w:t>
      </w:r>
    </w:p>
    <w:p w:rsidR="00000000" w:rsidRDefault="00000000">
      <w:r>
        <w:rPr>
          <w:lang w:val="en-US"/>
        </w:rPr>
        <w:t>48.</w:t>
      </w:r>
      <w:r>
        <w:rPr>
          <w:lang w:val="en-US"/>
        </w:rPr>
        <w:tab/>
      </w:r>
      <w:r>
        <w:t>Наряду с сектором по правам человека в начале этого года был создан специальный, состоящий из назначенных Кабинетом представителей соответствующих министерств комитет в качестве постоянного межминистерского органа, призванного представлять сектору по правам человека последнюю и точную информацию, относящуюся к соответствующим министерствам.</w:t>
      </w:r>
    </w:p>
    <w:p w:rsidR="00000000" w:rsidRDefault="00000000">
      <w:r>
        <w:rPr>
          <w:lang w:val="en-US"/>
        </w:rPr>
        <w:t>49.</w:t>
      </w:r>
      <w:r>
        <w:rPr>
          <w:lang w:val="en-US"/>
        </w:rPr>
        <w:tab/>
      </w:r>
      <w:r>
        <w:t xml:space="preserve">Раньше периодические доклады широко не распространялись. Однако правительство принимает меры по исправлению этого положения. Третий периодический доклад Республики Тринидад и Тобаго, подготовленный в 1999 году в соответствии с Международным пактом о гражданских и политических правах, был представлен парламенту; при его представлении Генеральный прокурор сделал заявление. Затем копии этого доклада были разосланы в зарубежные представительства Тринидада и Тобаго, международные организации по правам человека и во все неправительственные организации Тринидада и Тобаго. В связи с содержанием доклада были затребованы комментарии различных организаций. Второй и третий периодические доклады Республики Тринидад и Тобаго, подготовленные в соответствии с Международным пактом об экономических, социальных и культурных правах, и одиннадцатый – четырнадцатый периодические доклады, подготовленные в 2000 году в соответствии с Международной конвенцией о ликвидации всех форм расовой дискриминации, тоже были представлены парламенту. Представление каждого из этих докладов парламенту сопровождалось заявлениями Генерального прокурора. В настоящее время принимаются меры для публикации доклада на </w:t>
      </w:r>
      <w:r>
        <w:rPr>
          <w:lang w:val="en-US"/>
        </w:rPr>
        <w:t>web</w:t>
      </w:r>
      <w:r>
        <w:t xml:space="preserve">-странице ведомства Генерального прокурора и правовых вопросов и организации продажи его копий широкой публике по номинальной цене. В докладе содержится копия Пакта. Правительство намерено продолжать представление таких докладов парламенту и делать их копии доступными для широкой публики. </w:t>
      </w:r>
    </w:p>
    <w:p w:rsidR="00000000" w:rsidRDefault="00000000">
      <w:r>
        <w:rPr>
          <w:lang w:val="en-US"/>
        </w:rPr>
        <w:t>50.</w:t>
      </w:r>
      <w:r>
        <w:rPr>
          <w:lang w:val="en-US"/>
        </w:rPr>
        <w:tab/>
      </w:r>
      <w:r>
        <w:t>В канцелярии премьер-министра также функционирует информационный отдел, который уполномочен проводить политику правительства в области коммуникаций и отвечает, в частности, за все связи с общественностью, обеспечение доступа к правительственной информации и расширение рамок информирования общественности. В этом отделе имеется телевизионное подразделение, которое производит телевизионные программы и документальные фильмы на общенациональные, социальные и культурные темы, а также освещает деятельность правительства. Радиоподразделение этого отдела информирует население о деятельности правительства, проектах и политике и сообщает по радио о событиях в стране и за рубежом. Научно-исследовательское подразделение исследовательского/библиотечного отдела занимается выпуском листовок, брошюр, буклетов, плакатов и других материалов, представляющих интерес для общественности страны и затрагивающих, среди прочего, вопросы прав человека. За период с 1996 по 1999 год информационный отдел составил свыше 25 программ в целях ознакомления общественности с их гражданскими правами, в том числе серию программ об отправлении правосудия. Телевизионное подразделение за период с 1996 года подготовило одиннадцать передач, содержащих информацию о новых и существующих законодательных актах, затрагивающих интересы общественности. К ним, среди прочего, относятся:</w:t>
      </w:r>
    </w:p>
    <w:p w:rsidR="00000000" w:rsidRDefault="00000000">
      <w:pPr>
        <w:numPr>
          <w:ilvl w:val="0"/>
          <w:numId w:val="460"/>
        </w:numPr>
        <w:spacing w:after="0"/>
      </w:pPr>
      <w:r>
        <w:t>Билль о равных возможностях.</w:t>
      </w:r>
    </w:p>
    <w:p w:rsidR="00000000" w:rsidRDefault="00000000">
      <w:pPr>
        <w:numPr>
          <w:ilvl w:val="0"/>
          <w:numId w:val="460"/>
        </w:numPr>
        <w:spacing w:after="0"/>
      </w:pPr>
      <w:r>
        <w:t>Билль о поправке к Конституции.</w:t>
      </w:r>
    </w:p>
    <w:p w:rsidR="00000000" w:rsidRDefault="00000000">
      <w:pPr>
        <w:numPr>
          <w:ilvl w:val="0"/>
          <w:numId w:val="460"/>
        </w:numPr>
        <w:spacing w:after="0"/>
      </w:pPr>
      <w:r>
        <w:t>Уголовное судопроизводство.</w:t>
      </w:r>
    </w:p>
    <w:p w:rsidR="00000000" w:rsidRDefault="00000000">
      <w:pPr>
        <w:numPr>
          <w:ilvl w:val="0"/>
          <w:numId w:val="460"/>
        </w:numPr>
        <w:spacing w:after="0"/>
      </w:pPr>
      <w:r>
        <w:t>Билль о насилии в семье.</w:t>
      </w:r>
    </w:p>
    <w:p w:rsidR="00000000" w:rsidRDefault="00000000">
      <w:pPr>
        <w:numPr>
          <w:ilvl w:val="0"/>
          <w:numId w:val="460"/>
        </w:numPr>
        <w:spacing w:after="0"/>
      </w:pPr>
      <w:r>
        <w:t>Международный уголовный суд.</w:t>
      </w:r>
    </w:p>
    <w:p w:rsidR="00000000" w:rsidRDefault="00000000">
      <w:pPr>
        <w:numPr>
          <w:ilvl w:val="0"/>
          <w:numId w:val="460"/>
        </w:numPr>
        <w:spacing w:after="0"/>
      </w:pPr>
      <w:r>
        <w:t>Региональная конференция мировых судей.</w:t>
      </w:r>
    </w:p>
    <w:p w:rsidR="00000000" w:rsidRDefault="00000000">
      <w:pPr>
        <w:numPr>
          <w:ilvl w:val="0"/>
          <w:numId w:val="460"/>
        </w:numPr>
        <w:spacing w:after="0"/>
      </w:pPr>
      <w:r>
        <w:t>Билль об опасных лекарственных веществах.</w:t>
      </w:r>
    </w:p>
    <w:p w:rsidR="00000000" w:rsidRDefault="00000000">
      <w:pPr>
        <w:numPr>
          <w:ilvl w:val="0"/>
          <w:numId w:val="460"/>
        </w:numPr>
      </w:pPr>
      <w:r>
        <w:t>Речь в День прав человека.</w:t>
      </w:r>
    </w:p>
    <w:p w:rsidR="00000000" w:rsidRDefault="00000000">
      <w:r>
        <w:rPr>
          <w:lang w:val="en-US"/>
        </w:rPr>
        <w:t>51.</w:t>
      </w:r>
      <w:r>
        <w:rPr>
          <w:lang w:val="en-US"/>
        </w:rPr>
        <w:tab/>
      </w:r>
      <w:r>
        <w:t xml:space="preserve">Ранее буклет под названием "Конституция – руководство для граждан", выпущенный ведомством Генерального прокурора, был разослан в 600 школьных библиотек, 100 сельских школ, 68 частных школ, 78 посольств, 90 специализированных библиотек и 30 иностранных представительств. Был также распространен буклет под названием "Основы государственного управления", который содержал информацию о Конституции Республики и структуре правительства. По мере поступления распространяется и информация об Организации Объединенных Наций. Кроме того, Министерство информации устанавливает экраны в дни праздников, отмечаемых Организацией Объединенных Наций, включая День прав человека. </w:t>
      </w:r>
    </w:p>
    <w:p w:rsidR="00000000" w:rsidRDefault="00000000">
      <w:pPr>
        <w:pStyle w:val="Heading2"/>
      </w:pPr>
      <w:r>
        <w:t>Положение женщин</w:t>
      </w:r>
    </w:p>
    <w:p w:rsidR="00000000" w:rsidRDefault="00000000">
      <w:r>
        <w:rPr>
          <w:lang w:val="en-US"/>
        </w:rPr>
        <w:t>52.</w:t>
      </w:r>
      <w:r>
        <w:rPr>
          <w:lang w:val="en-US"/>
        </w:rPr>
        <w:tab/>
      </w:r>
      <w:r>
        <w:t xml:space="preserve">В течение последних 25 лет принимаются меры по отмене или изменению всех известных дискриминационных положений в отношении женщин, существующих в законодательстве. К важным мерам по усовершенствованию законодательства, регулирующего положение женщин, относятся предоставление женщинам в 1946 году права голоса и принятие в 1972 году законодательства, корректирующего и модернизирующего законы о разводе. Впервые были предоставлены новые дополнительные средства судебной защиты в случае развода. К началу 80-х годов в рамках статутного права Тринидада и Тобаго были успешно решены многие вопросы, связанные с положениями Конвенции о ликвидации всех форм дискриминации в отношении женщин. </w:t>
      </w:r>
    </w:p>
    <w:p w:rsidR="00000000" w:rsidRDefault="00000000">
      <w:r>
        <w:rPr>
          <w:lang w:val="en-US"/>
        </w:rPr>
        <w:t>53.</w:t>
      </w:r>
      <w:r>
        <w:rPr>
          <w:lang w:val="en-US"/>
        </w:rPr>
        <w:tab/>
      </w:r>
      <w:r>
        <w:t xml:space="preserve">В главе 45:50 закона о супругах 1980 года защищаются права женщин, внесших денежный вклад в приобретение собственности, которая до этого момента записывалась только на имя мужа. В 1981 году был принят закон о положении детей, главой 46:07 которого упразднялось положение о неправоспособности незаконнорожденных детей. Глава 46:08 закона о семье (опека над несовершеннолетними, постоянное местожительство и содержание), принятого одновременно с законом о положении детей, принесла пользу женщинам, по крайней мере, в двух важных областях: 1) ею было отменено законодательное положение, в соответствии с которым замужняя женщина автоматически приобретала постоянное местожительство мужа; и 2) женщины были уравнены в правах на опеку над детьми, которые прежде принадлежали только их мужьям. В соответствии с Конституцией женщины (как замужние, так и незамужние) в равной с мужчинами степени наделялись правом передавать свое гражданство детям, рожденным за пределами Тринидада и Тобаго. </w:t>
      </w:r>
    </w:p>
    <w:p w:rsidR="00000000" w:rsidRDefault="00000000">
      <w:r>
        <w:rPr>
          <w:lang w:val="en-US"/>
        </w:rPr>
        <w:t>54.</w:t>
      </w:r>
      <w:r>
        <w:rPr>
          <w:lang w:val="en-US"/>
        </w:rPr>
        <w:tab/>
      </w:r>
      <w:r>
        <w:t>В 1975 году замужние женщины получили право подавать отдельные налоговые декларации в силу поправки к указу о подоходном налоге, глава 33, № 1, посредством принятия закона о финансах 1976 года. В 1961 году женщинам было предоставлено право выступать в роли присяжных заседателей. Это имеющее гендерную основу ограничение было отменено в декабре 1961 года путем принятия поправки к закону о суде присяжных, глава 6:53. Кроме того, женщины имеют равные с мужчинами права на труд; они могут выдвигать свои кандидатуры на местных, муниципальных и общенациональных выборах и возбуждать судебные дела в случае нарушения их прав. Что касается равной платы за труд равной ценности, то, хотя этот принцип достаточно широко реализуется в государственном секторе, имеются свидетельства того, что на государственных фирмах ежедневная оплата труда женщин ниже оплаты идентичного труда работников-мужчин.</w:t>
      </w:r>
    </w:p>
    <w:p w:rsidR="00000000" w:rsidRDefault="00000000">
      <w:r>
        <w:rPr>
          <w:lang w:val="en-US"/>
        </w:rPr>
        <w:t>55.</w:t>
      </w:r>
      <w:r>
        <w:rPr>
          <w:lang w:val="en-US"/>
        </w:rPr>
        <w:tab/>
      </w:r>
      <w:r>
        <w:t>В сфере образования и профессиональной подготовки девочки имеют одинаковые с мальчиками права на обучение в рамках обязательного курса начального школьного образования (до 12 лет) а затем – на среднее образование. Дальнейшее образование (в том числе техническое и профессиональное) предоставляется на открытой конкурсной основе.</w:t>
      </w:r>
    </w:p>
    <w:p w:rsidR="00000000" w:rsidRDefault="00000000">
      <w:r>
        <w:rPr>
          <w:lang w:val="en-US"/>
        </w:rPr>
        <w:t>56.</w:t>
      </w:r>
      <w:r>
        <w:rPr>
          <w:lang w:val="en-US"/>
        </w:rPr>
        <w:tab/>
      </w:r>
      <w:r>
        <w:t>Что касается условий на рабочем месте, то законодательство обеспечивает особую защиту женщинам. В указе о фабриках 1948 года предусматривается предоставление санитарных удобств лицам обоего пола и устанавливается, что "любая женщина или молодой человек могут работать на фабрике только при соблюдении существующих правил и инструкций".</w:t>
      </w:r>
    </w:p>
    <w:p w:rsidR="00000000" w:rsidRDefault="00000000">
      <w:r>
        <w:rPr>
          <w:lang w:val="en-US"/>
        </w:rPr>
        <w:t>57.</w:t>
      </w:r>
      <w:r>
        <w:rPr>
          <w:lang w:val="en-US"/>
        </w:rPr>
        <w:tab/>
      </w:r>
      <w:r>
        <w:t>В 1974 году была создана Национальная комиссия по положению женщин, а 1 января 1980 года была учреждена постоянная Комиссия по положению женщин. В 1986 году эта Комиссия была преобразована в Женское бюро по улучшению положения женщин, находившееся в ведении тогдашнего Министерства по вопросам социального обеспечения и положения женщин. В 1991 году в Министерстве общинного развития, культуры и по вопросам женщин был образован Отдел по делам женщин. Этот Отдел в сотрудничестве с женскими неправительственными организациями разработал краткосрочный план действий, направленных на улучшение положения женщин. В 1993 году Отдел по делам женщин заключил техническое соглашение с Межамериканским банком развития об институциональном укреплении Отдела, что выражалось в повышении технических и материальных возможностей Отдела в проведении активной политики достижения гендерного равенства и улучшения положения женщин в Тринидаде и Тобаго.</w:t>
      </w:r>
    </w:p>
    <w:p w:rsidR="00000000" w:rsidRDefault="00000000">
      <w:r>
        <w:rPr>
          <w:lang w:val="en-US"/>
        </w:rPr>
        <w:t>58.</w:t>
      </w:r>
      <w:r>
        <w:rPr>
          <w:lang w:val="en-US"/>
        </w:rPr>
        <w:tab/>
      </w:r>
      <w:r>
        <w:t>В настоящее время ответственность за реализацию официальной государственной политики обеспечения гендерного равенства и развития возложена на Отдел гендерных проблем Министерства культуры и гендерных проблем. Деятельность этого Отдела постоянно совершенствуется, с тем чтобы расширить его возможности формулировать, контролировать, оценивать и включать гендерный аспект в ключевые политические документы и программы, разрабатываемые в государственном и частном секторах. Функции органов, консультирующих Отдел гендерных проблем, выполняют также Межминистерский комитет и Национальный женский совет. Кроме того, были учреждены Комитет поддержки мужчин, целевая группа по пересмотру проекта документа о национальной гендерной политике и целевая группа по выработке всеобъемлющей политики и созданию центрального реестра данных о насилии в семье, а также Специальный комитет по оказанию помощи женщинам, занятым на производстве и в торговле; целью деятельности всех упомянутых учреждений является оказание конкретной помощи работе Отдела. В 1998 году в Национальной ассамблее Тобаго также был создан Отдел гендерных проблем.</w:t>
      </w:r>
    </w:p>
    <w:p w:rsidR="00000000" w:rsidRDefault="00000000">
      <w:r>
        <w:rPr>
          <w:lang w:val="en-US"/>
        </w:rPr>
        <w:t>59.</w:t>
      </w:r>
      <w:r>
        <w:rPr>
          <w:lang w:val="en-US"/>
        </w:rPr>
        <w:tab/>
      </w:r>
      <w:r>
        <w:t>Помощь в деле улучшения положения женщин оказывает также активное женское движение Тринидада и Тобаго, охватывающее несколько женских неправительственных организаций и сотни общинных женских организаций. Они ведут активную работу в таких областях, как предоставление юридической защиты, профессиональная подготовка, изучение и ознакомление с проблемами, относящимися к правам человека женщин, включая насилие в отношении женщин, занятость, политику и принятие решений, образование, здравоохранение и проблемы женщин, проживающих в сельских районах. Участники этого движения также стали пионерами в деле оказания помощи жертвам насилия в семье и сексуального насилия; женщинам, инфицированным вирусом ВИЧ/СПИДа; и женщинам, пострадавшим от злоупотребления алкоголем или наркотиками. Кроме того, эти неправительственные организации начали и продолжают осуществлять программы, направленные на обеспечение женщин приносящей доход работой. Последние пять лет также были отмечены образованием нескольких мужских неправительственных организаций, активно поддерживающих движение за улучшение положения женщин, лоббирующих ликвидацию насилия в отношении женщин и новую социализацию мужчин и юношей во всей стране. Хотя государство и оказывает некоторую финансовую поддержку деятельности этих неправительственных организаций, основными являются внешние и другие источники финансирования.</w:t>
      </w:r>
    </w:p>
    <w:p w:rsidR="00000000" w:rsidRDefault="00000000">
      <w:r>
        <w:rPr>
          <w:lang w:val="en-US"/>
        </w:rPr>
        <w:t>60.</w:t>
      </w:r>
      <w:r>
        <w:rPr>
          <w:lang w:val="en-US"/>
        </w:rPr>
        <w:tab/>
      </w:r>
      <w:r>
        <w:t>В 1998 году был разработан проект документа по гендерной политике в развитие Заявления о государственной политике правительства 1987 года. В настоящее время этот документ пересматривается, чтобы впоследствии он был принят на общенациональном уровне.</w:t>
      </w:r>
    </w:p>
    <w:p w:rsidR="00000000" w:rsidRDefault="00000000">
      <w:r>
        <w:rPr>
          <w:lang w:val="en-US"/>
        </w:rPr>
        <w:t>61.</w:t>
      </w:r>
      <w:r>
        <w:rPr>
          <w:lang w:val="en-US"/>
        </w:rPr>
        <w:tab/>
      </w:r>
      <w:r>
        <w:t>В рамках среднесрочной государственной политики предусматривается включение гендерного аспекта в планирование разработки политики и программ, с тем чтобы они были сфокусированы на деятельности, направленной на достижение равноправия мужчин и женщин в обозримом будущем.</w:t>
      </w:r>
    </w:p>
    <w:p w:rsidR="00000000" w:rsidRDefault="00000000">
      <w:r>
        <w:rPr>
          <w:lang w:val="en-US"/>
        </w:rPr>
        <w:t>62.</w:t>
      </w:r>
      <w:r>
        <w:rPr>
          <w:lang w:val="en-US"/>
        </w:rPr>
        <w:tab/>
      </w:r>
      <w:r>
        <w:t>Правительство тоже пришло к пониманию, что решение многих важнейших для женщин проблем кроется в области отношений между мужчинами и женщинами. В этом отношении правительство твердо намерено:</w:t>
      </w:r>
    </w:p>
    <w:p w:rsidR="00000000" w:rsidRDefault="00000000">
      <w:pPr>
        <w:numPr>
          <w:ilvl w:val="0"/>
          <w:numId w:val="461"/>
        </w:numPr>
      </w:pPr>
      <w:r>
        <w:t>содействовать установлению равенства и равноправия мужчин и женщин путем проведения активной и открытой политики акцентирования гендерного аспекта;</w:t>
      </w:r>
    </w:p>
    <w:p w:rsidR="00000000" w:rsidRDefault="00000000">
      <w:pPr>
        <w:numPr>
          <w:ilvl w:val="0"/>
          <w:numId w:val="461"/>
        </w:numPr>
      </w:pPr>
      <w:r>
        <w:t xml:space="preserve">поощрять и усиливать эффективность национальных механизмов межминистерской координации, межотраслевого сотрудничества и объединения неправительственных организаций в единую сеть; и </w:t>
      </w:r>
    </w:p>
    <w:p w:rsidR="00000000" w:rsidRDefault="00000000">
      <w:pPr>
        <w:numPr>
          <w:ilvl w:val="0"/>
          <w:numId w:val="461"/>
        </w:numPr>
      </w:pPr>
      <w:r>
        <w:t>предоставить Отделу гендерных проблем четко сформулированный мандат, полномочия и возможность действовать в качестве центрального органа по разработке гендерной политики, по контролю за включением гендерного аспекта во все национальные программы и политические документы.</w:t>
      </w:r>
    </w:p>
    <w:p w:rsidR="00000000" w:rsidRDefault="00000000">
      <w:r>
        <w:t>63.</w:t>
      </w:r>
      <w:r>
        <w:tab/>
        <w:t>Хотя в целом положение женщин в Тринидаде и Тобаго лучше, чем в других развивающихся странах со средним уровнем доходов, в том, что касается большинства таких социальных показателей, как средняя продолжительность жизни, материнская смертность, контингент поступающих в учебные заведения и обучение необходимым навыкам, женщины здесь по-прежнему сталкиваются с широким спектром имеющих гендерную основу ограничений, препятствующих их хозяйственной деятельности и влияющих на общий уровень их благосостояния.</w:t>
      </w:r>
    </w:p>
    <w:p w:rsidR="00000000" w:rsidRDefault="00000000">
      <w:pPr>
        <w:pStyle w:val="Heading1"/>
      </w:pPr>
      <w:r>
        <w:br w:type="page"/>
        <w:t xml:space="preserve">ЧАСТЬ ВТОРАЯ: </w:t>
      </w:r>
      <w:r>
        <w:br/>
        <w:t>КОНКРЕТНЫЕ ПОЛОЖЕНИЯ КОНВЕНЦИИ</w:t>
      </w:r>
    </w:p>
    <w:p w:rsidR="00000000" w:rsidRDefault="00000000">
      <w:pPr>
        <w:pStyle w:val="Heading3"/>
      </w:pPr>
      <w:r>
        <w:t>Статья 1</w:t>
      </w:r>
    </w:p>
    <w:p w:rsidR="00000000" w:rsidRDefault="00000000">
      <w:r>
        <w:t>64.</w:t>
      </w:r>
      <w:r>
        <w:tab/>
        <w:t>Принцип равенства мужчин и женщин закреплен в Конституции Республики Тринидад и Тобаго, которая запрещает дискриминацию по признакам пола, религии, этнической принадлежности, цвета кожи и происхождения. Общая политика ликвидации дискриминации в отношении женщин основывается на статье 4 Конституции, которая гласит:</w:t>
      </w:r>
    </w:p>
    <w:p w:rsidR="00000000" w:rsidRDefault="00000000">
      <w:pPr>
        <w:tabs>
          <w:tab w:val="clear" w:pos="340"/>
          <w:tab w:val="left" w:pos="1021"/>
        </w:tabs>
        <w:ind w:left="680" w:right="680" w:hanging="680"/>
        <w:rPr>
          <w:i/>
        </w:rPr>
      </w:pPr>
      <w:r>
        <w:tab/>
      </w:r>
      <w:r>
        <w:rPr>
          <w:i/>
        </w:rPr>
        <w:t>4.</w:t>
      </w:r>
      <w:r>
        <w:rPr>
          <w:i/>
        </w:rPr>
        <w:tab/>
        <w:t>Настоящим признается и провозглашается, что в Тринидаде и Тобаго существуют и в дальнейшем будут существовать без дискриминации по признакам расы, происхождения, цвета кожи, религии или пола следующие основные права и свободы:</w:t>
      </w:r>
    </w:p>
    <w:p w:rsidR="00000000" w:rsidRDefault="00000000">
      <w:pPr>
        <w:tabs>
          <w:tab w:val="clear" w:pos="340"/>
          <w:tab w:val="clear" w:pos="680"/>
          <w:tab w:val="left" w:pos="1361"/>
          <w:tab w:val="left" w:pos="1928"/>
        </w:tabs>
        <w:ind w:left="1928" w:right="680" w:hanging="1928"/>
        <w:rPr>
          <w:i/>
        </w:rPr>
      </w:pPr>
      <w:r>
        <w:rPr>
          <w:i/>
        </w:rPr>
        <w:tab/>
        <w:t>а)</w:t>
      </w:r>
      <w:r>
        <w:rPr>
          <w:i/>
        </w:rPr>
        <w:tab/>
        <w:t>право человека на жизнь, свободу, безопасность личности, право на обладание собственностью и право не быть лишенным ее иначе, как по закону;</w:t>
      </w:r>
    </w:p>
    <w:p w:rsidR="00000000" w:rsidRDefault="00000000">
      <w:pPr>
        <w:tabs>
          <w:tab w:val="clear" w:pos="340"/>
          <w:tab w:val="clear" w:pos="680"/>
          <w:tab w:val="left" w:pos="1361"/>
          <w:tab w:val="left" w:pos="1928"/>
        </w:tabs>
        <w:ind w:left="1928" w:right="680" w:hanging="1928"/>
        <w:rPr>
          <w:i/>
        </w:rPr>
      </w:pPr>
      <w:r>
        <w:rPr>
          <w:i/>
        </w:rPr>
        <w:tab/>
      </w:r>
      <w:r>
        <w:rPr>
          <w:i/>
          <w:lang w:val="en-US"/>
        </w:rPr>
        <w:t>b</w:t>
      </w:r>
      <w:r>
        <w:rPr>
          <w:i/>
        </w:rPr>
        <w:t>)</w:t>
      </w:r>
      <w:r>
        <w:rPr>
          <w:i/>
        </w:rPr>
        <w:tab/>
        <w:t>право человека на равенство перед законом и на защиту закона;</w:t>
      </w:r>
    </w:p>
    <w:p w:rsidR="00000000" w:rsidRDefault="00000000">
      <w:pPr>
        <w:tabs>
          <w:tab w:val="clear" w:pos="340"/>
          <w:tab w:val="clear" w:pos="680"/>
          <w:tab w:val="left" w:pos="1361"/>
          <w:tab w:val="left" w:pos="1928"/>
        </w:tabs>
        <w:ind w:left="1928" w:right="680" w:hanging="1928"/>
        <w:rPr>
          <w:i/>
        </w:rPr>
      </w:pPr>
      <w:r>
        <w:rPr>
          <w:i/>
        </w:rPr>
        <w:tab/>
      </w:r>
      <w:r>
        <w:rPr>
          <w:i/>
          <w:lang w:val="en-US"/>
        </w:rPr>
        <w:t>c</w:t>
      </w:r>
      <w:r>
        <w:rPr>
          <w:i/>
        </w:rPr>
        <w:t>)</w:t>
      </w:r>
      <w:r>
        <w:rPr>
          <w:i/>
        </w:rPr>
        <w:tab/>
        <w:t>право человека на уважение его частной и семейной жизни;</w:t>
      </w:r>
    </w:p>
    <w:p w:rsidR="00000000" w:rsidRDefault="00000000">
      <w:pPr>
        <w:tabs>
          <w:tab w:val="clear" w:pos="340"/>
          <w:tab w:val="clear" w:pos="680"/>
          <w:tab w:val="left" w:pos="1361"/>
          <w:tab w:val="left" w:pos="1928"/>
        </w:tabs>
        <w:ind w:left="1928" w:right="680" w:hanging="1928"/>
        <w:rPr>
          <w:i/>
        </w:rPr>
      </w:pPr>
      <w:r>
        <w:rPr>
          <w:i/>
        </w:rPr>
        <w:tab/>
      </w:r>
      <w:r>
        <w:rPr>
          <w:i/>
          <w:lang w:val="en-US"/>
        </w:rPr>
        <w:t>d</w:t>
      </w:r>
      <w:r>
        <w:rPr>
          <w:i/>
        </w:rPr>
        <w:t>)</w:t>
      </w:r>
      <w:r>
        <w:rPr>
          <w:i/>
        </w:rPr>
        <w:tab/>
        <w:t>право человека на равенство в обращении со стороны любого органа государственной власти при выполнении им своих функций;</w:t>
      </w:r>
    </w:p>
    <w:p w:rsidR="00000000" w:rsidRDefault="00000000">
      <w:pPr>
        <w:tabs>
          <w:tab w:val="clear" w:pos="340"/>
          <w:tab w:val="clear" w:pos="680"/>
          <w:tab w:val="left" w:pos="1361"/>
          <w:tab w:val="left" w:pos="1928"/>
        </w:tabs>
        <w:ind w:left="1928" w:right="680" w:hanging="1928"/>
        <w:rPr>
          <w:i/>
        </w:rPr>
      </w:pPr>
      <w:r>
        <w:rPr>
          <w:i/>
        </w:rPr>
        <w:tab/>
      </w:r>
      <w:r>
        <w:rPr>
          <w:i/>
          <w:lang w:val="en-US"/>
        </w:rPr>
        <w:t>e</w:t>
      </w:r>
      <w:r>
        <w:rPr>
          <w:i/>
        </w:rPr>
        <w:t>)</w:t>
      </w:r>
      <w:r>
        <w:rPr>
          <w:i/>
        </w:rPr>
        <w:tab/>
        <w:t>право вступать в политические партии и выражать свои политические взгляды;</w:t>
      </w:r>
    </w:p>
    <w:p w:rsidR="00000000" w:rsidRDefault="00000000">
      <w:pPr>
        <w:tabs>
          <w:tab w:val="clear" w:pos="340"/>
          <w:tab w:val="clear" w:pos="680"/>
          <w:tab w:val="left" w:pos="1361"/>
          <w:tab w:val="left" w:pos="1928"/>
        </w:tabs>
        <w:ind w:left="1928" w:right="680" w:hanging="1928"/>
        <w:rPr>
          <w:i/>
        </w:rPr>
      </w:pPr>
      <w:r>
        <w:rPr>
          <w:i/>
        </w:rPr>
        <w:tab/>
      </w:r>
      <w:r>
        <w:rPr>
          <w:i/>
          <w:lang w:val="en-US"/>
        </w:rPr>
        <w:t>f</w:t>
      </w:r>
      <w:r>
        <w:rPr>
          <w:i/>
        </w:rPr>
        <w:t>)</w:t>
      </w:r>
      <w:r>
        <w:rPr>
          <w:i/>
        </w:rPr>
        <w:tab/>
        <w:t>право родителей или опекуна выбирать по собственному усмотрению школу для обучения своего ребенка или подопечного;</w:t>
      </w:r>
    </w:p>
    <w:p w:rsidR="00000000" w:rsidRDefault="00000000">
      <w:pPr>
        <w:tabs>
          <w:tab w:val="clear" w:pos="340"/>
          <w:tab w:val="clear" w:pos="680"/>
          <w:tab w:val="left" w:pos="1361"/>
          <w:tab w:val="left" w:pos="1928"/>
        </w:tabs>
        <w:ind w:left="1928" w:right="680" w:hanging="1928"/>
        <w:rPr>
          <w:i/>
        </w:rPr>
      </w:pPr>
      <w:r>
        <w:rPr>
          <w:i/>
        </w:rPr>
        <w:tab/>
      </w:r>
      <w:r>
        <w:rPr>
          <w:i/>
          <w:lang w:val="en-US"/>
        </w:rPr>
        <w:t>g</w:t>
      </w:r>
      <w:r>
        <w:rPr>
          <w:i/>
        </w:rPr>
        <w:t>)</w:t>
      </w:r>
      <w:r>
        <w:rPr>
          <w:i/>
        </w:rPr>
        <w:tab/>
        <w:t>свобода передвижения;</w:t>
      </w:r>
    </w:p>
    <w:p w:rsidR="00000000" w:rsidRDefault="00000000">
      <w:pPr>
        <w:tabs>
          <w:tab w:val="clear" w:pos="340"/>
          <w:tab w:val="clear" w:pos="680"/>
          <w:tab w:val="left" w:pos="1361"/>
          <w:tab w:val="left" w:pos="1928"/>
        </w:tabs>
        <w:ind w:left="1928" w:right="680" w:hanging="1928"/>
        <w:rPr>
          <w:i/>
        </w:rPr>
      </w:pPr>
      <w:r>
        <w:rPr>
          <w:i/>
        </w:rPr>
        <w:tab/>
      </w:r>
      <w:r>
        <w:rPr>
          <w:i/>
          <w:lang w:val="en-US"/>
        </w:rPr>
        <w:t>h</w:t>
      </w:r>
      <w:r>
        <w:rPr>
          <w:i/>
        </w:rPr>
        <w:t>)</w:t>
      </w:r>
      <w:r>
        <w:rPr>
          <w:i/>
        </w:rPr>
        <w:tab/>
        <w:t>свобода совести и религиозных верований и соблюдения обрядов и обычаев;</w:t>
      </w:r>
    </w:p>
    <w:p w:rsidR="00000000" w:rsidRDefault="00000000">
      <w:pPr>
        <w:tabs>
          <w:tab w:val="clear" w:pos="340"/>
          <w:tab w:val="clear" w:pos="680"/>
          <w:tab w:val="left" w:pos="1361"/>
          <w:tab w:val="left" w:pos="1928"/>
        </w:tabs>
        <w:ind w:left="1928" w:right="680" w:hanging="1928"/>
        <w:rPr>
          <w:i/>
        </w:rPr>
      </w:pPr>
      <w:r>
        <w:rPr>
          <w:i/>
        </w:rPr>
        <w:tab/>
      </w:r>
      <w:r>
        <w:rPr>
          <w:i/>
          <w:lang w:val="en-US"/>
        </w:rPr>
        <w:t>i</w:t>
      </w:r>
      <w:r>
        <w:rPr>
          <w:i/>
        </w:rPr>
        <w:t>)</w:t>
      </w:r>
      <w:r>
        <w:rPr>
          <w:i/>
        </w:rPr>
        <w:tab/>
        <w:t>свобода мысли и выражения;</w:t>
      </w:r>
    </w:p>
    <w:p w:rsidR="00000000" w:rsidRDefault="00000000">
      <w:pPr>
        <w:tabs>
          <w:tab w:val="clear" w:pos="340"/>
          <w:tab w:val="clear" w:pos="680"/>
          <w:tab w:val="left" w:pos="1361"/>
          <w:tab w:val="left" w:pos="1928"/>
        </w:tabs>
        <w:ind w:left="1928" w:right="680" w:hanging="1928"/>
        <w:rPr>
          <w:i/>
          <w:lang w:val="en-US"/>
        </w:rPr>
      </w:pPr>
      <w:r>
        <w:rPr>
          <w:i/>
        </w:rPr>
        <w:tab/>
      </w:r>
      <w:r>
        <w:rPr>
          <w:i/>
          <w:lang w:val="en-US"/>
        </w:rPr>
        <w:t>j</w:t>
      </w:r>
      <w:r>
        <w:rPr>
          <w:i/>
        </w:rPr>
        <w:t>)</w:t>
      </w:r>
      <w:r>
        <w:rPr>
          <w:i/>
        </w:rPr>
        <w:tab/>
        <w:t>свобода объединений и собраний;</w:t>
      </w:r>
      <w:r>
        <w:rPr>
          <w:i/>
          <w:lang w:val="en-US"/>
        </w:rPr>
        <w:t xml:space="preserve"> и</w:t>
      </w:r>
    </w:p>
    <w:p w:rsidR="00000000" w:rsidRDefault="00000000">
      <w:pPr>
        <w:tabs>
          <w:tab w:val="clear" w:pos="340"/>
          <w:tab w:val="clear" w:pos="680"/>
          <w:tab w:val="left" w:pos="1361"/>
          <w:tab w:val="left" w:pos="1928"/>
        </w:tabs>
        <w:ind w:left="1928" w:right="680" w:hanging="1928"/>
      </w:pPr>
      <w:r>
        <w:rPr>
          <w:i/>
        </w:rPr>
        <w:tab/>
      </w:r>
      <w:r>
        <w:rPr>
          <w:i/>
          <w:lang w:val="en-US"/>
        </w:rPr>
        <w:t>k</w:t>
      </w:r>
      <w:r>
        <w:rPr>
          <w:i/>
        </w:rPr>
        <w:t>)</w:t>
      </w:r>
      <w:r>
        <w:rPr>
          <w:i/>
        </w:rPr>
        <w:tab/>
        <w:t>свобода прессы</w:t>
      </w:r>
      <w:r>
        <w:t>.</w:t>
      </w:r>
    </w:p>
    <w:p w:rsidR="00000000" w:rsidRDefault="00000000">
      <w:r>
        <w:t>65.</w:t>
      </w:r>
      <w:r>
        <w:tab/>
        <w:t>Хотя Конституция Республики Тринидад и Тобаго действительно запрещает дискриминацию по признаку пола в отношении прав, перечисленных в статье 4, в ней не содержится отдельного положения, конкретно касающегося дискриминации в отношении женщин.</w:t>
      </w:r>
    </w:p>
    <w:p w:rsidR="00000000" w:rsidRDefault="00000000">
      <w:r>
        <w:t>66.</w:t>
      </w:r>
      <w:r>
        <w:tab/>
        <w:t>В преамбуле к Конституции Тринидада и Тобаго (от августа 1976 года) содержится ссылка на "равные и неотъемлемые права, которые имеют все члены человеческой семьи". Таким образом, права, провозглашаемые Конституцией как права "отдельного человека", гарантируются "всем членам человеческой семьи", находящимся под ее юрисдикцией.</w:t>
      </w:r>
    </w:p>
    <w:p w:rsidR="00000000" w:rsidRDefault="00000000">
      <w:r>
        <w:t>67.</w:t>
      </w:r>
      <w:r>
        <w:tab/>
        <w:t>Каждое государственное министерство функционирует в соответствии со своей собственной политикой, которая должна соответствовать положениям Конституции, и обязано вести деятельность, исключающую дискриминацию. Министерства должны выполнять свои обязанности, в том числе обеспечение населения товарами и услугами, без дискриминации по признакам расы, происхождения, цвета кожи, религиозной принадлежности или пола.</w:t>
      </w:r>
    </w:p>
    <w:p w:rsidR="00000000" w:rsidRDefault="00000000">
      <w:r>
        <w:t>68.</w:t>
      </w:r>
      <w:r>
        <w:tab/>
        <w:t>В Конституции Тринидада и Тобаго не содержится определения дискриминации, но указывается, что дискриминация по признаку пола запрещается. Исходя из этого, отдельные министерства приняли свои собственные определения дискриминации. Например, Министерство социального и общинного развития определяет дискриминацию как "различия любого рода по таким признакам, как раса, цвет кожи, пол, язык, религия, политические или иные взгляды, национальность или социальное происхождение, собственность, происхождение, или иным признакам". В проекте Хартии пациента, подготовленной Министерством здравоохранения, дискриминация определяется как различия, основанные на признаках "пола, религиозной, расовой принадлежности, принадлежности к какому-либо классу общества или национального происхождения". Министерство образования определяет дискриминацию как различия, основанные на признаках "пола, этнической, экономической, социальной или религиозной принадлежности". Наконец, Отдел гендерных проблем Министерства культуры и гендерных проблем определил дискриминацию как неравенство, основанное на признаках пола, расы, возраста, этнического происхождения, инвалидности и религии.</w:t>
      </w:r>
    </w:p>
    <w:p w:rsidR="00000000" w:rsidRDefault="00000000">
      <w:r>
        <w:t>69.</w:t>
      </w:r>
      <w:r>
        <w:tab/>
        <w:t xml:space="preserve">В Тринидаде и Тобаго насилие на гендерной основе не определяется как форма дискриминации, однако признается нарушением прав женщин и рассматривается как таковое. Как бы то ни было, на официальном уровне насилие на гендерной основе фактически признается одной из форм дискриминации. Это подтверждается фактом ратификации Тринидадом и Тобаго настоящей Конвенции, а также Межамериканской конвенции о предупреждении, наказании и искоренении насилия в отношении женщин, Конвенции </w:t>
      </w:r>
      <w:r>
        <w:rPr>
          <w:lang w:val="en-US"/>
        </w:rPr>
        <w:t>Belem</w:t>
      </w:r>
      <w:r>
        <w:t xml:space="preserve"> </w:t>
      </w:r>
      <w:r>
        <w:rPr>
          <w:lang w:val="en-US"/>
        </w:rPr>
        <w:t>Do</w:t>
      </w:r>
      <w:r>
        <w:t xml:space="preserve"> </w:t>
      </w:r>
      <w:r>
        <w:rPr>
          <w:lang w:val="en-US"/>
        </w:rPr>
        <w:t>Para</w:t>
      </w:r>
      <w:r>
        <w:t>,</w:t>
      </w:r>
      <w:r>
        <w:rPr>
          <w:b/>
        </w:rPr>
        <w:t xml:space="preserve"> </w:t>
      </w:r>
      <w:r>
        <w:t>принятой 9 июня 1994 года и ратифицированной страной 11 января 1996 года. Кроме того, Комитет Организации Объединенных Наций по ликвидации дискриминации в отношении женщин принял общую рекомендацию № 19, в которой имеющее гендерную основу насилие в отношении женщин, именно потому что они  "женщины", определяется как дискриминация, поскольку имеющее гендерную основу насилие несравнимо чаще обращено именно на женщин. С тех пор эта рекомендация была включена в инструкции для составления отчетности по выполнению настоящей Конвенции, которым должно следовать при составлении отчетов каждое присоединившееся к ней государство, включая Тринидад и Тобаго. Тринидад и Тобаго также поддержала и в 1993 году одобрила "Программу действий" венской Всемирной конференции по правам человека, а в 1995 году – Пекинскую "Платформу действий", в которой совершенно определенно указывается, что насилие в отношении женщин представляет собой нарушение прав человека. Наконец, этот принцип лежит в основе исследований и деятельности женского движения в Тринидаде и Тобаго.</w:t>
      </w:r>
    </w:p>
    <w:p w:rsidR="00000000" w:rsidRDefault="00000000">
      <w:r>
        <w:rPr>
          <w:lang w:val="en-US"/>
        </w:rPr>
        <w:t>70.</w:t>
      </w:r>
      <w:r>
        <w:rPr>
          <w:lang w:val="en-US"/>
        </w:rPr>
        <w:tab/>
      </w:r>
      <w:r>
        <w:t xml:space="preserve">В разделе 3 утратившего силу закона о насилии в семье № 10 1991 года насилие в семье определяется </w:t>
      </w:r>
    </w:p>
    <w:p w:rsidR="00000000" w:rsidRDefault="00000000">
      <w:pPr>
        <w:tabs>
          <w:tab w:val="clear" w:pos="340"/>
        </w:tabs>
        <w:rPr>
          <w:i/>
        </w:rPr>
      </w:pPr>
      <w:r>
        <w:rPr>
          <w:i/>
        </w:rPr>
        <w:tab/>
        <w:t>как "предумышленное преступление, совершаемое каким-либо лицом против:</w:t>
      </w:r>
    </w:p>
    <w:p w:rsidR="00000000" w:rsidRDefault="00000000">
      <w:pPr>
        <w:tabs>
          <w:tab w:val="clear" w:pos="340"/>
          <w:tab w:val="clear" w:pos="680"/>
          <w:tab w:val="left" w:pos="1361"/>
          <w:tab w:val="left" w:pos="1701"/>
        </w:tabs>
        <w:spacing w:after="0"/>
        <w:rPr>
          <w:i/>
        </w:rPr>
      </w:pPr>
      <w:r>
        <w:rPr>
          <w:i/>
        </w:rPr>
        <w:tab/>
        <w:t>а)</w:t>
      </w:r>
      <w:r>
        <w:rPr>
          <w:i/>
        </w:rPr>
        <w:tab/>
        <w:t>супруга(и) этого лица;</w:t>
      </w:r>
    </w:p>
    <w:p w:rsidR="00000000" w:rsidRDefault="00000000">
      <w:pPr>
        <w:tabs>
          <w:tab w:val="clear" w:pos="340"/>
          <w:tab w:val="clear" w:pos="680"/>
          <w:tab w:val="left" w:pos="1361"/>
          <w:tab w:val="left" w:pos="1701"/>
        </w:tabs>
        <w:spacing w:after="0"/>
        <w:rPr>
          <w:i/>
        </w:rPr>
      </w:pPr>
      <w:r>
        <w:rPr>
          <w:i/>
        </w:rPr>
        <w:tab/>
      </w:r>
      <w:r>
        <w:rPr>
          <w:i/>
          <w:lang w:val="en-US"/>
        </w:rPr>
        <w:t>b</w:t>
      </w:r>
      <w:r>
        <w:rPr>
          <w:i/>
        </w:rPr>
        <w:t>)</w:t>
      </w:r>
      <w:r>
        <w:rPr>
          <w:i/>
        </w:rPr>
        <w:tab/>
        <w:t>ребенка или иждивенца этого лица или супруга(и) этого лица; или</w:t>
      </w:r>
    </w:p>
    <w:p w:rsidR="00000000" w:rsidRDefault="00000000">
      <w:pPr>
        <w:tabs>
          <w:tab w:val="clear" w:pos="340"/>
          <w:tab w:val="clear" w:pos="680"/>
          <w:tab w:val="left" w:pos="1361"/>
          <w:tab w:val="left" w:pos="1701"/>
        </w:tabs>
      </w:pPr>
      <w:r>
        <w:rPr>
          <w:i/>
        </w:rPr>
        <w:tab/>
      </w:r>
      <w:r>
        <w:rPr>
          <w:i/>
          <w:lang w:val="en-US"/>
        </w:rPr>
        <w:t>c</w:t>
      </w:r>
      <w:r>
        <w:rPr>
          <w:i/>
        </w:rPr>
        <w:t>)</w:t>
      </w:r>
      <w:r>
        <w:rPr>
          <w:i/>
        </w:rPr>
        <w:tab/>
        <w:t xml:space="preserve">кого-либо из родителей". </w:t>
      </w:r>
    </w:p>
    <w:p w:rsidR="00000000" w:rsidRDefault="00000000">
      <w:r>
        <w:t>В законе говорилось, что к "предумышленным преступлениям" относятся: тяжкое убийство, покушение на тяжкое убийство, простое убийство, покушение на простое убийство, расстрел или нанесение ран с намерением причинить тяжкие физические увечья, нанесение телесных повреждений при помощи оружия или без него, покушение на удушение или удавление, использование наркотиков для совершения подсудного преступления против личности, применение яда, подвергание опасности жизни ребенка в возрасте до двух лет, нанесение телесных повреждений при помощи взрывчатых веществ, причинение телесных повреждений вследствие безответственного вождения автомобиля или вождения с большим превышением скорости, изнасилование, сексуальное насилие со стороны мужа, кровосмесительство, половое сношение с несовершеннолетним лицом, содомия, непристойное нападение, серьезная непристойность, жестокость в отношении детей и подростков, удушение младенцев, подвергание детей опасности сгореть при пожаре, допущение пребывания детей и подростков в борделях.</w:t>
      </w:r>
    </w:p>
    <w:p w:rsidR="00000000" w:rsidRDefault="00000000">
      <w:r>
        <w:t>71.</w:t>
      </w:r>
      <w:r>
        <w:tab/>
        <w:t>В 1999 году был принят новый закон о насилии в семье № 27 1999 года. Этим законом была введена всеобъемлющая законодательная норма в отношении насилия в семье, которая привела законодательство страны в соответствие с международными стандартами, установленными Комиссией по правам человека Организации Объединенных Наций. Этим законом был введен более широкий спектр быстродействующих и гибких средств правовой защиты, имеющих целью снижение роста числа случаев насилия в семье в стране и в то же время расширяющих определение насилия в семье. В разделе 3 этого закона приводятся следующие определения:</w:t>
      </w:r>
    </w:p>
    <w:p w:rsidR="00000000" w:rsidRDefault="00000000">
      <w:pPr>
        <w:tabs>
          <w:tab w:val="clear" w:pos="340"/>
          <w:tab w:val="left" w:pos="1021"/>
          <w:tab w:val="left" w:pos="1361"/>
          <w:tab w:val="left" w:pos="1701"/>
        </w:tabs>
        <w:ind w:right="680"/>
        <w:rPr>
          <w:i/>
        </w:rPr>
      </w:pPr>
      <w:r>
        <w:rPr>
          <w:i/>
        </w:rPr>
        <w:tab/>
        <w:t>3.</w:t>
      </w:r>
      <w:r>
        <w:rPr>
          <w:i/>
        </w:rPr>
        <w:tab/>
        <w:t>В настоящем Законе:</w:t>
      </w:r>
    </w:p>
    <w:p w:rsidR="00000000" w:rsidRDefault="00000000">
      <w:pPr>
        <w:tabs>
          <w:tab w:val="clear" w:pos="340"/>
          <w:tab w:val="left" w:pos="1021"/>
          <w:tab w:val="left" w:pos="1361"/>
          <w:tab w:val="left" w:pos="1701"/>
        </w:tabs>
        <w:ind w:left="1021" w:right="680" w:hanging="1021"/>
        <w:rPr>
          <w:i/>
        </w:rPr>
      </w:pPr>
      <w:r>
        <w:rPr>
          <w:i/>
        </w:rPr>
        <w:tab/>
      </w:r>
      <w:r>
        <w:rPr>
          <w:i/>
          <w:lang w:val="en-US"/>
        </w:rPr>
        <w:tab/>
      </w:r>
      <w:r>
        <w:rPr>
          <w:i/>
        </w:rPr>
        <w:t>…под "насилием в семье" подразумевается физическое, сексуальное, эмоциональное или психологическое, или финансовое насилие, совершенное каким-либо лицом в отношении супруга(и), ребенка, любого другого лица, живущего в той же семье, или иждивенца;</w:t>
      </w:r>
    </w:p>
    <w:p w:rsidR="00000000" w:rsidRDefault="00000000">
      <w:pPr>
        <w:tabs>
          <w:tab w:val="clear" w:pos="340"/>
          <w:tab w:val="left" w:pos="1021"/>
          <w:tab w:val="left" w:pos="1361"/>
          <w:tab w:val="left" w:pos="1701"/>
        </w:tabs>
        <w:ind w:left="1021" w:right="680" w:hanging="1021"/>
        <w:rPr>
          <w:i/>
        </w:rPr>
      </w:pPr>
      <w:r>
        <w:rPr>
          <w:i/>
        </w:rPr>
        <w:tab/>
      </w:r>
      <w:r>
        <w:rPr>
          <w:i/>
          <w:lang w:val="en-US"/>
        </w:rPr>
        <w:tab/>
      </w:r>
      <w:r>
        <w:rPr>
          <w:i/>
        </w:rPr>
        <w:t>"эмоциональное или психологическое насилие" означает любое поведение, целью которого является нарушение эмоционального или психологического равновесия какого-либо лица, в том числе:</w:t>
      </w:r>
    </w:p>
    <w:p w:rsidR="00000000" w:rsidRDefault="00000000">
      <w:pPr>
        <w:tabs>
          <w:tab w:val="clear" w:pos="340"/>
          <w:tab w:val="left" w:pos="1021"/>
          <w:tab w:val="left" w:pos="1361"/>
          <w:tab w:val="left" w:pos="1701"/>
        </w:tabs>
        <w:spacing w:after="0"/>
        <w:ind w:left="1701" w:right="680" w:hanging="1701"/>
        <w:rPr>
          <w:i/>
        </w:rPr>
      </w:pPr>
      <w:r>
        <w:rPr>
          <w:i/>
        </w:rPr>
        <w:tab/>
      </w:r>
      <w:r>
        <w:rPr>
          <w:i/>
        </w:rPr>
        <w:tab/>
      </w:r>
      <w:r>
        <w:rPr>
          <w:i/>
          <w:lang w:val="en-US"/>
        </w:rPr>
        <w:tab/>
      </w:r>
      <w:r>
        <w:rPr>
          <w:i/>
        </w:rPr>
        <w:t>а)</w:t>
      </w:r>
      <w:r>
        <w:rPr>
          <w:i/>
        </w:rPr>
        <w:tab/>
        <w:t xml:space="preserve">постоянное запугивание путем использования оскорбительных выражений и угроз; </w:t>
      </w:r>
    </w:p>
    <w:p w:rsidR="00000000" w:rsidRDefault="00000000">
      <w:pPr>
        <w:tabs>
          <w:tab w:val="clear" w:pos="340"/>
          <w:tab w:val="left" w:pos="1021"/>
          <w:tab w:val="left" w:pos="1361"/>
          <w:tab w:val="left" w:pos="1701"/>
        </w:tabs>
        <w:spacing w:after="0"/>
        <w:ind w:left="1701" w:right="680" w:hanging="1701"/>
        <w:rPr>
          <w:i/>
        </w:rPr>
      </w:pPr>
      <w:r>
        <w:rPr>
          <w:i/>
        </w:rPr>
        <w:tab/>
      </w:r>
      <w:r>
        <w:rPr>
          <w:i/>
        </w:rPr>
        <w:tab/>
      </w:r>
      <w:r>
        <w:rPr>
          <w:i/>
          <w:lang w:val="en-US"/>
        </w:rPr>
        <w:tab/>
        <w:t>b</w:t>
      </w:r>
      <w:r>
        <w:rPr>
          <w:i/>
        </w:rPr>
        <w:t>)</w:t>
      </w:r>
      <w:r>
        <w:rPr>
          <w:i/>
        </w:rPr>
        <w:tab/>
        <w:t>постоянное преследование данного лица по мере его перемещения;</w:t>
      </w:r>
    </w:p>
    <w:p w:rsidR="00000000" w:rsidRDefault="00000000">
      <w:pPr>
        <w:tabs>
          <w:tab w:val="clear" w:pos="340"/>
          <w:tab w:val="left" w:pos="1021"/>
          <w:tab w:val="left" w:pos="1361"/>
          <w:tab w:val="left" w:pos="1701"/>
        </w:tabs>
        <w:spacing w:after="0"/>
        <w:ind w:left="1701" w:right="680" w:hanging="1701"/>
        <w:rPr>
          <w:i/>
        </w:rPr>
      </w:pPr>
      <w:r>
        <w:rPr>
          <w:i/>
        </w:rPr>
        <w:tab/>
      </w:r>
      <w:r>
        <w:rPr>
          <w:i/>
        </w:rPr>
        <w:tab/>
      </w:r>
      <w:r>
        <w:rPr>
          <w:i/>
          <w:lang w:val="en-US"/>
        </w:rPr>
        <w:tab/>
        <w:t>c</w:t>
      </w:r>
      <w:r>
        <w:rPr>
          <w:i/>
        </w:rPr>
        <w:t>)</w:t>
      </w:r>
      <w:r>
        <w:rPr>
          <w:i/>
        </w:rPr>
        <w:tab/>
        <w:t xml:space="preserve">лишение данного лица возможности пользоваться его собственностью; </w:t>
      </w:r>
    </w:p>
    <w:p w:rsidR="00000000" w:rsidRDefault="00000000">
      <w:pPr>
        <w:tabs>
          <w:tab w:val="clear" w:pos="340"/>
          <w:tab w:val="left" w:pos="1021"/>
          <w:tab w:val="left" w:pos="1361"/>
          <w:tab w:val="left" w:pos="1701"/>
        </w:tabs>
        <w:spacing w:after="0"/>
        <w:ind w:left="1701" w:right="680" w:hanging="1701"/>
        <w:rPr>
          <w:i/>
        </w:rPr>
      </w:pPr>
      <w:r>
        <w:rPr>
          <w:i/>
        </w:rPr>
        <w:tab/>
      </w:r>
      <w:r>
        <w:rPr>
          <w:i/>
        </w:rPr>
        <w:tab/>
      </w:r>
      <w:r>
        <w:rPr>
          <w:i/>
          <w:lang w:val="en-US"/>
        </w:rPr>
        <w:tab/>
        <w:t>d</w:t>
      </w:r>
      <w:r>
        <w:rPr>
          <w:i/>
        </w:rPr>
        <w:t>)</w:t>
      </w:r>
      <w:r>
        <w:rPr>
          <w:i/>
        </w:rPr>
        <w:tab/>
        <w:t>постоянное наблюдение (осада) за теми местами, где данное лицо проживает, работает, которые посещает по делу или где оно просто появляется;</w:t>
      </w:r>
    </w:p>
    <w:p w:rsidR="00000000" w:rsidRDefault="00000000">
      <w:pPr>
        <w:tabs>
          <w:tab w:val="clear" w:pos="340"/>
          <w:tab w:val="left" w:pos="1021"/>
          <w:tab w:val="left" w:pos="1361"/>
          <w:tab w:val="left" w:pos="1701"/>
        </w:tabs>
        <w:spacing w:after="0"/>
        <w:ind w:left="1701" w:right="680" w:hanging="1701"/>
        <w:rPr>
          <w:i/>
        </w:rPr>
      </w:pPr>
      <w:r>
        <w:rPr>
          <w:i/>
        </w:rPr>
        <w:tab/>
      </w:r>
      <w:r>
        <w:rPr>
          <w:i/>
        </w:rPr>
        <w:tab/>
      </w:r>
      <w:r>
        <w:rPr>
          <w:i/>
          <w:lang w:val="en-US"/>
        </w:rPr>
        <w:tab/>
        <w:t>e</w:t>
      </w:r>
      <w:r>
        <w:rPr>
          <w:i/>
        </w:rPr>
        <w:t>)</w:t>
      </w:r>
      <w:r>
        <w:rPr>
          <w:i/>
        </w:rPr>
        <w:tab/>
        <w:t>нанесение вреда или ущерба имуществу данного лица;</w:t>
      </w:r>
    </w:p>
    <w:p w:rsidR="00000000" w:rsidRDefault="00000000">
      <w:pPr>
        <w:tabs>
          <w:tab w:val="clear" w:pos="340"/>
          <w:tab w:val="left" w:pos="1021"/>
          <w:tab w:val="left" w:pos="1361"/>
          <w:tab w:val="left" w:pos="1701"/>
        </w:tabs>
        <w:ind w:right="680"/>
        <w:rPr>
          <w:i/>
        </w:rPr>
      </w:pPr>
      <w:r>
        <w:rPr>
          <w:i/>
        </w:rPr>
        <w:tab/>
      </w:r>
      <w:r>
        <w:rPr>
          <w:i/>
          <w:lang w:val="en-US"/>
        </w:rPr>
        <w:tab/>
      </w:r>
      <w:r>
        <w:rPr>
          <w:i/>
        </w:rPr>
        <w:tab/>
      </w:r>
      <w:r>
        <w:rPr>
          <w:i/>
          <w:lang w:val="en-US"/>
        </w:rPr>
        <w:t>f</w:t>
      </w:r>
      <w:r>
        <w:rPr>
          <w:i/>
        </w:rPr>
        <w:t>)</w:t>
      </w:r>
      <w:r>
        <w:rPr>
          <w:i/>
        </w:rPr>
        <w:tab/>
        <w:t>насильственное лишение лица свободы;</w:t>
      </w:r>
    </w:p>
    <w:p w:rsidR="00000000" w:rsidRDefault="00000000">
      <w:pPr>
        <w:tabs>
          <w:tab w:val="clear" w:pos="340"/>
          <w:tab w:val="left" w:pos="1021"/>
          <w:tab w:val="left" w:pos="1361"/>
          <w:tab w:val="left" w:pos="1701"/>
        </w:tabs>
        <w:ind w:left="1021" w:right="680" w:hanging="1021"/>
        <w:rPr>
          <w:i/>
        </w:rPr>
      </w:pPr>
      <w:r>
        <w:rPr>
          <w:i/>
        </w:rPr>
        <w:tab/>
      </w:r>
      <w:r>
        <w:rPr>
          <w:i/>
          <w:lang w:val="en-US"/>
        </w:rPr>
        <w:tab/>
      </w:r>
      <w:r>
        <w:rPr>
          <w:i/>
        </w:rPr>
        <w:t>"злоупотребление финансового характера" означает поведение, целью которого является установление контроля над финансовыми ресурсами человека, или использование, или ограничение доступа данного лица к его финансовым ресурсам для обеспечения его финансовой зависимости;</w:t>
      </w:r>
    </w:p>
    <w:p w:rsidR="00000000" w:rsidRDefault="00000000">
      <w:pPr>
        <w:tabs>
          <w:tab w:val="clear" w:pos="340"/>
          <w:tab w:val="left" w:pos="1021"/>
          <w:tab w:val="left" w:pos="1361"/>
          <w:tab w:val="left" w:pos="1701"/>
        </w:tabs>
        <w:ind w:left="1021" w:right="680" w:hanging="1021"/>
        <w:rPr>
          <w:i/>
        </w:rPr>
      </w:pPr>
      <w:r>
        <w:rPr>
          <w:i/>
        </w:rPr>
        <w:tab/>
      </w:r>
      <w:r>
        <w:rPr>
          <w:i/>
          <w:lang w:val="en-US"/>
        </w:rPr>
        <w:tab/>
      </w:r>
      <w:r>
        <w:rPr>
          <w:i/>
        </w:rPr>
        <w:t>…"физическое нападение" означает любое действие или бездействие, причиняющее телесное повреждение и представляющее собой совершение или попытку совершения любого из правонарушений, перечисленных в первом приложении;</w:t>
      </w:r>
    </w:p>
    <w:p w:rsidR="00000000" w:rsidRDefault="00000000">
      <w:pPr>
        <w:tabs>
          <w:tab w:val="clear" w:pos="340"/>
          <w:tab w:val="left" w:pos="1021"/>
          <w:tab w:val="left" w:pos="1361"/>
          <w:tab w:val="left" w:pos="1701"/>
        </w:tabs>
        <w:ind w:left="1021" w:right="680" w:hanging="1021"/>
      </w:pPr>
      <w:r>
        <w:rPr>
          <w:i/>
        </w:rPr>
        <w:tab/>
      </w:r>
      <w:r>
        <w:rPr>
          <w:i/>
          <w:lang w:val="en-US"/>
        </w:rPr>
        <w:tab/>
      </w:r>
      <w:r>
        <w:rPr>
          <w:i/>
        </w:rPr>
        <w:t>…"сексуальное нападение" означает любое половое сношение, совершенное насильно или под угрозой применения силы, а также совершение или попытку совершения любого из правонарушений, перечисленных в первом приложении.</w:t>
      </w:r>
    </w:p>
    <w:p w:rsidR="00000000" w:rsidRDefault="00000000">
      <w:r>
        <w:t>Правонарушения, перечисленные в первом приложении к настоящему закону, идентичны "установленным законом правонарушениям", содержавшимся в ранее действовавшем законе, которые  перечислены в пункте 69, выше.</w:t>
      </w:r>
    </w:p>
    <w:p w:rsidR="00000000" w:rsidRDefault="00000000">
      <w:r>
        <w:t>72.</w:t>
      </w:r>
      <w:r>
        <w:tab/>
        <w:t>Право на "равенство перед законом" и право на "защиту со стороны закона" признаются в статье 4 </w:t>
      </w:r>
      <w:r>
        <w:rPr>
          <w:lang w:val="en-US"/>
        </w:rPr>
        <w:t>b</w:t>
      </w:r>
      <w:r>
        <w:t>) Конституции и гарантируются без какой-либо дискриминации "по признакам расы, происхождения, цвета кожи, вероисповедания или пола". Равенство перед законом основывается на концепции равного обращения с людьми со стороны государственных органов. В Тринидаде и Тобаго эта концепция также гарантируется статьей 4 </w:t>
      </w:r>
      <w:r>
        <w:rPr>
          <w:i/>
          <w:lang w:val="en-US"/>
        </w:rPr>
        <w:t>d</w:t>
      </w:r>
      <w:r>
        <w:t>) Конституции, которой предоставляется:</w:t>
      </w:r>
    </w:p>
    <w:p w:rsidR="00000000" w:rsidRDefault="00000000">
      <w:pPr>
        <w:tabs>
          <w:tab w:val="clear" w:pos="340"/>
          <w:tab w:val="left" w:pos="1361"/>
        </w:tabs>
        <w:ind w:left="1361" w:right="680" w:hanging="1361"/>
        <w:rPr>
          <w:i/>
        </w:rPr>
      </w:pPr>
      <w:r>
        <w:rPr>
          <w:i/>
        </w:rPr>
        <w:tab/>
      </w:r>
      <w:r>
        <w:rPr>
          <w:i/>
          <w:lang w:val="en-US"/>
        </w:rPr>
        <w:t>d</w:t>
      </w:r>
      <w:r>
        <w:rPr>
          <w:i/>
        </w:rPr>
        <w:t>)</w:t>
      </w:r>
      <w:r>
        <w:rPr>
          <w:i/>
        </w:rPr>
        <w:tab/>
        <w:t>право личности на равное обращение со стороны любого государственного органа при исполнении им любых функций.</w:t>
      </w:r>
    </w:p>
    <w:p w:rsidR="00000000" w:rsidRDefault="00000000">
      <w:r>
        <w:t xml:space="preserve">Суды применяют положение этого подпункта в отношении как законодательства, так и административных актов официальных лиц. Конституция гарантирует, что находящиеся в одинаковом положении стороны имеют право на равное обращение со стороны закона. Правовую интерпретацию выражению "защита со стороны закона" дал Судебный комитет тайного совета, заявивший, что доступ к судебным органам и есть та защита закона, о которой говорится в Конституции. Поскольку судебная система Тринидада и Тобаго предусматривает процедуру, в соответствии с которой человек может искать удовлетворения в суде, он или она не могут жаловаться на отсутствие защиты со стороны закона. </w:t>
      </w:r>
    </w:p>
    <w:p w:rsidR="00000000" w:rsidRDefault="00000000">
      <w:pPr>
        <w:pStyle w:val="Heading3"/>
      </w:pPr>
      <w:r>
        <w:t>Статья 2</w:t>
      </w:r>
    </w:p>
    <w:p w:rsidR="00000000" w:rsidRDefault="00000000">
      <w:r>
        <w:t>73.</w:t>
      </w:r>
      <w:r>
        <w:tab/>
        <w:t xml:space="preserve">В разделе 2 Конституции говорится, что высший закон и любой прочий закон, не соответствующий Конституции, не имеют юридической силы в той степени, в какой они не соответствуют Конституции. Хотя в Конституции отсутствует положение, касающееся всех прав человека, о которых говорится в Конвенции о ликвидации дискриминации в отношении женщин, соблюдение этих прав обеспечивается в других законодательных актах и прочих установлениях, которые должны выполняться в соответствии с Конституцией. </w:t>
      </w:r>
    </w:p>
    <w:p w:rsidR="00000000" w:rsidRDefault="00000000">
      <w:r>
        <w:t>74.</w:t>
      </w:r>
      <w:r>
        <w:tab/>
        <w:t xml:space="preserve">В разделе 13 Конституции парламенту разрешается принимать законы, не согласующиеся с разделами Конституции, касающимися основных прав человека. Однако для того, чтобы быть принятым, такой закон должен быть предварительно одобрен не менее чем тремя пятыми общего числа членов каждой палаты парламента. Кроме того, даже в случае его принятия требуемым парламентским большинством такой закон может быть оспорен в Высоком суде на том основании, что он не является достаточно обоснованным в глазах общественности, с должным уважением относящейся к правам и свободам личности. </w:t>
      </w:r>
    </w:p>
    <w:p w:rsidR="00000000" w:rsidRDefault="00000000">
      <w:r>
        <w:t>75.</w:t>
      </w:r>
      <w:r>
        <w:tab/>
        <w:t xml:space="preserve">Все, и женщины в том числе, чьи конституционные права нарушены или могут быть нарушены любой государственной службой, или любым служащим, или представителем государства, могут, в соответствии с разделом 14 Конституции, подать апелляцию, обратившись в Высокий суд за правовой помощью. Высокий суд имеет юрисдикцию суда первой инстанции при рассмотрении конституционных вопросов, но Конституцией предоставляется право обращаться в Апелляционный суд, а затем и в Судебный комитет тайного совета по любому делу, в ходе которого возникает необходимость в интерпретации Конституции. Если Суд находит, что имело место нарушение одного из конституционных прав, он делает заявление по этому поводу и присуждает денежную компенсацию пострадавшему лицу. </w:t>
      </w:r>
    </w:p>
    <w:p w:rsidR="00000000" w:rsidRDefault="00000000">
      <w:r>
        <w:t>76.</w:t>
      </w:r>
      <w:r>
        <w:tab/>
        <w:t xml:space="preserve">Наряду с тем что в Конституции предусмотрены средства судебной защиты женщин в отношении актов дискриминации, совершенных государством, Конституция не запрещает акты дискриминации со стороны негосударственных органов, в отношении которых нет никаких других законов. Однако этот пробел в определенной степени устраняется принятием закона о насилии в семье № 27 1999 года, в котором предусматривается основанное на праве справедливости средство правовой защиты жертв насилия в семье немедленного действия, в соответствии с которым жертва </w:t>
      </w:r>
      <w:r>
        <w:rPr>
          <w:lang w:val="en-US"/>
        </w:rPr>
        <w:t>[</w:t>
      </w:r>
      <w:r>
        <w:t xml:space="preserve">которой может быть супруг(а), ребенок или иждивенец ответчика] может обратиться в суд за получением охранного судебного приказа (статьи 5 и 6). В статьях 36 и 48 закона о равных возможностях № 69 2000 года предусматриваются компенсация, возмещение убытков и штрафы. </w:t>
      </w:r>
    </w:p>
    <w:p w:rsidR="00000000" w:rsidRDefault="00000000">
      <w:r>
        <w:t>77.</w:t>
      </w:r>
      <w:r>
        <w:tab/>
        <w:t xml:space="preserve">Еще одним эффективным средством правовой защиты от насилия в семье, доступным всем заявляющим о нарушении их прав (в том числе женщинам), является процедура судебного пересмотра, о которой говорится в пунктах 42–43 настоящего периодического доклада. </w:t>
      </w:r>
    </w:p>
    <w:p w:rsidR="00000000" w:rsidRDefault="00000000">
      <w:r>
        <w:t>78.</w:t>
      </w:r>
      <w:r>
        <w:tab/>
        <w:t>Как упоминается в пункте 44, выше, омбудсмен является представителем одного из административных органов, обладающих полномочиями по расследованию предполагаемых нарушений прав человека.</w:t>
      </w:r>
    </w:p>
    <w:p w:rsidR="00000000" w:rsidRDefault="00000000">
      <w:r>
        <w:t>79.</w:t>
      </w:r>
      <w:r>
        <w:tab/>
        <w:t>К другим правовым средствам, гарантирующим равноправие мужчин и женщин и обеспечивающим соответствие внутригосударственного законодательства Конституции, относятся:</w:t>
      </w:r>
    </w:p>
    <w:p w:rsidR="00000000" w:rsidRDefault="00000000">
      <w:pPr>
        <w:numPr>
          <w:ilvl w:val="0"/>
          <w:numId w:val="463"/>
        </w:numPr>
      </w:pPr>
      <w:r>
        <w:rPr>
          <w:b/>
        </w:rPr>
        <w:t>Закон о судопроизводстве по вопросам брака, семьи и общей собственности супругов</w:t>
      </w:r>
      <w:r>
        <w:t>, глава 45:51 (с поправкой), был принят в 1972 году в целях внесения поправок в положения об основаниях для развода, признания брака недействительным и о раздельном проживании по решению суда, об оказании содействия в разрешении семейно-брачных проблем, о регулировании судопроизводства по вопросам брака и семьи и внесении поправок в закон о собственности супругов, разводящихся или раздельно проживающих лиц. В соответствии с этим законом жена имеет равные с мужем права на собственность.</w:t>
      </w:r>
    </w:p>
    <w:p w:rsidR="00000000" w:rsidRDefault="00000000">
      <w:pPr>
        <w:numPr>
          <w:ilvl w:val="0"/>
          <w:numId w:val="462"/>
        </w:numPr>
      </w:pPr>
      <w:r>
        <w:rPr>
          <w:b/>
        </w:rPr>
        <w:t>Закон о супругах</w:t>
      </w:r>
      <w:r>
        <w:t xml:space="preserve">, глава 45:50, защищает право женщины заключать договоры от собственного имени и без разрешения ее супруга. В этом законе устанавливаются также права женщин в отношении управления собственностью. </w:t>
      </w:r>
    </w:p>
    <w:p w:rsidR="00000000" w:rsidRDefault="00000000">
      <w:pPr>
        <w:numPr>
          <w:ilvl w:val="0"/>
          <w:numId w:val="462"/>
        </w:numPr>
      </w:pPr>
      <w:r>
        <w:rPr>
          <w:b/>
        </w:rPr>
        <w:t>Закон о насилии в семье № 27 1999 года</w:t>
      </w:r>
      <w:r>
        <w:t xml:space="preserve"> был принят вместо отмененного закона о насилии в семье №</w:t>
      </w:r>
      <w:r>
        <w:rPr>
          <w:lang w:val="en-US"/>
        </w:rPr>
        <w:t> </w:t>
      </w:r>
      <w:r>
        <w:t>10 1991</w:t>
      </w:r>
      <w:r>
        <w:rPr>
          <w:lang w:val="en-US"/>
        </w:rPr>
        <w:t> </w:t>
      </w:r>
      <w:r>
        <w:t xml:space="preserve">года в целях предоставления средства правовой защиты немедленного действия жертвам насилия в семье. Этим законом предусматриваются компенсация жертвам насилия в семье, предоставление суду права устанавливать объем финансовой помощи заявителю от имени ребенка и расширять рамки охранного судебного приказа. </w:t>
      </w:r>
    </w:p>
    <w:p w:rsidR="00000000" w:rsidRDefault="00000000">
      <w:pPr>
        <w:numPr>
          <w:ilvl w:val="0"/>
          <w:numId w:val="462"/>
        </w:numPr>
      </w:pPr>
      <w:r>
        <w:rPr>
          <w:b/>
        </w:rPr>
        <w:t>Закон о юридической помощи и консультациях (поправка) № 18 1999 года</w:t>
      </w:r>
      <w:r>
        <w:t xml:space="preserve"> был принят в целях внесения поправок в существующую систему оказания правовой помощи. В закон были внесены поправки, с тем чтобы, среди прочего, предоставить большему числу людей возможность получать пособия на юридическую помощь и повысить размер гонораров адвокатам, занимающимся вопросами юридической помощи. В этом исправленном варианте предусматривается также предоставление юридической помощи по ходатайствам, поданным в соответствии с законом о насилии в семье № 27 1999 года. Кроме того, в тех случаях, когда какое-либо лицо желает незамедлительно получить юридическую помощь в связи с судопроизводством по делам о насилии в семье, директор Агентства по оказанию юридической помощи теперь имеет право выдавать особое свидетельство, позволяющее данному лицу без промедления получить нужные сведения.</w:t>
      </w:r>
    </w:p>
    <w:p w:rsidR="00000000" w:rsidRDefault="00000000">
      <w:pPr>
        <w:numPr>
          <w:ilvl w:val="0"/>
          <w:numId w:val="462"/>
        </w:numPr>
      </w:pPr>
      <w:r>
        <w:rPr>
          <w:b/>
        </w:rPr>
        <w:t>Закон об охране материнства № 4 1998 года</w:t>
      </w:r>
      <w:r>
        <w:t xml:space="preserve"> был принят в целях предотвращения дискриминации со стороны работодателей в отношении женщин по причине беременности. По этому закону женщинам гарантируются предоставление оплачиваемого 13-недельного отпуска по беременности и родам, защита от увольнения по причине беременности и право вернуться на работу по завершении отпуска по беременности и родам на прежних условиях или в основном на тех же условиях. </w:t>
      </w:r>
    </w:p>
    <w:p w:rsidR="00000000" w:rsidRDefault="00000000">
      <w:pPr>
        <w:numPr>
          <w:ilvl w:val="0"/>
          <w:numId w:val="462"/>
        </w:numPr>
      </w:pPr>
      <w:r>
        <w:rPr>
          <w:b/>
        </w:rPr>
        <w:t>Закон о совместном проживании № 30 1998 года</w:t>
      </w:r>
      <w:r>
        <w:t xml:space="preserve"> признавал существование большого числа гражданских браков и права супругов, живущих в гражданском браке. Раньше супруги, живущие в гражданском браке, не имели прав лиц, состоящих в браке, однако было подсчитано, что в гражданском браке живут не менее 40</w:t>
      </w:r>
      <w:r>
        <w:rPr>
          <w:lang w:val="en-US"/>
        </w:rPr>
        <w:t> </w:t>
      </w:r>
      <w:r>
        <w:t>724</w:t>
      </w:r>
      <w:r>
        <w:rPr>
          <w:lang w:val="en-US"/>
        </w:rPr>
        <w:t> </w:t>
      </w:r>
      <w:r>
        <w:t xml:space="preserve">человека (по данным переписи 1990 года). В соответствии с данным законом супруги, живущие в гражданском браке не менее пяти лет или имеющие ребенка, рожденного в этом браке, имеют право обратиться с заявлением о выплате содержания в магистратский суд и Высокий суд. Они также имеют право обращаться в Высокий суд с ходатайством об определении размера собственности. </w:t>
      </w:r>
    </w:p>
    <w:p w:rsidR="00000000" w:rsidRDefault="00000000">
      <w:pPr>
        <w:numPr>
          <w:ilvl w:val="0"/>
          <w:numId w:val="462"/>
        </w:numPr>
      </w:pPr>
      <w:r>
        <w:rPr>
          <w:b/>
        </w:rPr>
        <w:t>Закон о браке</w:t>
      </w:r>
      <w:r>
        <w:t xml:space="preserve">, глава 45:01, </w:t>
      </w:r>
      <w:r>
        <w:rPr>
          <w:b/>
        </w:rPr>
        <w:t>закон о мусульманском браке и разводе</w:t>
      </w:r>
      <w:r>
        <w:t xml:space="preserve">, глава 45:02, </w:t>
      </w:r>
      <w:r>
        <w:rPr>
          <w:b/>
        </w:rPr>
        <w:t>закон об индуистском браке</w:t>
      </w:r>
      <w:r>
        <w:t xml:space="preserve">, глава 45:03, и </w:t>
      </w:r>
      <w:r>
        <w:rPr>
          <w:b/>
          <w:lang w:val="en-US"/>
        </w:rPr>
        <w:t>закон о браке народа ория</w:t>
      </w:r>
      <w:r>
        <w:rPr>
          <w:lang w:val="en-US"/>
        </w:rPr>
        <w:t xml:space="preserve"> </w:t>
      </w:r>
      <w:r>
        <w:rPr>
          <w:b/>
        </w:rPr>
        <w:t>№ 22 1999 года</w:t>
      </w:r>
      <w:r>
        <w:t xml:space="preserve"> регламентируют процедуру заключения брака в Тринидаде и Тобаго. В каждом из этих законов содержится требование о добровольном согласии на заключение брака каждой из сторон.</w:t>
      </w:r>
    </w:p>
    <w:p w:rsidR="00000000" w:rsidRDefault="00000000">
      <w:pPr>
        <w:numPr>
          <w:ilvl w:val="0"/>
          <w:numId w:val="462"/>
        </w:numPr>
      </w:pPr>
      <w:r>
        <w:rPr>
          <w:b/>
        </w:rPr>
        <w:t>Закон о семье (опека над несовершеннолетними, постоянное местожительство и содержание)</w:t>
      </w:r>
      <w:r>
        <w:t>, глава 46:08, содержит положения о попечении и содержании детей и предоставляет женщинам равные с мужчинами права на опеку над общими детьми.</w:t>
      </w:r>
    </w:p>
    <w:p w:rsidR="00000000" w:rsidRDefault="00000000">
      <w:pPr>
        <w:numPr>
          <w:ilvl w:val="0"/>
          <w:numId w:val="462"/>
        </w:numPr>
      </w:pPr>
      <w:r>
        <w:rPr>
          <w:b/>
        </w:rPr>
        <w:t>Закон о половых преступлениях (поправка) № 31 2000 года</w:t>
      </w:r>
      <w:r>
        <w:t xml:space="preserve"> внес поправки в законодательство о сексуальных преступлениях, чтобы защитить женщин от различных половых преступлений, в том числе изнасилования, сексуального насилия, инцеста и непристойных действий сексуального характера. Этот закон был недавно принят как поправка к закону 1986 года для охвата всех форм сексуального насилия и увеличения размера штрафов за ранее выявленные случаи насилия.</w:t>
      </w:r>
    </w:p>
    <w:p w:rsidR="00000000" w:rsidRDefault="00000000">
      <w:pPr>
        <w:numPr>
          <w:ilvl w:val="0"/>
          <w:numId w:val="462"/>
        </w:numPr>
      </w:pPr>
      <w:r>
        <w:rPr>
          <w:b/>
        </w:rPr>
        <w:t>Закон о равных возможностях № 69 2000 года</w:t>
      </w:r>
      <w:r>
        <w:t xml:space="preserve"> был принят в целях запрещения дискриминации и обеспечения равенства возможностей независимо от пола, цвета кожи, расовой или этнической принадлежности, происхождения, включая географическое место происхождения, вероисповедания, семейного положения или дееспособности каких-либо лиц. Этот закон применяется к случаям дискриминации в отношении занятости, образования, предоставления товаров и услуг, предоставления жилья, обоснования статуса, виктимизации. </w:t>
      </w:r>
    </w:p>
    <w:p w:rsidR="00000000" w:rsidRDefault="00000000">
      <w:pPr>
        <w:numPr>
          <w:ilvl w:val="0"/>
          <w:numId w:val="462"/>
        </w:numPr>
      </w:pPr>
      <w:r>
        <w:rPr>
          <w:b/>
        </w:rPr>
        <w:t>Закон о гражданстве</w:t>
      </w:r>
      <w:r>
        <w:t xml:space="preserve">, глава 1:50, и </w:t>
      </w:r>
      <w:r>
        <w:rPr>
          <w:b/>
        </w:rPr>
        <w:t>закон об иммиграции</w:t>
      </w:r>
      <w:r>
        <w:t>, глава 18:01, вводят нормативы в отношении приобретения, изменения и сохранения гражданства, которые в равной степени применяются в отношении женщин и мужчин.</w:t>
      </w:r>
    </w:p>
    <w:p w:rsidR="00000000" w:rsidRDefault="00000000">
      <w:pPr>
        <w:numPr>
          <w:ilvl w:val="0"/>
          <w:numId w:val="462"/>
        </w:numPr>
      </w:pPr>
      <w:r>
        <w:rPr>
          <w:b/>
        </w:rPr>
        <w:t>Распоряжение о минимальной заработной плате 1998 года</w:t>
      </w:r>
      <w:r>
        <w:t xml:space="preserve"> было принято в соответствии с </w:t>
      </w:r>
      <w:r>
        <w:rPr>
          <w:b/>
        </w:rPr>
        <w:t>законом о минимальной заработной плате</w:t>
      </w:r>
      <w:r>
        <w:t>, глава 88:04, в целях установления единого в масштабах всей экономики минимального размера заработной платы для всех работающих в Тринидаде и Тобаго.</w:t>
      </w:r>
    </w:p>
    <w:p w:rsidR="00000000" w:rsidRDefault="00000000">
      <w:pPr>
        <w:numPr>
          <w:ilvl w:val="0"/>
          <w:numId w:val="462"/>
        </w:numPr>
      </w:pPr>
      <w:r>
        <w:rPr>
          <w:b/>
        </w:rPr>
        <w:t>Закон о детях</w:t>
      </w:r>
      <w:r>
        <w:t xml:space="preserve">, глава 46:01, с поправками, внесенными </w:t>
      </w:r>
      <w:r>
        <w:rPr>
          <w:b/>
        </w:rPr>
        <w:t>законом № 19 1994 года</w:t>
      </w:r>
      <w:r>
        <w:t>, предоставляет защиту детям, с которыми плохо обращаются, или заброшенным детям.</w:t>
      </w:r>
    </w:p>
    <w:p w:rsidR="00000000" w:rsidRDefault="00000000">
      <w:pPr>
        <w:numPr>
          <w:ilvl w:val="0"/>
          <w:numId w:val="462"/>
        </w:numPr>
      </w:pPr>
      <w:r>
        <w:rPr>
          <w:b/>
        </w:rPr>
        <w:t>Закон о положении детей</w:t>
      </w:r>
      <w:r>
        <w:t>, глава 46:07 (с поправкой), предусматривает положение, согласно которому дети, рожденные вне брака, обладают теми же правами, что и дети, рожденные в законном браке.</w:t>
      </w:r>
    </w:p>
    <w:p w:rsidR="00000000" w:rsidRDefault="00000000">
      <w:pPr>
        <w:numPr>
          <w:ilvl w:val="0"/>
          <w:numId w:val="462"/>
        </w:numPr>
      </w:pPr>
      <w:r>
        <w:rPr>
          <w:b/>
        </w:rPr>
        <w:t>Закон об Управлении по делам детей № 64 2000 года</w:t>
      </w:r>
      <w:r>
        <w:t xml:space="preserve"> учреждает Управление по делам детей, которое должно действовать как попечительский орган в отношении детей в Республике Тринидад и Тобаго. Этим законом устанавливаются четко разработанные нормы социальной системы защиты детей; Управлению разрешается получать и временно брать на себя родительские права по отношению к любому ребенку, переданному на его попечительство как нуждающегося в уходе и защите. В соответствии с этим законом Управление, если сочтет это необходимым, возбуждает судебное дело в связи с положением такого ребенка, с тем чтобы суд либо опроверг представленные ему предположительные данные о положении ребенка, либо подтвердил их и выдал соответствующий судебный приказ о назначении опеки над данным ребенком. Цель закона – обеспечить надлежащий уход и заботу о детях, живут ли они в семье или нет.</w:t>
      </w:r>
    </w:p>
    <w:p w:rsidR="00000000" w:rsidRDefault="00000000">
      <w:pPr>
        <w:numPr>
          <w:ilvl w:val="0"/>
          <w:numId w:val="462"/>
        </w:numPr>
      </w:pPr>
      <w:r>
        <w:rPr>
          <w:b/>
        </w:rPr>
        <w:t>Закон об усыновлении или удочерении детей № 67 2000 года</w:t>
      </w:r>
      <w:r>
        <w:t xml:space="preserve"> отменил действовавший до этого закон об усыновлении или удочерении детей, глава 46:03, и имеет целью привести внутригосударственное законодательство в соответствие с развивающимися тенденциями в этой области. Этот закон был принят в целях регламентации процедуры усыновления или удочерения в Тринидаде и Тобаго и отражает рекомендации по реформированию законов об усыновлении/удочерении, представленных различными действующими в интересах определенных кругов юристами. В соответствии с законом Совет по усыновлению/удочерению должен сотрудничать с Управлением по делам детей и оказывать ему содействие в выполнении его задач, а Суду по семейным делам предоставляются полномочия по выдаче судебных приказов об усыновлении/удочерении. Законом также устраняются трудности, с которыми сталкиваются живущие за рубежом лица, желающие усыновить/удочерить детей в Тринидаде и Тобаго. Закон также дает возможность ребенку, жителю Тринидада и Тобаго, проживать вместе с иностранными приемными родителями, не живущими в Тринидаде и Тобаго, устраняя таким образом ограничения в отношении гражданства, налагавшиеся действовавшими до тех пор законами по усыновлению/удочерению. Кроме того, предоставляются гарантии защиты детей, которые должны проживать вместе с приемными родителями-иностранцами. </w:t>
      </w:r>
    </w:p>
    <w:p w:rsidR="00000000" w:rsidRDefault="00000000">
      <w:pPr>
        <w:numPr>
          <w:ilvl w:val="0"/>
          <w:numId w:val="462"/>
        </w:numPr>
      </w:pPr>
      <w:r>
        <w:rPr>
          <w:b/>
        </w:rPr>
        <w:t>Закон о детских домах, семейных приютах и детских садах № 65 2000 года</w:t>
      </w:r>
      <w:r>
        <w:t xml:space="preserve"> предусматривает установление контроля, лицензирование и регламентирование положения в детских домах, реабилитационных центрах, семейных приютах и детских садах. Закон также требует, чтобы такие учреждения соответствовали конкретным требованиям лицензирования, контроля и регламентирования указанных положений.</w:t>
      </w:r>
    </w:p>
    <w:p w:rsidR="00000000" w:rsidRDefault="00000000">
      <w:pPr>
        <w:numPr>
          <w:ilvl w:val="0"/>
          <w:numId w:val="462"/>
        </w:numPr>
      </w:pPr>
      <w:r>
        <w:rPr>
          <w:b/>
        </w:rPr>
        <w:t>Закон о разных положениях</w:t>
      </w:r>
      <w:r>
        <w:t xml:space="preserve"> (в отношении детей) </w:t>
      </w:r>
      <w:r>
        <w:rPr>
          <w:b/>
        </w:rPr>
        <w:t>№ 66 2000 года</w:t>
      </w:r>
      <w:r>
        <w:t xml:space="preserve"> был принят для внесения поправок в ряд действовавших законов о детях в целях проведения реформы и обеспечения выполнения Тринидадом и Тобаго обязательств по Международной конвенции о правах ребенка. </w:t>
      </w:r>
    </w:p>
    <w:p w:rsidR="00000000" w:rsidRDefault="00000000">
      <w:pPr>
        <w:numPr>
          <w:ilvl w:val="0"/>
          <w:numId w:val="462"/>
        </w:numPr>
      </w:pPr>
      <w:r>
        <w:rPr>
          <w:b/>
        </w:rPr>
        <w:t>Закон о детях (поправка) № 68 от 2000 года</w:t>
      </w:r>
      <w:r>
        <w:t xml:space="preserve"> был принят в целях дальнейшего приведения действующего законодательства в отношении детей в соответствие с Международной конвенцией о правах ребенка. Основным изменением, введенным этим законом, является изменение определения "ребенок" в целях повышения верхней границы возраста "ребенка" с 14 до 18 лет.</w:t>
      </w:r>
    </w:p>
    <w:p w:rsidR="00000000" w:rsidRDefault="00000000">
      <w:r>
        <w:t>80.</w:t>
      </w:r>
      <w:r>
        <w:tab/>
        <w:t>В вышеперечисленных законодательных актах не делается различий между мужчинами и женщинами в том, что касается права на возбуждение судебного процесса. Мужчины и женщины имеют равные права на возбуждение судебного процесса.</w:t>
      </w:r>
    </w:p>
    <w:p w:rsidR="00000000" w:rsidRDefault="00000000">
      <w:r>
        <w:t>81.</w:t>
      </w:r>
      <w:r>
        <w:tab/>
        <w:t>Нет никакой информации или статистических данных о количестве дел о дискриминации в отношении женщин, представленных на судебное рассмотрение за отчетный период, или о решениях, вынесенных по этим делам. Однако в ежегодном докладе Юридического комитета за 1999–2000 годы приводятся следующие статистические данные (без разбивки по полу лица, заявляющего о совершении насилия):</w:t>
      </w:r>
    </w:p>
    <w:p w:rsidR="00000000" w:rsidRDefault="00000000">
      <w:pPr>
        <w:spacing w:after="0"/>
        <w:rPr>
          <w:b/>
        </w:rPr>
      </w:pPr>
      <w:r>
        <w:rPr>
          <w:b/>
          <w:lang w:val="en-US"/>
        </w:rPr>
        <w:tab/>
      </w:r>
      <w:r>
        <w:rPr>
          <w:b/>
          <w:lang w:val="en-US"/>
        </w:rPr>
        <w:tab/>
      </w:r>
      <w:r>
        <w:rPr>
          <w:b/>
        </w:rPr>
        <w:t>Дела, относящиеся к юрисдикции магистратских судов, – зарегистрированные новые дела</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96"/>
        <w:gridCol w:w="2381"/>
        <w:gridCol w:w="2381"/>
      </w:tblGrid>
      <w:tr w:rsidR="00000000">
        <w:tblPrEx>
          <w:tblCellMar>
            <w:top w:w="0" w:type="dxa"/>
            <w:bottom w:w="0" w:type="dxa"/>
          </w:tblCellMar>
        </w:tblPrEx>
        <w:trPr>
          <w:cantSplit/>
        </w:trPr>
        <w:tc>
          <w:tcPr>
            <w:tcW w:w="4196" w:type="dxa"/>
            <w:vMerge w:val="restart"/>
          </w:tcPr>
          <w:p w:rsidR="00000000" w:rsidRDefault="00000000">
            <w:pPr>
              <w:spacing w:before="60" w:after="40" w:line="240" w:lineRule="auto"/>
              <w:jc w:val="center"/>
              <w:rPr>
                <w:rFonts w:ascii="Arial" w:hAnsi="Arial"/>
                <w:sz w:val="16"/>
              </w:rPr>
            </w:pPr>
            <w:r>
              <w:rPr>
                <w:rFonts w:ascii="Arial" w:hAnsi="Arial"/>
                <w:sz w:val="16"/>
              </w:rPr>
              <w:t>Дата</w:t>
            </w:r>
          </w:p>
        </w:tc>
        <w:tc>
          <w:tcPr>
            <w:tcW w:w="4762" w:type="dxa"/>
            <w:gridSpan w:val="2"/>
          </w:tcPr>
          <w:p w:rsidR="00000000" w:rsidRDefault="00000000">
            <w:pPr>
              <w:spacing w:before="60" w:after="40" w:line="240" w:lineRule="auto"/>
              <w:jc w:val="center"/>
              <w:rPr>
                <w:rFonts w:ascii="Arial" w:hAnsi="Arial"/>
                <w:sz w:val="16"/>
              </w:rPr>
            </w:pPr>
            <w:r>
              <w:rPr>
                <w:rFonts w:ascii="Arial" w:hAnsi="Arial"/>
                <w:sz w:val="16"/>
              </w:rPr>
              <w:t>Вид судебного дела</w:t>
            </w:r>
          </w:p>
        </w:tc>
      </w:tr>
      <w:tr w:rsidR="00000000">
        <w:tblPrEx>
          <w:tblCellMar>
            <w:top w:w="0" w:type="dxa"/>
            <w:bottom w:w="0" w:type="dxa"/>
          </w:tblCellMar>
        </w:tblPrEx>
        <w:trPr>
          <w:cantSplit/>
        </w:trPr>
        <w:tc>
          <w:tcPr>
            <w:tcW w:w="4196" w:type="dxa"/>
            <w:vMerge/>
          </w:tcPr>
          <w:p w:rsidR="00000000" w:rsidRDefault="00000000">
            <w:pPr>
              <w:spacing w:before="40" w:after="40" w:line="240" w:lineRule="auto"/>
              <w:rPr>
                <w:rFonts w:ascii="Arial" w:hAnsi="Arial"/>
                <w:sz w:val="16"/>
              </w:rPr>
            </w:pPr>
          </w:p>
        </w:tc>
        <w:tc>
          <w:tcPr>
            <w:tcW w:w="2381" w:type="dxa"/>
          </w:tcPr>
          <w:p w:rsidR="00000000" w:rsidRDefault="00000000">
            <w:pPr>
              <w:spacing w:before="60" w:after="20" w:line="240" w:lineRule="auto"/>
              <w:jc w:val="center"/>
              <w:rPr>
                <w:rFonts w:ascii="Arial" w:hAnsi="Arial"/>
                <w:sz w:val="16"/>
              </w:rPr>
            </w:pPr>
            <w:r>
              <w:rPr>
                <w:rFonts w:ascii="Arial" w:hAnsi="Arial"/>
                <w:sz w:val="16"/>
              </w:rPr>
              <w:t>СЕМЕЙНОЕ</w:t>
            </w:r>
          </w:p>
        </w:tc>
        <w:tc>
          <w:tcPr>
            <w:tcW w:w="2381" w:type="dxa"/>
          </w:tcPr>
          <w:p w:rsidR="00000000" w:rsidRDefault="00000000">
            <w:pPr>
              <w:spacing w:before="60" w:after="20" w:line="240" w:lineRule="auto"/>
              <w:jc w:val="center"/>
              <w:rPr>
                <w:rFonts w:ascii="Arial" w:hAnsi="Arial"/>
                <w:sz w:val="16"/>
              </w:rPr>
            </w:pPr>
            <w:r>
              <w:rPr>
                <w:rFonts w:ascii="Arial" w:hAnsi="Arial"/>
                <w:sz w:val="16"/>
              </w:rPr>
              <w:t>НАСИЛИЕ В СЕМЬЕ</w:t>
            </w:r>
          </w:p>
        </w:tc>
      </w:tr>
      <w:tr w:rsidR="00000000">
        <w:tblPrEx>
          <w:tblCellMar>
            <w:top w:w="0" w:type="dxa"/>
            <w:bottom w:w="0" w:type="dxa"/>
          </w:tblCellMar>
        </w:tblPrEx>
        <w:trPr>
          <w:cantSplit/>
        </w:trPr>
        <w:tc>
          <w:tcPr>
            <w:tcW w:w="4196" w:type="dxa"/>
          </w:tcPr>
          <w:p w:rsidR="00000000" w:rsidRDefault="00000000">
            <w:pPr>
              <w:spacing w:before="60" w:after="60" w:line="240" w:lineRule="auto"/>
              <w:rPr>
                <w:rFonts w:ascii="Arial" w:hAnsi="Arial"/>
                <w:sz w:val="16"/>
              </w:rPr>
            </w:pPr>
            <w:r>
              <w:rPr>
                <w:rFonts w:ascii="Arial" w:hAnsi="Arial"/>
                <w:sz w:val="16"/>
              </w:rPr>
              <w:t>1 августа 1999 г. – 31 декабря 1999 г.</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4 585</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2 370</w:t>
            </w:r>
          </w:p>
        </w:tc>
      </w:tr>
      <w:tr w:rsidR="00000000">
        <w:tblPrEx>
          <w:tblCellMar>
            <w:top w:w="0" w:type="dxa"/>
            <w:bottom w:w="0" w:type="dxa"/>
          </w:tblCellMar>
        </w:tblPrEx>
        <w:trPr>
          <w:cantSplit/>
        </w:trPr>
        <w:tc>
          <w:tcPr>
            <w:tcW w:w="4196" w:type="dxa"/>
          </w:tcPr>
          <w:p w:rsidR="00000000" w:rsidRDefault="00000000">
            <w:pPr>
              <w:spacing w:before="60" w:after="60" w:line="240" w:lineRule="auto"/>
              <w:rPr>
                <w:rFonts w:ascii="Arial" w:hAnsi="Arial"/>
                <w:sz w:val="16"/>
              </w:rPr>
            </w:pPr>
            <w:r>
              <w:rPr>
                <w:rFonts w:ascii="Arial" w:hAnsi="Arial"/>
                <w:sz w:val="16"/>
              </w:rPr>
              <w:t>1 января 2000 г. – 31 июля 2000 г.</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6 815</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 xml:space="preserve">4 184 </w:t>
            </w:r>
          </w:p>
        </w:tc>
      </w:tr>
      <w:tr w:rsidR="00000000">
        <w:tblPrEx>
          <w:tblCellMar>
            <w:top w:w="0" w:type="dxa"/>
            <w:bottom w:w="0" w:type="dxa"/>
          </w:tblCellMar>
        </w:tblPrEx>
        <w:trPr>
          <w:cantSplit/>
        </w:trPr>
        <w:tc>
          <w:tcPr>
            <w:tcW w:w="4196" w:type="dxa"/>
          </w:tcPr>
          <w:p w:rsidR="00000000" w:rsidRDefault="00000000">
            <w:pPr>
              <w:spacing w:before="60" w:after="60" w:line="240" w:lineRule="auto"/>
              <w:rPr>
                <w:rFonts w:ascii="Arial" w:hAnsi="Arial"/>
                <w:sz w:val="16"/>
              </w:rPr>
            </w:pPr>
            <w:r>
              <w:rPr>
                <w:rFonts w:ascii="Arial" w:hAnsi="Arial"/>
                <w:sz w:val="16"/>
              </w:rPr>
              <w:t>ВСЕГО</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11 400</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6 554</w:t>
            </w:r>
          </w:p>
        </w:tc>
      </w:tr>
    </w:tbl>
    <w:p w:rsidR="00000000" w:rsidRDefault="00000000">
      <w:pPr>
        <w:spacing w:before="240" w:after="0"/>
        <w:rPr>
          <w:b/>
        </w:rPr>
      </w:pPr>
      <w:r>
        <w:rPr>
          <w:b/>
          <w:lang w:val="en-US"/>
        </w:rPr>
        <w:tab/>
      </w:r>
      <w:r>
        <w:rPr>
          <w:b/>
          <w:lang w:val="en-US"/>
        </w:rPr>
        <w:tab/>
      </w:r>
      <w:r>
        <w:rPr>
          <w:b/>
        </w:rPr>
        <w:t>Дела, относящиеся к юрисдикции магистратских судов, – рассмотренные дела</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96"/>
        <w:gridCol w:w="2381"/>
        <w:gridCol w:w="2381"/>
      </w:tblGrid>
      <w:tr w:rsidR="00000000">
        <w:tblPrEx>
          <w:tblCellMar>
            <w:top w:w="0" w:type="dxa"/>
            <w:bottom w:w="0" w:type="dxa"/>
          </w:tblCellMar>
        </w:tblPrEx>
        <w:trPr>
          <w:cantSplit/>
        </w:trPr>
        <w:tc>
          <w:tcPr>
            <w:tcW w:w="4196" w:type="dxa"/>
            <w:vMerge w:val="restart"/>
            <w:tcBorders>
              <w:bottom w:val="nil"/>
            </w:tcBorders>
          </w:tcPr>
          <w:p w:rsidR="00000000" w:rsidRDefault="00000000">
            <w:pPr>
              <w:spacing w:before="60" w:after="40" w:line="240" w:lineRule="auto"/>
              <w:jc w:val="center"/>
              <w:rPr>
                <w:rFonts w:ascii="Arial" w:hAnsi="Arial"/>
                <w:sz w:val="16"/>
              </w:rPr>
            </w:pPr>
            <w:r>
              <w:rPr>
                <w:rFonts w:ascii="Arial" w:hAnsi="Arial"/>
                <w:sz w:val="16"/>
              </w:rPr>
              <w:t>Дата</w:t>
            </w:r>
          </w:p>
        </w:tc>
        <w:tc>
          <w:tcPr>
            <w:tcW w:w="4762" w:type="dxa"/>
            <w:gridSpan w:val="2"/>
          </w:tcPr>
          <w:p w:rsidR="00000000" w:rsidRDefault="00000000">
            <w:pPr>
              <w:spacing w:before="60" w:after="40" w:line="240" w:lineRule="auto"/>
              <w:jc w:val="center"/>
              <w:rPr>
                <w:rFonts w:ascii="Arial" w:hAnsi="Arial"/>
                <w:sz w:val="16"/>
              </w:rPr>
            </w:pPr>
            <w:r>
              <w:rPr>
                <w:rFonts w:ascii="Arial" w:hAnsi="Arial"/>
                <w:sz w:val="16"/>
              </w:rPr>
              <w:t>Вид судебного дела</w:t>
            </w:r>
          </w:p>
        </w:tc>
      </w:tr>
      <w:tr w:rsidR="00000000">
        <w:tblPrEx>
          <w:tblCellMar>
            <w:top w:w="0" w:type="dxa"/>
            <w:bottom w:w="0" w:type="dxa"/>
          </w:tblCellMar>
        </w:tblPrEx>
        <w:trPr>
          <w:cantSplit/>
        </w:trPr>
        <w:tc>
          <w:tcPr>
            <w:tcW w:w="4196" w:type="dxa"/>
            <w:vMerge/>
            <w:tcBorders>
              <w:top w:val="nil"/>
            </w:tcBorders>
          </w:tcPr>
          <w:p w:rsidR="00000000" w:rsidRDefault="00000000">
            <w:pPr>
              <w:spacing w:before="40" w:after="40" w:line="240" w:lineRule="auto"/>
              <w:rPr>
                <w:rFonts w:ascii="Arial" w:hAnsi="Arial"/>
                <w:sz w:val="16"/>
              </w:rPr>
            </w:pPr>
          </w:p>
        </w:tc>
        <w:tc>
          <w:tcPr>
            <w:tcW w:w="2381" w:type="dxa"/>
          </w:tcPr>
          <w:p w:rsidR="00000000" w:rsidRDefault="00000000">
            <w:pPr>
              <w:spacing w:before="60" w:after="20" w:line="240" w:lineRule="auto"/>
              <w:jc w:val="center"/>
              <w:rPr>
                <w:rFonts w:ascii="Arial" w:hAnsi="Arial"/>
                <w:sz w:val="16"/>
              </w:rPr>
            </w:pPr>
            <w:r>
              <w:rPr>
                <w:rFonts w:ascii="Arial" w:hAnsi="Arial"/>
                <w:sz w:val="16"/>
              </w:rPr>
              <w:t>СЕМЕЙНОЕ</w:t>
            </w:r>
          </w:p>
        </w:tc>
        <w:tc>
          <w:tcPr>
            <w:tcW w:w="2381" w:type="dxa"/>
          </w:tcPr>
          <w:p w:rsidR="00000000" w:rsidRDefault="00000000">
            <w:pPr>
              <w:spacing w:before="60" w:after="20" w:line="240" w:lineRule="auto"/>
              <w:jc w:val="center"/>
              <w:rPr>
                <w:rFonts w:ascii="Arial" w:hAnsi="Arial"/>
                <w:sz w:val="16"/>
              </w:rPr>
            </w:pPr>
            <w:r>
              <w:rPr>
                <w:rFonts w:ascii="Arial" w:hAnsi="Arial"/>
                <w:sz w:val="16"/>
              </w:rPr>
              <w:t>НАСИЛИЕ В СЕМЬЕ</w:t>
            </w:r>
          </w:p>
        </w:tc>
      </w:tr>
      <w:tr w:rsidR="00000000">
        <w:tblPrEx>
          <w:tblCellMar>
            <w:top w:w="0" w:type="dxa"/>
            <w:bottom w:w="0" w:type="dxa"/>
          </w:tblCellMar>
        </w:tblPrEx>
        <w:trPr>
          <w:cantSplit/>
        </w:trPr>
        <w:tc>
          <w:tcPr>
            <w:tcW w:w="4196" w:type="dxa"/>
          </w:tcPr>
          <w:p w:rsidR="00000000" w:rsidRDefault="00000000">
            <w:pPr>
              <w:spacing w:before="60" w:after="60" w:line="240" w:lineRule="auto"/>
              <w:rPr>
                <w:rFonts w:ascii="Arial" w:hAnsi="Arial"/>
                <w:sz w:val="16"/>
              </w:rPr>
            </w:pPr>
            <w:r>
              <w:rPr>
                <w:rFonts w:ascii="Arial" w:hAnsi="Arial"/>
                <w:sz w:val="16"/>
              </w:rPr>
              <w:t>1 августа 1999 г. – 31 декабря 1999 г.</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5 195</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2 387</w:t>
            </w:r>
          </w:p>
        </w:tc>
      </w:tr>
      <w:tr w:rsidR="00000000">
        <w:tblPrEx>
          <w:tblCellMar>
            <w:top w:w="0" w:type="dxa"/>
            <w:bottom w:w="0" w:type="dxa"/>
          </w:tblCellMar>
        </w:tblPrEx>
        <w:trPr>
          <w:cantSplit/>
        </w:trPr>
        <w:tc>
          <w:tcPr>
            <w:tcW w:w="4196" w:type="dxa"/>
          </w:tcPr>
          <w:p w:rsidR="00000000" w:rsidRDefault="00000000">
            <w:pPr>
              <w:spacing w:before="60" w:after="60" w:line="240" w:lineRule="auto"/>
              <w:rPr>
                <w:rFonts w:ascii="Arial" w:hAnsi="Arial"/>
                <w:sz w:val="16"/>
              </w:rPr>
            </w:pPr>
            <w:r>
              <w:rPr>
                <w:rFonts w:ascii="Arial" w:hAnsi="Arial"/>
                <w:sz w:val="16"/>
              </w:rPr>
              <w:t>1 января 2000 г. – 31 июля 2000 г.</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8 113</w:t>
            </w:r>
          </w:p>
        </w:tc>
        <w:tc>
          <w:tcPr>
            <w:tcW w:w="2381" w:type="dxa"/>
          </w:tcPr>
          <w:p w:rsidR="00000000" w:rsidRDefault="00000000">
            <w:pPr>
              <w:tabs>
                <w:tab w:val="clear" w:pos="340"/>
                <w:tab w:val="clear" w:pos="680"/>
                <w:tab w:val="decimal" w:pos="1418"/>
              </w:tabs>
              <w:spacing w:before="60" w:after="60" w:line="240" w:lineRule="auto"/>
              <w:rPr>
                <w:rFonts w:ascii="Arial" w:hAnsi="Arial"/>
                <w:sz w:val="16"/>
                <w:lang w:val="en-US"/>
              </w:rPr>
            </w:pPr>
            <w:r>
              <w:rPr>
                <w:rFonts w:ascii="Arial" w:hAnsi="Arial"/>
                <w:sz w:val="16"/>
              </w:rPr>
              <w:t>4 449</w:t>
            </w:r>
          </w:p>
        </w:tc>
      </w:tr>
      <w:tr w:rsidR="00000000">
        <w:tblPrEx>
          <w:tblCellMar>
            <w:top w:w="0" w:type="dxa"/>
            <w:bottom w:w="0" w:type="dxa"/>
          </w:tblCellMar>
        </w:tblPrEx>
        <w:trPr>
          <w:cantSplit/>
        </w:trPr>
        <w:tc>
          <w:tcPr>
            <w:tcW w:w="4196" w:type="dxa"/>
          </w:tcPr>
          <w:p w:rsidR="00000000" w:rsidRDefault="00000000">
            <w:pPr>
              <w:spacing w:before="60" w:after="60" w:line="240" w:lineRule="auto"/>
              <w:rPr>
                <w:rFonts w:ascii="Arial" w:hAnsi="Arial"/>
                <w:sz w:val="16"/>
              </w:rPr>
            </w:pPr>
            <w:r>
              <w:rPr>
                <w:rFonts w:ascii="Arial" w:hAnsi="Arial"/>
                <w:sz w:val="16"/>
              </w:rPr>
              <w:t>ВСЕГО</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13 308</w:t>
            </w:r>
          </w:p>
        </w:tc>
        <w:tc>
          <w:tcPr>
            <w:tcW w:w="2381" w:type="dxa"/>
          </w:tcPr>
          <w:p w:rsidR="00000000" w:rsidRDefault="00000000">
            <w:pPr>
              <w:tabs>
                <w:tab w:val="clear" w:pos="340"/>
                <w:tab w:val="clear" w:pos="680"/>
                <w:tab w:val="decimal" w:pos="1418"/>
              </w:tabs>
              <w:spacing w:before="60" w:after="60" w:line="240" w:lineRule="auto"/>
              <w:rPr>
                <w:rFonts w:ascii="Arial" w:hAnsi="Arial"/>
                <w:sz w:val="16"/>
              </w:rPr>
            </w:pPr>
            <w:r>
              <w:rPr>
                <w:rFonts w:ascii="Arial" w:hAnsi="Arial"/>
                <w:sz w:val="16"/>
              </w:rPr>
              <w:t>6 836</w:t>
            </w:r>
          </w:p>
        </w:tc>
      </w:tr>
    </w:tbl>
    <w:p w:rsidR="00000000" w:rsidRDefault="00000000">
      <w:pPr>
        <w:spacing w:line="240" w:lineRule="auto"/>
        <w:ind w:left="680" w:hanging="680"/>
        <w:rPr>
          <w:sz w:val="16"/>
        </w:rPr>
      </w:pPr>
      <w:r>
        <w:rPr>
          <w:lang w:val="en-US"/>
        </w:rPr>
        <w:tab/>
      </w:r>
      <w:r>
        <w:rPr>
          <w:sz w:val="16"/>
          <w:lang w:val="en-US"/>
        </w:rPr>
        <w:tab/>
      </w:r>
      <w:r>
        <w:rPr>
          <w:sz w:val="16"/>
        </w:rPr>
        <w:t>Дела, обозначенные как "семейные", относятся к искам, поданным в соответствии с законом о положении детей 1981 года и законом о семье (опека над несовершеннолетними, постоянное местожительство и содержание) с поправками, внесенными законом № 15 1981 года.</w:t>
      </w:r>
    </w:p>
    <w:p w:rsidR="00000000" w:rsidRDefault="00000000">
      <w:pPr>
        <w:spacing w:before="120"/>
      </w:pPr>
      <w:r>
        <w:t>82.</w:t>
      </w:r>
      <w:r>
        <w:tab/>
        <w:t xml:space="preserve">Отдел гендерных проблем Министерства культуры и гендерных проблем является государственным органом, который отвечает за разработку гендерной политики и контроль за внесением гендерного аспекта в государственные политические документы и программы путем повышения осознания важности этого аспекта. </w:t>
      </w:r>
    </w:p>
    <w:p w:rsidR="00000000" w:rsidRDefault="00000000">
      <w:r>
        <w:t>83.</w:t>
      </w:r>
      <w:r>
        <w:tab/>
        <w:t>Мандат этого Отдела основывается на заявлении о его задачах:</w:t>
      </w:r>
    </w:p>
    <w:p w:rsidR="00000000" w:rsidRDefault="00000000">
      <w:pPr>
        <w:tabs>
          <w:tab w:val="clear" w:pos="340"/>
        </w:tabs>
        <w:ind w:left="680" w:right="680" w:hanging="680"/>
      </w:pPr>
      <w:r>
        <w:rPr>
          <w:i/>
        </w:rPr>
        <w:tab/>
        <w:t>Эффективно способствовать достижению равенства и равноправия мужчин и женщин путем внесения гендерного аспекта в государственные политические документы, программы и проекты</w:t>
      </w:r>
      <w:r>
        <w:t xml:space="preserve">. </w:t>
      </w:r>
    </w:p>
    <w:p w:rsidR="00000000" w:rsidRDefault="00000000">
      <w:r>
        <w:t xml:space="preserve">В этих целях Отдел инициировал ряд программ и проектов, отвечающих конкретным потребностям мужчин и женщин, и осуществлял свои цели путем реализации проектов с учетом гендерного фактора и распространения информации об этом, что является способом борьбы с дискриминацией в отношении женщин. </w:t>
      </w:r>
    </w:p>
    <w:p w:rsidR="00000000" w:rsidRDefault="00000000">
      <w:r>
        <w:br w:type="page"/>
        <w:t>84.</w:t>
      </w:r>
      <w:r>
        <w:tab/>
        <w:t>Услуги по оказанию помощи жертвам бытового насилия, нападения, изнасилования и других форм имеющего гендерную основу насилия предоставляются как на государственном уровне, так и неправительственными организациями. На государственном уровне в Министерстве культуры и гендерных проблем было создано подразделение по вопросам насилия в семье, которое создало и в настоящее время ведет горячую линию по такой форме насилия. Эта горячая линия действует как справочная служба для жертв насилия в семье, которым предоставляется информация о безопасном жилье, приютах или консультационных услугах. В стране имеется около полутора десятка приютов. Если жертва насилия желает остаться в своем доме, тогда советник, принимающий звонок, может посоветовать, к кому обратиться за консультацией. Существует порядка 16 консультационных центров для жертв насилия в семье, из которых официальным агентством является Отдел служб по делам семьи Министерства социального и общинного развития.</w:t>
      </w:r>
    </w:p>
    <w:p w:rsidR="00000000" w:rsidRDefault="00000000">
      <w:r>
        <w:t>85.</w:t>
      </w:r>
      <w:r>
        <w:tab/>
        <w:t xml:space="preserve">В области, ориентированной на гендерные проблемы подготовки государственных служащих, было предпринято несколько инициатив. Начиная с февраля 1999 года было проведено четыре пилотных семинара с целью добиться осознания важности гендерных проблем со стороны лиц, занимающих ключевые посты в государственном и частном секторах Тринидада и Тобаго. Семинары проводились с помощью Министерства культуры и гендерных проблем; в них приняли участие 14 постоянных заместителей министра и старших сотрудников основных министерств, 23 представителя судебных, законодательных органов и служб защиты, а также 12 представителей частного сектора. В программу подготовки входил, в частности, такой вопрос, как значение более глубокого осознания важности гендерного аспекта в связи с национальным развитием, управлением, правосудием и проблемой занятости. В Отделе гендерных проблем Министерства культуры и гендерных проблем понимают, что, несмотря на предпринятые в последнее время и ныне осуществляемые инициативы по организации подготовки слушателей, необходимо дальнейшее обучение представителей судебных, парламентских кругов и служб защиты навыкам гендерного планирования и анализа, что позволит глубже рассмотреть проблемы равенства между мужчинами и женщинами. </w:t>
      </w:r>
    </w:p>
    <w:p w:rsidR="00000000" w:rsidRDefault="00000000">
      <w:r>
        <w:t>86.</w:t>
      </w:r>
      <w:r>
        <w:tab/>
        <w:t>В Тринидаде и Тобаго образованы подразделения полицейской охраны общественного порядка, которые должны заниматься решением общественно значимых проблем на местах, особенно проблем насилия в семье. Сотрудники этих полицейских подразделений проходят серьезную подготовку, с тем чтобы они могли уделять особое внимание гендерным аспектам в своей работе.</w:t>
      </w:r>
    </w:p>
    <w:p w:rsidR="00000000" w:rsidRDefault="00000000">
      <w:r>
        <w:t>87.</w:t>
      </w:r>
      <w:r>
        <w:tab/>
        <w:t>В 2000 году Карибский институт феминистских исследований и деятельности (CAFRA), региональная женская неправительственная организация со штаб-квартирой в Тринидаде и Тобаго, совместно с Межамериканским банком развития, Департаментом международного развития, Карибским банком развития и Ассоциацией комиссаров полиции стран Карибского бассейна стал координатором создания региональной программы подготовки по проблемам насилия в семье для офицеров полиции и социальных работников. Эта программа выполняется поэтапно. На первом этапе было разработано и опробовано руководство по подготовке для специалистов данного региона, а на втором этапе было проведено обучение инструкторов. В ходе этого второго этапа подготовку прошли 31 офицер полиции и пять социальных работников Тринидада и Тобаго. В ходе подготовки, продолжавшейся пять дней, были рассмотрены правовые, социологические и прочие факторы, ассоциируемые с насилием в семье. В контексте проблемы насилия на гендерной основе были затронуты и вопросы осознания важности гендерного аспекта.</w:t>
      </w:r>
    </w:p>
    <w:p w:rsidR="00000000" w:rsidRDefault="00000000">
      <w:r>
        <w:t>88.</w:t>
      </w:r>
      <w:r>
        <w:tab/>
        <w:t xml:space="preserve">Программа подготовки CAFRA стала первой попыткой включения систематической подготовки по гендерным проблемам и проблемам насилия в программы обучения сотрудников полиции в данном регионе. В этих целях 31 полицейский будет направлен в стратегически важные пункты в Тринидаде и Тобаго. В этом будет состоять третий этап программы. </w:t>
      </w:r>
    </w:p>
    <w:p w:rsidR="00000000" w:rsidRDefault="00000000">
      <w:r>
        <w:t>89.</w:t>
      </w:r>
      <w:r>
        <w:tab/>
        <w:t>Двое из этих 31 сотрудника полиции, прошедшего подготовку, в настоящее время работают инструкторами в колледже подготовки полицейских. В этом колледже подготовки полицейских ежемесячно обучаются около 150 новобранцев. В результате ежегодно ко времени окончания колледжа примерно 300 новобранцев должны пройти специальную подготовку с учетом гендерного фактора и особым упором на насилие в семье. Кроме того, остальные 29 офицеров полиции обучают других полицейских, уже служащих на своих постах, в частности работающих в местных полицейских подразделениях и других отделениях полиции, расположенных по всей стране.</w:t>
      </w:r>
    </w:p>
    <w:p w:rsidR="00000000" w:rsidRDefault="00000000">
      <w:r>
        <w:t>90.</w:t>
      </w:r>
      <w:r>
        <w:tab/>
        <w:t xml:space="preserve">В рамках подготовки судебных работников Фонд Организации Объединенных Наций для развития в интересах женщин (ЮНИФЕМ) совместно с правовым факультетом Вест-Индского университета на Тринидаде провел для магистратов 25–26 августа 2000 года "круглый стол" по гендерным вопросам и правам человека. Задача "круглого стола" – помочь магистратам осознать необходимость привнесения гендерного аспекта в их работу и поощрить использование ими международных и региональных документов по правам человека в качестве справочных материалов в ходе рассмотрения дел о насилии, имеющем гендерную основу. В работе "круглого стола" приняли участие один главный магистрат и один магистрат. </w:t>
      </w:r>
    </w:p>
    <w:p w:rsidR="00000000" w:rsidRDefault="00000000">
      <w:r>
        <w:t>91.</w:t>
      </w:r>
      <w:r>
        <w:tab/>
        <w:t>Прежде Тринидад и Тобаго был колонией Британской короны, в 1956 году ставшей самоуправляемой. Вследствие этого в стране в значительной степени сохранилась законодательная система Великобритании, в соответствии с которой страна управлялась до обретения независимости. Несмотря на то что правительство активно занимается отменой устаревшего законодательства, все еще продолжают действовать некоторые законы, которые фактически или потенциально предусматривают дискриминацию в отношении женщин. К ним относятся:</w:t>
      </w:r>
    </w:p>
    <w:p w:rsidR="00000000" w:rsidRDefault="00000000">
      <w:pPr>
        <w:numPr>
          <w:ilvl w:val="0"/>
          <w:numId w:val="464"/>
        </w:numPr>
      </w:pPr>
      <w:r>
        <w:t>Раздел 6 Конституции, который содержит положения, допускающие исключения из существующих законов, фактически одобряющие законы, которые могут не соответствовать разделам 4 и 5 Конституции, в том числе те законы, которые могут быть дискриминационными в отношении женщин:</w:t>
      </w:r>
    </w:p>
    <w:p w:rsidR="00000000" w:rsidRDefault="00000000">
      <w:pPr>
        <w:tabs>
          <w:tab w:val="clear" w:pos="340"/>
          <w:tab w:val="clear" w:pos="680"/>
          <w:tab w:val="left" w:pos="1021"/>
        </w:tabs>
        <w:rPr>
          <w:i/>
        </w:rPr>
      </w:pPr>
      <w:r>
        <w:rPr>
          <w:i/>
        </w:rPr>
        <w:tab/>
        <w:t xml:space="preserve">6. (1) Ничто в разделах 4 и 5 [Конституции] не делает недействительными: </w:t>
      </w:r>
    </w:p>
    <w:p w:rsidR="00000000" w:rsidRDefault="00000000">
      <w:pPr>
        <w:tabs>
          <w:tab w:val="clear" w:pos="340"/>
          <w:tab w:val="clear" w:pos="680"/>
          <w:tab w:val="left" w:pos="1361"/>
          <w:tab w:val="left" w:pos="1701"/>
        </w:tabs>
        <w:spacing w:after="40"/>
        <w:ind w:left="1701" w:right="680" w:hanging="1701"/>
        <w:rPr>
          <w:i/>
        </w:rPr>
      </w:pPr>
      <w:r>
        <w:rPr>
          <w:i/>
        </w:rPr>
        <w:tab/>
      </w:r>
      <w:r>
        <w:rPr>
          <w:i/>
          <w:lang w:val="en-US"/>
        </w:rPr>
        <w:t>a</w:t>
      </w:r>
      <w:r>
        <w:rPr>
          <w:i/>
        </w:rPr>
        <w:t>)</w:t>
      </w:r>
      <w:r>
        <w:rPr>
          <w:i/>
        </w:rPr>
        <w:tab/>
        <w:t>любой действующий закон;</w:t>
      </w:r>
    </w:p>
    <w:p w:rsidR="00000000" w:rsidRDefault="00000000">
      <w:pPr>
        <w:tabs>
          <w:tab w:val="clear" w:pos="340"/>
          <w:tab w:val="clear" w:pos="680"/>
          <w:tab w:val="left" w:pos="1361"/>
          <w:tab w:val="left" w:pos="1701"/>
        </w:tabs>
        <w:spacing w:after="40"/>
        <w:ind w:left="1701" w:right="680" w:hanging="1701"/>
        <w:rPr>
          <w:i/>
        </w:rPr>
      </w:pPr>
      <w:r>
        <w:rPr>
          <w:i/>
          <w:lang w:val="en-US"/>
        </w:rPr>
        <w:tab/>
        <w:t>b</w:t>
      </w:r>
      <w:r>
        <w:rPr>
          <w:i/>
        </w:rPr>
        <w:t>)</w:t>
      </w:r>
      <w:r>
        <w:rPr>
          <w:i/>
        </w:rPr>
        <w:tab/>
        <w:t>нормативное положение, которое отменяет и повторно устанавливает в</w:t>
      </w:r>
      <w:r>
        <w:rPr>
          <w:i/>
          <w:lang w:val="en-US"/>
        </w:rPr>
        <w:t> </w:t>
      </w:r>
      <w:r>
        <w:rPr>
          <w:i/>
        </w:rPr>
        <w:t>законодательном порядке любой действующий закон без изменений; или</w:t>
      </w:r>
    </w:p>
    <w:p w:rsidR="00000000" w:rsidRDefault="00000000">
      <w:pPr>
        <w:tabs>
          <w:tab w:val="clear" w:pos="340"/>
          <w:tab w:val="clear" w:pos="680"/>
          <w:tab w:val="left" w:pos="1361"/>
          <w:tab w:val="left" w:pos="1701"/>
        </w:tabs>
        <w:ind w:left="1701" w:right="680" w:hanging="1701"/>
        <w:rPr>
          <w:i/>
        </w:rPr>
      </w:pPr>
      <w:r>
        <w:rPr>
          <w:i/>
        </w:rPr>
        <w:tab/>
        <w:t>с)</w:t>
      </w:r>
      <w:r>
        <w:rPr>
          <w:i/>
          <w:lang w:val="en-US"/>
        </w:rPr>
        <w:tab/>
      </w:r>
      <w:r>
        <w:rPr>
          <w:i/>
        </w:rPr>
        <w:t>нормативное положение, которое изменяет любой действующий закон, но не нарушает ни одного из основных прав, гарантированных настоящей главой, таким образом или в той степени, в какой этот ныне действующий закон ранее не нарушал указанного права.</w:t>
      </w:r>
    </w:p>
    <w:p w:rsidR="00000000" w:rsidRDefault="00000000">
      <w:pPr>
        <w:numPr>
          <w:ilvl w:val="0"/>
          <w:numId w:val="465"/>
        </w:numPr>
      </w:pPr>
      <w:r>
        <w:t>Закон о пенсиях вдовам и сиротам, глава 23:54, был принят в 1934 году в целях регламентирования порядка выплаты пенсий умерших государственных служащих. В соответствии с разделом 2 этого закона женщины исключаются из числа "государственных служащих". Это создает проблемы для матерей-одиночек, которые, например, не могут воспользоваться этой схемой, поскольку их дети не могут получать материальное пособие в случае смерти матери.</w:t>
      </w:r>
    </w:p>
    <w:p w:rsidR="00000000" w:rsidRDefault="00000000">
      <w:pPr>
        <w:tabs>
          <w:tab w:val="clear" w:pos="340"/>
          <w:tab w:val="clear" w:pos="680"/>
          <w:tab w:val="left" w:pos="1021"/>
        </w:tabs>
        <w:rPr>
          <w:i/>
        </w:rPr>
      </w:pPr>
      <w:r>
        <w:rPr>
          <w:i/>
        </w:rPr>
        <w:tab/>
        <w:t>2. В настоящем Законе:</w:t>
      </w:r>
    </w:p>
    <w:p w:rsidR="00000000" w:rsidRDefault="00000000">
      <w:pPr>
        <w:tabs>
          <w:tab w:val="clear" w:pos="340"/>
          <w:tab w:val="clear" w:pos="680"/>
          <w:tab w:val="left" w:pos="1021"/>
        </w:tabs>
        <w:ind w:left="1021" w:right="680" w:hanging="1021"/>
        <w:rPr>
          <w:i/>
        </w:rPr>
      </w:pPr>
      <w:r>
        <w:rPr>
          <w:i/>
        </w:rPr>
        <w:tab/>
        <w:t>…</w:t>
      </w:r>
      <w:r>
        <w:t xml:space="preserve"> </w:t>
      </w:r>
      <w:r>
        <w:rPr>
          <w:i/>
        </w:rPr>
        <w:t>термин "государственный служащий" относится к любому мужчине, который в течение некоторого времени занимает постоянную должность на государственной службе Тринидада и Тобаго, в том числе:</w:t>
      </w:r>
    </w:p>
    <w:p w:rsidR="00000000" w:rsidRDefault="00000000">
      <w:pPr>
        <w:tabs>
          <w:tab w:val="clear" w:pos="340"/>
          <w:tab w:val="clear" w:pos="680"/>
          <w:tab w:val="left" w:pos="1361"/>
          <w:tab w:val="left" w:pos="1701"/>
        </w:tabs>
        <w:spacing w:after="40"/>
        <w:rPr>
          <w:i/>
        </w:rPr>
      </w:pPr>
      <w:r>
        <w:rPr>
          <w:i/>
        </w:rPr>
        <w:tab/>
        <w:t>а)</w:t>
      </w:r>
      <w:r>
        <w:rPr>
          <w:i/>
        </w:rPr>
        <w:tab/>
        <w:t>представителя полицейской службы Тринидада и Тобаго;</w:t>
      </w:r>
    </w:p>
    <w:p w:rsidR="00000000" w:rsidRDefault="00000000">
      <w:pPr>
        <w:tabs>
          <w:tab w:val="clear" w:pos="340"/>
          <w:tab w:val="clear" w:pos="680"/>
          <w:tab w:val="left" w:pos="1361"/>
          <w:tab w:val="left" w:pos="1701"/>
        </w:tabs>
        <w:spacing w:after="40"/>
        <w:rPr>
          <w:i/>
        </w:rPr>
      </w:pPr>
      <w:r>
        <w:rPr>
          <w:i/>
          <w:lang w:val="en-US"/>
        </w:rPr>
        <w:tab/>
        <w:t>b</w:t>
      </w:r>
      <w:r>
        <w:rPr>
          <w:i/>
        </w:rPr>
        <w:t>)</w:t>
      </w:r>
      <w:r>
        <w:rPr>
          <w:i/>
        </w:rPr>
        <w:tab/>
        <w:t>преподавателя;</w:t>
      </w:r>
    </w:p>
    <w:p w:rsidR="00000000" w:rsidRDefault="00000000">
      <w:pPr>
        <w:tabs>
          <w:tab w:val="clear" w:pos="340"/>
          <w:tab w:val="clear" w:pos="680"/>
          <w:tab w:val="left" w:pos="1361"/>
          <w:tab w:val="left" w:pos="1701"/>
        </w:tabs>
        <w:rPr>
          <w:i/>
        </w:rPr>
      </w:pPr>
      <w:r>
        <w:rPr>
          <w:i/>
          <w:lang w:val="en-US"/>
        </w:rPr>
        <w:tab/>
        <w:t>c</w:t>
      </w:r>
      <w:r>
        <w:rPr>
          <w:i/>
        </w:rPr>
        <w:t>)</w:t>
      </w:r>
      <w:r>
        <w:rPr>
          <w:i/>
        </w:rPr>
        <w:tab/>
        <w:t>сотрудника пожарной службы.</w:t>
      </w:r>
    </w:p>
    <w:p w:rsidR="00000000" w:rsidRDefault="00000000">
      <w:pPr>
        <w:numPr>
          <w:ilvl w:val="0"/>
          <w:numId w:val="466"/>
        </w:numPr>
      </w:pPr>
      <w:r>
        <w:t>В разделе 24 закона о минимальной заработной плате, глава 88:04, предусматривается уголовное наказание за нарушение распоряжений о минимальной заработной плате, выпущенных в соответствии с этим законом. Таким образом, этот закон не подлежит рассмотрению в промышленном суде, и в нем не предусматривается материальная компенсация работникам, которым, как выяснилось, заплатили меньше установленного законом минимума заработной платы:</w:t>
      </w:r>
    </w:p>
    <w:p w:rsidR="00000000" w:rsidRDefault="00000000">
      <w:pPr>
        <w:tabs>
          <w:tab w:val="clear" w:pos="340"/>
          <w:tab w:val="clear" w:pos="680"/>
          <w:tab w:val="left" w:pos="1021"/>
        </w:tabs>
        <w:ind w:left="1021" w:right="680" w:hanging="1021"/>
        <w:rPr>
          <w:i/>
        </w:rPr>
      </w:pPr>
      <w:r>
        <w:rPr>
          <w:i/>
        </w:rPr>
        <w:br w:type="page"/>
      </w:r>
      <w:r>
        <w:rPr>
          <w:i/>
        </w:rPr>
        <w:tab/>
        <w:t xml:space="preserve">24. (1) Каждый работодатель, который платит работнику меньше установленного законом  минимума заработной платы или обеспечивает худшие рабочие условия, чем предписаны применимым к данному работнику распоряжением о минимальной заработной плате, или нарушает положения разделов 19 или 20 [относящихся к существу распоряжения или отчетности, соответственно], подлежит осуждению в порядке суммарного производства на выплату штрафа в размере двух тысяч долларов и тюремному заключению на два года. </w:t>
      </w:r>
    </w:p>
    <w:p w:rsidR="00000000" w:rsidRDefault="00000000">
      <w:pPr>
        <w:numPr>
          <w:ilvl w:val="0"/>
          <w:numId w:val="467"/>
        </w:numPr>
      </w:pPr>
      <w:r>
        <w:t>Закон о занятости женщин (работа в ночное время), глава 88:12, регламентирует работу женщин на промышленных предприятиях в ночное время. В разделе 5 этого закона содержится дискриминационное положение в отношении женщин, так как в нем запрещается работа женщин в ночное время, за исключением некоторых случаев, приведенных в разделе 6, к которым относится:</w:t>
      </w:r>
    </w:p>
    <w:p w:rsidR="00000000" w:rsidRDefault="00000000">
      <w:pPr>
        <w:tabs>
          <w:tab w:val="clear" w:pos="340"/>
          <w:tab w:val="clear" w:pos="680"/>
          <w:tab w:val="left" w:pos="1021"/>
        </w:tabs>
        <w:ind w:left="1021" w:right="680" w:hanging="1021"/>
        <w:rPr>
          <w:i/>
        </w:rPr>
      </w:pPr>
      <w:r>
        <w:rPr>
          <w:lang w:val="en-US"/>
        </w:rPr>
        <w:tab/>
      </w:r>
      <w:r>
        <w:rPr>
          <w:i/>
          <w:lang w:val="en-US"/>
        </w:rPr>
        <w:t>a</w:t>
      </w:r>
      <w:r>
        <w:rPr>
          <w:i/>
        </w:rPr>
        <w:t>) … работа на промышленных предприятиях, где работают только члены одной семьи;</w:t>
      </w:r>
    </w:p>
    <w:p w:rsidR="00000000" w:rsidRDefault="00000000">
      <w:pPr>
        <w:tabs>
          <w:tab w:val="clear" w:pos="340"/>
          <w:tab w:val="clear" w:pos="680"/>
          <w:tab w:val="left" w:pos="1021"/>
        </w:tabs>
        <w:ind w:left="1021" w:right="680" w:hanging="1021"/>
        <w:rPr>
          <w:i/>
        </w:rPr>
      </w:pPr>
      <w:r>
        <w:rPr>
          <w:i/>
          <w:lang w:val="en-US"/>
        </w:rPr>
        <w:tab/>
        <w:t>b</w:t>
      </w:r>
      <w:r>
        <w:rPr>
          <w:i/>
        </w:rPr>
        <w:t>) … работа женщин, находящихся на ответственных руководящих постах, обычно не занимающихся ручным трудом;</w:t>
      </w:r>
    </w:p>
    <w:p w:rsidR="00000000" w:rsidRDefault="00000000">
      <w:pPr>
        <w:tabs>
          <w:tab w:val="clear" w:pos="340"/>
          <w:tab w:val="clear" w:pos="680"/>
          <w:tab w:val="left" w:pos="1021"/>
        </w:tabs>
        <w:ind w:left="1021" w:right="680" w:hanging="1021"/>
        <w:rPr>
          <w:i/>
        </w:rPr>
      </w:pPr>
      <w:r>
        <w:rPr>
          <w:i/>
          <w:lang w:val="en-US"/>
        </w:rPr>
        <w:tab/>
        <w:t>c</w:t>
      </w:r>
      <w:r>
        <w:rPr>
          <w:i/>
        </w:rPr>
        <w:t>) … случай, когда в ходе судебного рассмотрения иска, поданного в соответствии с данным Законом, было доказано, что ночная работа, являющаяся предметом жалобы, вызвана чрезвычайными, грозящими прекращением работы обстоятельствами, которые невозможно предвидеть и которые не носят регулярного характера, или случай, когда данная работа связана с быстро разрушающимися сырьевыми материалами или материалами в стадии обработки и когда ночная работа необходима для предотвращения определенных потерь указанных материалов;</w:t>
      </w:r>
    </w:p>
    <w:p w:rsidR="00000000" w:rsidRDefault="00000000">
      <w:pPr>
        <w:tabs>
          <w:tab w:val="clear" w:pos="340"/>
          <w:tab w:val="clear" w:pos="680"/>
          <w:tab w:val="left" w:pos="1021"/>
        </w:tabs>
        <w:ind w:left="1021" w:right="680" w:hanging="1021"/>
        <w:rPr>
          <w:i/>
        </w:rPr>
      </w:pPr>
      <w:r>
        <w:rPr>
          <w:i/>
          <w:lang w:val="en-US"/>
        </w:rPr>
        <w:tab/>
        <w:t>d</w:t>
      </w:r>
      <w:r>
        <w:rPr>
          <w:i/>
        </w:rPr>
        <w:t>) подготовка и упаковка свежих фруктов для немедленной отгрузки.</w:t>
      </w:r>
    </w:p>
    <w:p w:rsidR="00000000" w:rsidRDefault="00000000">
      <w:pPr>
        <w:numPr>
          <w:ilvl w:val="0"/>
          <w:numId w:val="468"/>
        </w:numPr>
      </w:pPr>
      <w:r>
        <w:t>Согласно закону о трудовых отношениях в промышленности, глава 88:01, работники, занятые в семейном предприятии, исключаются из числа подпадающих под определение "работник". В Тринидаде и Тобаго в семейном производстве заняты в основном женщины.</w:t>
      </w:r>
    </w:p>
    <w:p w:rsidR="00000000" w:rsidRDefault="00000000">
      <w:pPr>
        <w:tabs>
          <w:tab w:val="clear" w:pos="340"/>
          <w:tab w:val="clear" w:pos="680"/>
          <w:tab w:val="left" w:pos="1021"/>
        </w:tabs>
        <w:ind w:right="680"/>
        <w:rPr>
          <w:i/>
        </w:rPr>
      </w:pPr>
      <w:r>
        <w:rPr>
          <w:i/>
        </w:rPr>
        <w:tab/>
        <w:t xml:space="preserve">2.  (3) В целях настоящего Закона ни один человек не считается работником, если он… </w:t>
      </w:r>
    </w:p>
    <w:p w:rsidR="00000000" w:rsidRDefault="00000000">
      <w:pPr>
        <w:tabs>
          <w:tab w:val="clear" w:pos="340"/>
          <w:tab w:val="clear" w:pos="680"/>
          <w:tab w:val="left" w:pos="1361"/>
        </w:tabs>
        <w:ind w:left="1361" w:right="680" w:hanging="1361"/>
        <w:rPr>
          <w:i/>
        </w:rPr>
      </w:pPr>
      <w:r>
        <w:rPr>
          <w:i/>
        </w:rPr>
        <w:tab/>
      </w:r>
      <w:r>
        <w:rPr>
          <w:i/>
          <w:lang w:val="en-US"/>
        </w:rPr>
        <w:t>f</w:t>
      </w:r>
      <w:r>
        <w:rPr>
          <w:i/>
        </w:rPr>
        <w:t>)</w:t>
      </w:r>
      <w:r>
        <w:rPr>
          <w:i/>
          <w:lang w:val="en-US"/>
        </w:rPr>
        <w:t xml:space="preserve"> </w:t>
      </w:r>
      <w:r>
        <w:rPr>
          <w:i/>
        </w:rPr>
        <w:t>занят в семейном предприятии в любом качестве, в том числе в качестве шофера, садовника или подсобного рабочего в частном жилом доме, и получает плату от домохозяина.</w:t>
      </w:r>
    </w:p>
    <w:p w:rsidR="00000000" w:rsidRDefault="00000000">
      <w:r>
        <w:t>92.</w:t>
      </w:r>
      <w:r>
        <w:tab/>
        <w:t>Что касается вышесказанного, то предпринимаются инициативы по отмене положений, определяемых в законодательстве как дискриминационные в отношении женщин, в частности:</w:t>
      </w:r>
    </w:p>
    <w:p w:rsidR="00000000" w:rsidRDefault="00000000">
      <w:pPr>
        <w:numPr>
          <w:ilvl w:val="0"/>
          <w:numId w:val="469"/>
        </w:numPr>
      </w:pPr>
      <w:r>
        <w:t>в отношении закона о пенсиях вдовам и сиротам, глава 23:54, был создан комитет для проверки данного закона, представивший Кабинету свой отчет; однако до сих пор не предприняты инициативы по переработке этого законодательного акта;</w:t>
      </w:r>
    </w:p>
    <w:p w:rsidR="00000000" w:rsidRDefault="00000000">
      <w:pPr>
        <w:numPr>
          <w:ilvl w:val="0"/>
          <w:numId w:val="469"/>
        </w:numPr>
      </w:pPr>
      <w:r>
        <w:t xml:space="preserve">что касается закона о половых преступлениях № 27 1986 года, то в него с принятием закона о половых преступлениях (поправка) № 31 2000 года в качестве поправки было внесено положение о том, что теперь муж может быть привлечен к суду за изнасилование своей жены в период брака между ними. Кроме того, были включены новые виды преступлений, охватывающие все формы сексуального насилия, а также установлены штрафные санкции за ранее выявленные случаи насилия; </w:t>
      </w:r>
    </w:p>
    <w:p w:rsidR="00000000" w:rsidRDefault="00000000">
      <w:pPr>
        <w:numPr>
          <w:ilvl w:val="0"/>
          <w:numId w:val="469"/>
        </w:numPr>
      </w:pPr>
      <w:r>
        <w:t>что касается закона о занятости женщин (работа в ночное время), глава 88:12, то на рассмотрение парламента был вынесен законопроект о безопасности труда и охране здоровья на производстве (№ 2) 1999 года в целях пересмотра и расширения рамок действующего законодательства по вопросам безопасности, охраны здоровья и социального обеспечения всех работников. Если этот законопроект будет принят, то тем самым будут отменены указ о фабриках 1948 года и закон о занятости женщин (работа в ночное время), глава 88:12. Внесенный в парламент законопроект не был поддержан оппозицией. Однако этот законопроект может быть повторно внесен на рассмотрение парламента в соответствии с надлежащей правовой процедурой;</w:t>
      </w:r>
    </w:p>
    <w:p w:rsidR="00000000" w:rsidRDefault="00000000">
      <w:pPr>
        <w:numPr>
          <w:ilvl w:val="0"/>
          <w:numId w:val="469"/>
        </w:numPr>
      </w:pPr>
      <w:r>
        <w:t>что касается раздела 6 Конституции, раздела 24 закона о минимальной заработной плате, глава 88:04, и раздела 2 закона о трудовых отношениях в промышленности, глава 88:01, до сих пор не предпринято никаких инициатив по пересмотру или отмене этих законов.</w:t>
      </w:r>
    </w:p>
    <w:p w:rsidR="00000000" w:rsidRDefault="00000000">
      <w:r>
        <w:t>93.</w:t>
      </w:r>
      <w:r>
        <w:tab/>
        <w:t>К прочим, не относящимся к законодательству факторам, препятствующим достижению равенства мужчин и женщин в Тринидаде и Тобаго, которые были идентифицированы Министерством культуры и гендерных проблем, относятся:</w:t>
      </w:r>
    </w:p>
    <w:p w:rsidR="00000000" w:rsidRDefault="00000000">
      <w:pPr>
        <w:numPr>
          <w:ilvl w:val="0"/>
          <w:numId w:val="471"/>
        </w:numPr>
        <w:spacing w:after="0"/>
      </w:pPr>
      <w:r>
        <w:t>культурные взгляды (патриархальная идеология);</w:t>
      </w:r>
    </w:p>
    <w:p w:rsidR="00000000" w:rsidRDefault="00000000">
      <w:pPr>
        <w:numPr>
          <w:ilvl w:val="0"/>
          <w:numId w:val="471"/>
        </w:numPr>
        <w:spacing w:after="0"/>
      </w:pPr>
      <w:r>
        <w:t>влияние глобализации;</w:t>
      </w:r>
    </w:p>
    <w:p w:rsidR="00000000" w:rsidRDefault="00000000">
      <w:pPr>
        <w:numPr>
          <w:ilvl w:val="0"/>
          <w:numId w:val="471"/>
        </w:numPr>
        <w:spacing w:after="0"/>
      </w:pPr>
      <w:r>
        <w:t>структурные и институциональные препятствия, в том числе отсутствие финансовых и людских ресурсов; и</w:t>
      </w:r>
    </w:p>
    <w:p w:rsidR="00000000" w:rsidRDefault="00000000">
      <w:pPr>
        <w:numPr>
          <w:ilvl w:val="0"/>
          <w:numId w:val="471"/>
        </w:numPr>
      </w:pPr>
      <w:r>
        <w:t xml:space="preserve">недостаточно эффективное межведомственное сотрудничество в проведении работ, имеющих целью решение гендерных проблем. </w:t>
      </w:r>
    </w:p>
    <w:p w:rsidR="00000000" w:rsidRDefault="00000000">
      <w:pPr>
        <w:pStyle w:val="Heading3"/>
      </w:pPr>
      <w:r>
        <w:t>Статья 3</w:t>
      </w:r>
    </w:p>
    <w:p w:rsidR="00000000" w:rsidRDefault="00000000">
      <w:r>
        <w:t>94.</w:t>
      </w:r>
      <w:r>
        <w:tab/>
        <w:t>Отдел гендерных проблем Министерства культуры и гендерных проблем играет важную роль в улучшении положения женщин, реализации программ и проведении мероприятий в целях содействия и контроля за прогрессом в этой области. К основным областям, на которых Отдел сосредоточивает свое внимание, относятся:</w:t>
      </w:r>
    </w:p>
    <w:p w:rsidR="00000000" w:rsidRDefault="00000000">
      <w:pPr>
        <w:numPr>
          <w:ilvl w:val="0"/>
          <w:numId w:val="472"/>
        </w:numPr>
        <w:spacing w:after="0"/>
        <w:ind w:left="1020" w:hanging="340"/>
      </w:pPr>
      <w:r>
        <w:t>повышение осознания важности гендерных проблем и внесение гендерной проблематики в область принятия решений;</w:t>
      </w:r>
    </w:p>
    <w:p w:rsidR="00000000" w:rsidRDefault="00000000">
      <w:pPr>
        <w:numPr>
          <w:ilvl w:val="0"/>
          <w:numId w:val="472"/>
        </w:numPr>
        <w:spacing w:after="0"/>
        <w:ind w:left="1020" w:hanging="340"/>
      </w:pPr>
      <w:r>
        <w:t>наделение женщин экономическими правами;</w:t>
      </w:r>
    </w:p>
    <w:p w:rsidR="00000000" w:rsidRDefault="00000000">
      <w:pPr>
        <w:numPr>
          <w:ilvl w:val="0"/>
          <w:numId w:val="472"/>
        </w:numPr>
        <w:spacing w:after="0"/>
        <w:ind w:left="1020" w:hanging="340"/>
      </w:pPr>
      <w:r>
        <w:t>эффективная защита прав человека женщин, прежде всего – предотвращение насилия в отношении женщин; и</w:t>
      </w:r>
    </w:p>
    <w:p w:rsidR="00000000" w:rsidRDefault="00000000">
      <w:pPr>
        <w:numPr>
          <w:ilvl w:val="0"/>
          <w:numId w:val="472"/>
        </w:numPr>
      </w:pPr>
      <w:r>
        <w:t>продвижение женщин на руководящие посты и должности в сфере принятия решений в стране.</w:t>
      </w:r>
    </w:p>
    <w:p w:rsidR="00000000" w:rsidRDefault="00000000">
      <w:r>
        <w:t>95.</w:t>
      </w:r>
      <w:r>
        <w:tab/>
        <w:t>Первоочередными задачами правительства в целом и Отдела гендерных проблем в частности являются предупреждение насилия в семье и внедрение во все аспекты жизни общества поведения и взглядов, основанных на уважении к гендерному равноправию. Что касается насилия в семье, то был создан Отдел по вопросам насилия в семье для проведения всесторонней и комплексной работы с жертвами таких обстоятельств. Указанные задачи выполняются благодаря инициированию следующих мероприятий:</w:t>
      </w:r>
    </w:p>
    <w:p w:rsidR="00000000" w:rsidRDefault="00000000">
      <w:pPr>
        <w:numPr>
          <w:ilvl w:val="0"/>
          <w:numId w:val="473"/>
        </w:numPr>
        <w:spacing w:after="0"/>
        <w:ind w:left="1020" w:hanging="340"/>
      </w:pPr>
      <w:r>
        <w:t>создание круглосуточной бесплатной горячей линии (800-</w:t>
      </w:r>
      <w:r>
        <w:rPr>
          <w:lang w:val="en-US"/>
        </w:rPr>
        <w:t>SAVE</w:t>
      </w:r>
      <w:r>
        <w:t>);</w:t>
      </w:r>
    </w:p>
    <w:p w:rsidR="00000000" w:rsidRDefault="00000000">
      <w:pPr>
        <w:numPr>
          <w:ilvl w:val="0"/>
          <w:numId w:val="473"/>
        </w:numPr>
        <w:spacing w:after="0"/>
        <w:ind w:left="1020" w:hanging="340"/>
      </w:pPr>
      <w:r>
        <w:t>создание на базе общины информационного центра/убежища;</w:t>
      </w:r>
    </w:p>
    <w:p w:rsidR="00000000" w:rsidRDefault="00000000">
      <w:pPr>
        <w:numPr>
          <w:ilvl w:val="0"/>
          <w:numId w:val="473"/>
        </w:numPr>
        <w:spacing w:after="0"/>
        <w:ind w:left="1020" w:hanging="340"/>
      </w:pPr>
      <w:r>
        <w:t>установление связей с подразделением полицейской охраны общественного порядка, приютами и поставщиками услуг;</w:t>
      </w:r>
    </w:p>
    <w:p w:rsidR="00000000" w:rsidRDefault="00000000">
      <w:pPr>
        <w:numPr>
          <w:ilvl w:val="0"/>
          <w:numId w:val="473"/>
        </w:numPr>
        <w:spacing w:after="0"/>
        <w:ind w:left="1020" w:hanging="340"/>
      </w:pPr>
      <w:r>
        <w:t>осуществление программы информирования мужчин/программы поддержки;</w:t>
      </w:r>
    </w:p>
    <w:p w:rsidR="00000000" w:rsidRDefault="00000000">
      <w:pPr>
        <w:numPr>
          <w:ilvl w:val="0"/>
          <w:numId w:val="473"/>
        </w:numPr>
        <w:spacing w:after="0"/>
        <w:ind w:left="1020" w:hanging="340"/>
      </w:pPr>
      <w:r>
        <w:t>сбор и анализ данных о бытовом насилии и создание целевой группы/комитета по разработке национальной политики в области сбора данных о насилии в семье;</w:t>
      </w:r>
    </w:p>
    <w:p w:rsidR="00000000" w:rsidRDefault="00000000">
      <w:pPr>
        <w:numPr>
          <w:ilvl w:val="0"/>
          <w:numId w:val="473"/>
        </w:numPr>
        <w:spacing w:after="0"/>
        <w:ind w:left="1020" w:hanging="340"/>
      </w:pPr>
      <w:r>
        <w:t>осуществление программы широкого информирования общественности, включая издание методических руководств, информационных бюллетеней, плакатов и брошюр, распространяемых в разных учреждениях; и</w:t>
      </w:r>
    </w:p>
    <w:p w:rsidR="00000000" w:rsidRDefault="00000000">
      <w:pPr>
        <w:numPr>
          <w:ilvl w:val="0"/>
          <w:numId w:val="473"/>
        </w:numPr>
        <w:spacing w:after="0"/>
        <w:ind w:left="1020" w:hanging="340"/>
      </w:pPr>
      <w:r>
        <w:t>создание группы оказания поддержки мужчинам и женщинам, ставшим жертвами насилия в семье.</w:t>
      </w:r>
    </w:p>
    <w:p w:rsidR="00000000" w:rsidRDefault="00000000">
      <w:r>
        <w:t>96.</w:t>
      </w:r>
      <w:r>
        <w:tab/>
        <w:t xml:space="preserve">Что касается ресоциализации поведения и взаимоотношений в обществе с учетом гендерного фактора, то Отдел гендерных проблем определил препятствия на пути изменения традиционного отношения мужчин, женщин и детей к вопросам гендерного равенства как барьеры на пути достижения равноправия, обусловленные существующими в обществе нормами поведения и традициями. Отдел планирует оказывать поддержку и поощрять положительное отношение к ликвидации неравенства не только по признаку пола, но и по признакам расовой, возрастной, религиозной принадлежности и степени нетрудоспособности. Отделом реализуются следующие программы и проекты: </w:t>
      </w:r>
    </w:p>
    <w:p w:rsidR="00000000" w:rsidRDefault="00000000">
      <w:pPr>
        <w:numPr>
          <w:ilvl w:val="0"/>
          <w:numId w:val="474"/>
        </w:numPr>
        <w:spacing w:after="0"/>
      </w:pPr>
      <w:r>
        <w:t xml:space="preserve">создание и работа Института по вопросам руководящей роли женщин и повышения их статуса; </w:t>
      </w:r>
    </w:p>
    <w:p w:rsidR="00000000" w:rsidRDefault="00000000">
      <w:pPr>
        <w:numPr>
          <w:ilvl w:val="0"/>
          <w:numId w:val="474"/>
        </w:numPr>
        <w:spacing w:after="0"/>
      </w:pPr>
      <w:r>
        <w:t>подготовка программы "Пол и развитие" и ознакомление с нею (эта программа помимо широкой общественности адресована государственным, неправительственным и общественным организациям);</w:t>
      </w:r>
    </w:p>
    <w:p w:rsidR="00000000" w:rsidRDefault="00000000">
      <w:pPr>
        <w:numPr>
          <w:ilvl w:val="0"/>
          <w:numId w:val="474"/>
        </w:numPr>
        <w:spacing w:after="0"/>
      </w:pPr>
      <w:r>
        <w:t>региональная программа нетрадиционной подготовки женщин, финансируемая Межамериканским банком развития и за счет дополнительных средств, поступающих от правительств Белиза, Ямайки, Гайаны и Тринидада и Тобаго;</w:t>
      </w:r>
    </w:p>
    <w:p w:rsidR="00000000" w:rsidRDefault="00000000">
      <w:pPr>
        <w:numPr>
          <w:ilvl w:val="0"/>
          <w:numId w:val="474"/>
        </w:numPr>
        <w:spacing w:after="0"/>
      </w:pPr>
      <w:r>
        <w:t>проведение программы оказания поддержки мужчинам в 2000 году Отделом гендерных проблем;</w:t>
      </w:r>
    </w:p>
    <w:p w:rsidR="00000000" w:rsidRDefault="00000000">
      <w:pPr>
        <w:numPr>
          <w:ilvl w:val="0"/>
          <w:numId w:val="474"/>
        </w:numPr>
        <w:spacing w:after="0"/>
      </w:pPr>
      <w:r>
        <w:t>разработка учитывающих гендерные аспекты статистических данных и показателей с упором на "стандартизацию и сбор статистических данных о насилии в семье";</w:t>
      </w:r>
    </w:p>
    <w:p w:rsidR="00000000" w:rsidRDefault="00000000">
      <w:pPr>
        <w:numPr>
          <w:ilvl w:val="0"/>
          <w:numId w:val="474"/>
        </w:numPr>
        <w:spacing w:after="0"/>
      </w:pPr>
      <w:r>
        <w:t>разработка национальной гендерной политики;</w:t>
      </w:r>
    </w:p>
    <w:p w:rsidR="00000000" w:rsidRDefault="00000000">
      <w:pPr>
        <w:numPr>
          <w:ilvl w:val="0"/>
          <w:numId w:val="474"/>
        </w:numPr>
        <w:spacing w:after="0"/>
      </w:pPr>
      <w:r>
        <w:t>проведение в качестве принимающей стороны конференций, консультаций и семинаров для рассмотрения особо важных гендерных проблем; и</w:t>
      </w:r>
    </w:p>
    <w:p w:rsidR="00000000" w:rsidRDefault="00000000">
      <w:pPr>
        <w:numPr>
          <w:ilvl w:val="0"/>
          <w:numId w:val="474"/>
        </w:numPr>
      </w:pPr>
      <w:r>
        <w:t>предоставление финансовой и технической помощи общественным организациям.</w:t>
      </w:r>
    </w:p>
    <w:p w:rsidR="00000000" w:rsidRDefault="00000000">
      <w:r>
        <w:t>97.</w:t>
      </w:r>
      <w:r>
        <w:tab/>
        <w:t xml:space="preserve">В дополнение к этим инициативам в стране реализуются программы подготовки и повышения уровня осознания важности гендерных проблем, адресованные частному сектору, руководящим государственным служащим, включая министров правительства, и судейскому корпусу. К программам, которые начали осуществляться в самое последнее время, относятся рассчитанная на пять недель программа подготовки военнослужащих вооруженных сил. В этих целях были выпущены полное руководство по подготовке кадров с учетом гендерного фактора и учебный видеофильм по гендерной проблематике, а также реализовано несколько программ обучения инструкторов, призванных содействовать обучению с учетом гендерной проблематики. Были также приняты решительные меры по включению гендерной проблематики в национальную повестку дня. В результате возросло количество запросов от разных организаций на организацию подготовительных курсов, оказание содействия в проведении гендерного анализа и получении информации. </w:t>
      </w:r>
    </w:p>
    <w:p w:rsidR="00000000" w:rsidRDefault="00000000">
      <w:r>
        <w:t>98.</w:t>
      </w:r>
      <w:r>
        <w:tab/>
        <w:t>Отдел гендерных проблем тоже вносит свой вклад во внедрение гендерного аспекта в процесс формирования политики, принимая участие в деятельности ряда национальных комитетов, среди которых:</w:t>
      </w:r>
    </w:p>
    <w:p w:rsidR="00000000" w:rsidRDefault="00000000">
      <w:pPr>
        <w:numPr>
          <w:ilvl w:val="0"/>
          <w:numId w:val="475"/>
        </w:numPr>
        <w:spacing w:after="0"/>
      </w:pPr>
      <w:r>
        <w:t>Национальная молодежная целевая группа;</w:t>
      </w:r>
    </w:p>
    <w:p w:rsidR="00000000" w:rsidRDefault="00000000">
      <w:pPr>
        <w:numPr>
          <w:ilvl w:val="0"/>
          <w:numId w:val="475"/>
        </w:numPr>
        <w:spacing w:after="0"/>
      </w:pPr>
      <w:r>
        <w:t>Целевая группа по совершенствованию процесса образования и разработке учебных планов;</w:t>
      </w:r>
    </w:p>
    <w:p w:rsidR="00000000" w:rsidRDefault="00000000">
      <w:pPr>
        <w:numPr>
          <w:ilvl w:val="0"/>
          <w:numId w:val="475"/>
        </w:numPr>
        <w:spacing w:after="0"/>
      </w:pPr>
      <w:r>
        <w:t>Руководящий комитет сети женщин – сельскохозяйственных производителей;</w:t>
      </w:r>
    </w:p>
    <w:p w:rsidR="00000000" w:rsidRDefault="00000000">
      <w:pPr>
        <w:numPr>
          <w:ilvl w:val="0"/>
          <w:numId w:val="475"/>
        </w:numPr>
        <w:spacing w:after="0"/>
      </w:pPr>
      <w:r>
        <w:t>Спасите молодежь в маргинализованных общинах;</w:t>
      </w:r>
    </w:p>
    <w:p w:rsidR="00000000" w:rsidRDefault="00000000">
      <w:pPr>
        <w:numPr>
          <w:ilvl w:val="0"/>
          <w:numId w:val="475"/>
        </w:numPr>
        <w:spacing w:after="0"/>
      </w:pPr>
      <w:r>
        <w:t>Комитет по выполнению национального плана действий для детей, оказавшихся в трудных обстоятельствах;</w:t>
      </w:r>
    </w:p>
    <w:p w:rsidR="00000000" w:rsidRDefault="00000000">
      <w:pPr>
        <w:numPr>
          <w:ilvl w:val="0"/>
          <w:numId w:val="475"/>
        </w:numPr>
        <w:spacing w:after="0"/>
      </w:pPr>
      <w:r>
        <w:t>Технико-консультативный комитет по подсчету объема неоплачиваемой работы;</w:t>
      </w:r>
    </w:p>
    <w:p w:rsidR="00000000" w:rsidRDefault="00000000">
      <w:pPr>
        <w:numPr>
          <w:ilvl w:val="0"/>
          <w:numId w:val="475"/>
        </w:numPr>
        <w:spacing w:after="0"/>
      </w:pPr>
      <w:r>
        <w:t>Технико-консультативный комитет по переписи населения и жилья в 2000 году;</w:t>
      </w:r>
    </w:p>
    <w:p w:rsidR="00000000" w:rsidRDefault="00000000">
      <w:pPr>
        <w:numPr>
          <w:ilvl w:val="0"/>
          <w:numId w:val="475"/>
        </w:numPr>
        <w:spacing w:after="0"/>
      </w:pPr>
      <w:r>
        <w:t>Национальный комитет по вопросам преступности;</w:t>
      </w:r>
    </w:p>
    <w:p w:rsidR="00000000" w:rsidRDefault="00000000">
      <w:pPr>
        <w:numPr>
          <w:ilvl w:val="0"/>
          <w:numId w:val="475"/>
        </w:numPr>
        <w:spacing w:after="0"/>
      </w:pPr>
      <w:r>
        <w:t>Специальный национальный комитет по пересмотру закона о насилии в семье;</w:t>
      </w:r>
    </w:p>
    <w:p w:rsidR="00000000" w:rsidRDefault="00000000">
      <w:pPr>
        <w:numPr>
          <w:ilvl w:val="0"/>
          <w:numId w:val="475"/>
        </w:numPr>
      </w:pPr>
      <w:r>
        <w:t>Национальный комитет служб по делам семьи.</w:t>
      </w:r>
    </w:p>
    <w:p w:rsidR="00000000" w:rsidRDefault="00000000">
      <w:r>
        <w:t>99. Кроме того, Национальная ассамблея Тобаго является получателем средств от Канадского представительства Высокой комиссии, предназначенных для включения гендерного аспекта в основные направления политики. Главной задачей этой консультативной работы является катализация процесса достижения равенства и равноправия между мужчинами и женщинами на Тобаго путем планирования и проведения серии семинаров по гендерным вопросам в целях создания отвечающей нынешней ситуации системы управления гендерными проблемами (</w:t>
      </w:r>
      <w:r>
        <w:rPr>
          <w:lang w:val="en-US"/>
        </w:rPr>
        <w:t>GMS</w:t>
      </w:r>
      <w:r>
        <w:t>). Такую подготовку будут проходить в основном государственные служащие, представители некоммерческих добровольных и местных организаций и групп. К</w:t>
      </w:r>
      <w:r>
        <w:rPr>
          <w:lang w:val="en-US"/>
        </w:rPr>
        <w:t> </w:t>
      </w:r>
      <w:r>
        <w:t>конкретным задачам проведения этих консультаций относятся:</w:t>
      </w:r>
    </w:p>
    <w:p w:rsidR="00000000" w:rsidRDefault="00000000">
      <w:pPr>
        <w:spacing w:after="120"/>
        <w:ind w:left="680" w:hanging="680"/>
      </w:pPr>
      <w:r>
        <w:tab/>
      </w:r>
      <w:r>
        <w:rPr>
          <w:lang w:val="en-US"/>
        </w:rPr>
        <w:t>i</w:t>
      </w:r>
      <w:r>
        <w:t>)</w:t>
      </w:r>
      <w:r>
        <w:tab/>
        <w:t>повышение уровня осознания важности гендерных проблем целевыми группами, поскольку это касается мужчин и женщин, участвующих в процессе национального развития;</w:t>
      </w:r>
    </w:p>
    <w:p w:rsidR="00000000" w:rsidRDefault="00000000">
      <w:pPr>
        <w:spacing w:after="120"/>
        <w:ind w:left="680" w:hanging="680"/>
      </w:pPr>
      <w:r>
        <w:tab/>
      </w:r>
      <w:r>
        <w:rPr>
          <w:lang w:val="en-US"/>
        </w:rPr>
        <w:t>ii</w:t>
      </w:r>
      <w:r>
        <w:t>)</w:t>
      </w:r>
      <w:r>
        <w:tab/>
        <w:t xml:space="preserve">ознакомление участников с Планом действий Содружества (1995 год) и демонстрация того, как содержащийся в нем политический аспект подкрепляет модель </w:t>
      </w:r>
      <w:r>
        <w:rPr>
          <w:lang w:val="en-US"/>
        </w:rPr>
        <w:t>GMS</w:t>
      </w:r>
      <w:r>
        <w:t xml:space="preserve">, разработанную Секретариатом Содружества, обслуживающего государства – члены Содружества; и </w:t>
      </w:r>
    </w:p>
    <w:p w:rsidR="00000000" w:rsidRDefault="00000000">
      <w:pPr>
        <w:ind w:left="680" w:hanging="680"/>
      </w:pPr>
      <w:r>
        <w:tab/>
      </w:r>
      <w:r>
        <w:rPr>
          <w:lang w:val="en-US"/>
        </w:rPr>
        <w:t>iii</w:t>
      </w:r>
      <w:r>
        <w:t>)</w:t>
      </w:r>
      <w:r>
        <w:tab/>
        <w:t xml:space="preserve">использование </w:t>
      </w:r>
      <w:r>
        <w:rPr>
          <w:lang w:val="en-US"/>
        </w:rPr>
        <w:t>GMS</w:t>
      </w:r>
      <w:r>
        <w:t xml:space="preserve"> и других связанных с ней методов и приемов гендерного анализа для того, чтобы выработать у участников умение делать гендерную проблематику составной частью их умения планировать, реализовывать, контролировать и оценивать государственную политику, программы и проекты и разрабатывать такую </w:t>
      </w:r>
      <w:r>
        <w:rPr>
          <w:lang w:val="en-US"/>
        </w:rPr>
        <w:t>GMS</w:t>
      </w:r>
      <w:r>
        <w:t xml:space="preserve">, которая наилучшим образом отвечала бы обстановке на Тобаго. </w:t>
      </w:r>
    </w:p>
    <w:p w:rsidR="00000000" w:rsidRDefault="00000000">
      <w:r>
        <w:t>100.</w:t>
      </w:r>
      <w:r>
        <w:tab/>
        <w:t>В 1996 году Кабинет одобрил создание Национального совета по делам женщин (НСЖ). Этот орган, в состав которого входят защитники прав женщин из низовых, частных и неправительственных организаций, консультирует Отдел гендерных проблем по основным вопросам, которые должны быть учтены при разработке политики дальнейшего развития женщин. Однако этот орган не функционировал на оптимальном уровне прежде всего потому, что гендерные проблемы являются далеко не основными для многих организаций, которых представляют его члены.</w:t>
      </w:r>
    </w:p>
    <w:p w:rsidR="00000000" w:rsidRDefault="00000000">
      <w:r>
        <w:t>101.</w:t>
      </w:r>
      <w:r>
        <w:tab/>
        <w:t xml:space="preserve">Несмотря на то что Отдел гендерных проблем активно занимается внедрением в сознание людей значения гендерного фактора в их жизни (ресоциализация) и предупреждением насилия в семье, по-прежнему в значительной степени ощущается недостаточность распространяемой информации и ресурсов для осуществления программ в этой и связанных с ней областях. А это подрывает их потенциальные эффективность и влияние. </w:t>
      </w:r>
    </w:p>
    <w:p w:rsidR="00000000" w:rsidRDefault="00000000">
      <w:pPr>
        <w:pStyle w:val="Heading3"/>
      </w:pPr>
      <w:r>
        <w:t>Статья 4</w:t>
      </w:r>
    </w:p>
    <w:p w:rsidR="00000000" w:rsidRDefault="00000000">
      <w:r>
        <w:t>102.</w:t>
      </w:r>
      <w:r>
        <w:tab/>
        <w:t xml:space="preserve">В Тринидаде и Тобаго нет таких политических документов, руководств или иных установлений, которые предусматривали бы конструктивные действия в отношении женщин. Не существует никаких преференциальных режимов или систем квот, которыми могли бы воспользоваться женщины, за исключением оплачиваемого отпуска по беременности и родам. </w:t>
      </w:r>
    </w:p>
    <w:p w:rsidR="00000000" w:rsidRDefault="00000000">
      <w:r>
        <w:t>103.</w:t>
      </w:r>
      <w:r>
        <w:tab/>
        <w:t>Закон об охране материнства № 4 1998 года был принят в целях предупреждения дискриминации женщин на основании беременности путем установления минимального уровня оплаты отпуска по беременности и родам и защиты. В соответствии с разделом 5 этого закона он не применяется в тех случаях, когда каким-либо письменным законодательным актом, решением по данной отрасли или коллективным договором не предусматриваются более благоприятные условия, чем указанные в упомянутом законе. Это единственное ограничение, содержащееся в данном законе, во всем остальном он применим ко всем работающим женщинам, за исключением женщин – членов парламента. В</w:t>
      </w:r>
      <w:r>
        <w:rPr>
          <w:color w:val="FF0000"/>
        </w:rPr>
        <w:t xml:space="preserve"> </w:t>
      </w:r>
      <w:r>
        <w:t>разделе 7 устанавливается, что каждая работница имеет право на отпуск по беременности и родам, который оплачивается в полном размере. В соответствии с разделом 9 (1) этого закона каждая работница имеет право на 13 недель отпуска по беременности и родам. Она может уйти в отпуск за шесть недель до предполагаемой даты родов или в любой из последующих дней по усмотрению работодателя и должна вернуться на работу не позднее чем через 13 недель со дня ухода в отпуск. В разделе 10 предусматривается, что работодатель может по медицинским причинам продлить ее отсутствие на период, превышающий 13 недель, но не более чем на 12 недель с того дня, когда она должна была вернуться на работу. При этом работница должна представить медицинское свидетельство и уведомление, в котором она сообщает работодателю о предполагаемой дате возвращения. Первые шесть недель периода продления отпуска оплачиваются в половинном размере, а остальные шесть недель не оплачиваются. Кроме того, работодатель может отсрочить ее возвращение на работу не по медицинским причинам не более чем на четыре недели по окончании первых 13 недель ее отпуска, при условии, что она направит своему работодателю уведомление, в котором назовет причину невозможности ее возвращения на работу и предполагаемую дату возвращения.</w:t>
      </w:r>
    </w:p>
    <w:p w:rsidR="00000000" w:rsidRDefault="00000000">
      <w:r>
        <w:t>104.</w:t>
      </w:r>
      <w:r>
        <w:tab/>
        <w:t xml:space="preserve">Охрана материнства обеспечивается и другими законодательными актами, к которым относятся: распоряжение о государственной минимальной заработной плате 1998 года; раздел 48 положения об образовании (преподавательская служба) и положения об образовании (субсидируемый отпуск по беременности и родам учителей средней школы). В соответствии с законом о минимальной заработной плате, глава 88:04, положения об отпуске по беременности и родам должны быть включены как одно из основных условий выполнения распоряжения о минимальной заработной плате. К настоящему времени выполнено пять распоряжений о минимальной заработной плате, а также распоряжение о государственной минимальной заработной плате. И каждое из них содержало положения об отпуске по беременности и родам, за исключением распоряжения о минимальной заработной плате (помощники по хозяйству) 1979 года, которое было заменено распоряжением о минимальной заработной плате 1991 года. В распоряжение 1991 года были внесены положения об отпуске по беременности и родам и для этой категории работников. </w:t>
      </w:r>
    </w:p>
    <w:p w:rsidR="00000000" w:rsidRDefault="00000000">
      <w:r>
        <w:t>105.</w:t>
      </w:r>
      <w:r>
        <w:tab/>
        <w:t>В отношении занятости следует отметить, что, несмотря на отсутствие политики конструктивных действий, проводимая через Министерство труда и кооперативов политика правительства гарантирует право всех работающих на равное вознаграждение, в том числе на пособия и одинаковый подход к работе равной ценности, а также равный подход к оценке работы и право на охрану здоровья и безопасные условия труда, в том числе охрану репродуктивного здоровья. В этих целях в апреле 1997 года правительство ратифицировало Международную конвенцию о равном вознаграждении мужчин и женщин за труд равной ценности № 100. Правительство также внесло на рассмотрение законопроект об охране труда и здоровья (№ 2) 1999 года в целях пересмотра действующих законов о безопасности, охране здоровья и социальном обеспечении работающих, с тем чтобы обеспечить защиту всех работающих, а не только занятых в промышленном производстве.</w:t>
      </w:r>
    </w:p>
    <w:p w:rsidR="00000000" w:rsidRDefault="00000000">
      <w:r>
        <w:t>106.</w:t>
      </w:r>
      <w:r>
        <w:rPr>
          <w:lang w:val="en-US"/>
        </w:rPr>
        <w:tab/>
      </w:r>
      <w:r>
        <w:t>В законе о работе магазинов (начало и продолжительность рабочего дня) №</w:t>
      </w:r>
      <w:r>
        <w:rPr>
          <w:lang w:val="en-US"/>
        </w:rPr>
        <w:t> </w:t>
      </w:r>
      <w:r>
        <w:t>6 1938</w:t>
      </w:r>
      <w:r>
        <w:rPr>
          <w:lang w:val="en-US"/>
        </w:rPr>
        <w:t> </w:t>
      </w:r>
      <w:r>
        <w:t>года предусматривается, что в "помещениях магазина, где работают женщины-продавцы, владелец магазина должен обеспечить сидячие места за прилавком или работу в таком положении, которое подходит для этих целей, и таких мест должно быть не менее одного на каждых трех женщин-продавцов в каждом помещении, при этом в каждом помещении должно быть одно место как минимум".</w:t>
      </w:r>
    </w:p>
    <w:p w:rsidR="00000000" w:rsidRDefault="00000000">
      <w:pPr>
        <w:pStyle w:val="Heading3"/>
      </w:pPr>
      <w:r>
        <w:t>Статья 5</w:t>
      </w:r>
    </w:p>
    <w:p w:rsidR="00000000" w:rsidRDefault="00000000">
      <w:r>
        <w:t>107.</w:t>
      </w:r>
      <w:r>
        <w:tab/>
        <w:t xml:space="preserve">Признанный в Конвенции принцип равенства мужчин и женщин закреплен в Конституции Тринидада и Тобаго. В действительности, однако, продолжают существовать укоренившиеся взгляды и практика, способствующие продолжению насилия, имеющего гендерную основу. По-прежнему сильны и трудно поддаются изменению патриархальное мировоззрение и представление о мужском превосходстве. Несмотря на принимаемые законы и меры по борьбе с таким положением, нелегко добиться сдвига в социологических основах гендерного неравенства. Одним из примеров является представление о мужчине как добытчике, кормильце и – в расширительном смысле – главе семьи. Но наряду с этим сохраняющимся представлением о роли мужчины женщины на деле обеспечивают больший доход в значительном числе домохозяйств, где главой является женщина, и в домохозяйствах с семьями нуклеарного типа. В ряде случаев сдвиги такого рода заметно подрывают власть в семье, воспринимаемую как незыблемую мужчиной, и в попытке восстановить эту власть он совершает поступки, которые могут быть насилием или оскорблением. Во многих случаях имеется осознанное понимание гендерных проблем, но при этом нет реального намерения изменить манеру поведения. Это явление характерно для всех слоев общества, представляет собой самую большую проблему и препятствует включению гендерного аспекта в повестку дня национального развития. </w:t>
      </w:r>
    </w:p>
    <w:p w:rsidR="00000000" w:rsidRDefault="00000000">
      <w:r>
        <w:t>108.</w:t>
      </w:r>
      <w:r>
        <w:tab/>
        <w:t>Хотя и нет никаких сообщений о существовании системы выплаты приданого, отказа от жены, покупки невесты или калечащих операций на женских половых органах, насилие в отношении женщин продолжает вызывать тревогу. Статистические данные свидетельствуют о том, что за период с августа 1991 года по апрель 1994 года, то есть за первые четыре года после принятия в 1991 году закона о насилии в семье, было подано 8297 ходатайств о выдаче охранных судебных приказов. И в 3258 случаях такие приказы были выданы. Эти статистические данные приводились в обследовании 1994 года, проведенном по поручению Коалиции против насилия в семье.</w:t>
      </w:r>
    </w:p>
    <w:p w:rsidR="00000000" w:rsidRDefault="00000000">
      <w:r>
        <w:t>109.</w:t>
      </w:r>
      <w:r>
        <w:tab/>
        <w:t>Мнение о том, что насилие в целом и насилие, имеющее гендерную основу, в частности широко распространены в Тринидаде и Тобаго, нашло свое отражение в данных, полученных в результате обследования, проведенного Карибской ассоциацией феминистских исследований и деятельности (</w:t>
      </w:r>
      <w:r>
        <w:rPr>
          <w:lang w:val="en-US"/>
        </w:rPr>
        <w:t>CAFRA</w:t>
      </w:r>
      <w:r>
        <w:t>) в 1998</w:t>
      </w:r>
      <w:r>
        <w:rPr>
          <w:lang w:val="en-US"/>
        </w:rPr>
        <w:t> </w:t>
      </w:r>
      <w:r>
        <w:t>году. Результаты этого обследования свидетельствуют о том, что из 200 женщин, выборочно опрошенных на Тринидаде, 84</w:t>
      </w:r>
      <w:r>
        <w:rPr>
          <w:lang w:val="en-US"/>
        </w:rPr>
        <w:t> </w:t>
      </w:r>
      <w:r>
        <w:t xml:space="preserve">процента придерживались мнения, что насилие в отношении женщин очень широко распространено в этой стране. </w:t>
      </w:r>
    </w:p>
    <w:p w:rsidR="00000000" w:rsidRDefault="00000000">
      <w:r>
        <w:t>110.</w:t>
      </w:r>
      <w:r>
        <w:tab/>
        <w:t xml:space="preserve">Принятие таких законов, как закон о половых преступлениях 1986 года </w:t>
      </w:r>
      <w:r>
        <w:rPr>
          <w:lang w:val="en-US"/>
        </w:rPr>
        <w:t>[</w:t>
      </w:r>
      <w:r>
        <w:t>который был изменен законом о половых преступлениях (поправка) № 31 2000 года</w:t>
      </w:r>
      <w:r>
        <w:rPr>
          <w:lang w:val="en-US"/>
        </w:rPr>
        <w:t>]</w:t>
      </w:r>
      <w:r>
        <w:t xml:space="preserve"> и закон о насилии в семье 1991 года (который был отменен и заменен новым законом о насилии в семье № 27 1999 года), дало Центральному статистическому управлению возможность целенаправленно собирать и сопоставлять статистические данные о преступности в области гендерного насилия. Однако деятельность этого Управления имеет весьма ограниченный эффект, потому что используемые им показатели основываются на имеющих криминальный характер определениях и понимании данной проблемы и на данных, как правило, не разбитых по признаку пола. Кроме того, криминальная статистика не отражает, например, число женщин, убитых мужчинами (или наоборот), несмотря на тот факт, что убийство супругом(ой) – нередкое явление в стране, как о том свидетельствуют статистические данные, предоставленные Министерством национальной безопасности:</w:t>
      </w:r>
    </w:p>
    <w:p w:rsidR="00000000" w:rsidRDefault="00000000">
      <w:pPr>
        <w:spacing w:after="0"/>
      </w:pPr>
      <w:r>
        <w:rPr>
          <w:b/>
          <w:lang w:val="en-US"/>
        </w:rPr>
        <w:tab/>
      </w:r>
      <w:r>
        <w:rPr>
          <w:b/>
          <w:lang w:val="en-US"/>
        </w:rPr>
        <w:tab/>
      </w:r>
      <w:r>
        <w:rPr>
          <w:b/>
        </w:rPr>
        <w:t>Число убийств, совершенных путем насилия в семье , 1990–1995 годы</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79"/>
        <w:gridCol w:w="4479"/>
      </w:tblGrid>
      <w:tr w:rsidR="00000000">
        <w:tblPrEx>
          <w:tblCellMar>
            <w:top w:w="0" w:type="dxa"/>
            <w:left w:w="0" w:type="dxa"/>
            <w:bottom w:w="0" w:type="dxa"/>
            <w:right w:w="0" w:type="dxa"/>
          </w:tblCellMar>
        </w:tblPrEx>
        <w:tc>
          <w:tcPr>
            <w:tcW w:w="4479" w:type="dxa"/>
          </w:tcPr>
          <w:p w:rsidR="00000000" w:rsidRDefault="00000000">
            <w:pPr>
              <w:spacing w:before="120" w:after="0" w:line="240" w:lineRule="auto"/>
              <w:jc w:val="center"/>
              <w:rPr>
                <w:rFonts w:ascii="Arial" w:hAnsi="Arial"/>
                <w:sz w:val="16"/>
              </w:rPr>
            </w:pPr>
            <w:r>
              <w:rPr>
                <w:rFonts w:ascii="Arial" w:hAnsi="Arial"/>
                <w:sz w:val="16"/>
              </w:rPr>
              <w:t>Год</w:t>
            </w:r>
          </w:p>
        </w:tc>
        <w:tc>
          <w:tcPr>
            <w:tcW w:w="4479" w:type="dxa"/>
          </w:tcPr>
          <w:p w:rsidR="00000000" w:rsidRDefault="00000000">
            <w:pPr>
              <w:spacing w:before="120" w:after="0" w:line="240" w:lineRule="auto"/>
              <w:jc w:val="center"/>
              <w:rPr>
                <w:rFonts w:ascii="Arial" w:hAnsi="Arial"/>
                <w:sz w:val="16"/>
              </w:rPr>
            </w:pPr>
            <w:r>
              <w:rPr>
                <w:rFonts w:ascii="Arial" w:hAnsi="Arial"/>
                <w:sz w:val="16"/>
              </w:rPr>
              <w:t>Общее число совершенных убийств</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sz w:val="16"/>
              </w:rPr>
            </w:pPr>
            <w:r>
              <w:rPr>
                <w:rFonts w:ascii="Arial" w:hAnsi="Arial"/>
                <w:sz w:val="16"/>
              </w:rPr>
              <w:t>1990</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sz w:val="16"/>
              </w:rPr>
            </w:pPr>
            <w:r>
              <w:rPr>
                <w:rFonts w:ascii="Arial" w:hAnsi="Arial"/>
                <w:sz w:val="16"/>
              </w:rPr>
              <w:t>7</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sz w:val="16"/>
              </w:rPr>
            </w:pPr>
            <w:r>
              <w:rPr>
                <w:rFonts w:ascii="Arial" w:hAnsi="Arial"/>
                <w:sz w:val="16"/>
              </w:rPr>
              <w:t>1991</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sz w:val="16"/>
              </w:rPr>
            </w:pPr>
            <w:r>
              <w:rPr>
                <w:rFonts w:ascii="Arial" w:hAnsi="Arial"/>
                <w:sz w:val="16"/>
              </w:rPr>
              <w:t>7</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sz w:val="16"/>
              </w:rPr>
            </w:pPr>
            <w:r>
              <w:rPr>
                <w:rFonts w:ascii="Arial" w:hAnsi="Arial"/>
                <w:sz w:val="16"/>
              </w:rPr>
              <w:t>1992</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sz w:val="16"/>
              </w:rPr>
            </w:pPr>
            <w:r>
              <w:rPr>
                <w:rFonts w:ascii="Arial" w:hAnsi="Arial"/>
                <w:sz w:val="16"/>
              </w:rPr>
              <w:t>18</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sz w:val="16"/>
              </w:rPr>
            </w:pPr>
            <w:r>
              <w:rPr>
                <w:rFonts w:ascii="Arial" w:hAnsi="Arial"/>
                <w:sz w:val="16"/>
              </w:rPr>
              <w:t>1993</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sz w:val="16"/>
              </w:rPr>
            </w:pPr>
            <w:r>
              <w:rPr>
                <w:rFonts w:ascii="Arial" w:hAnsi="Arial"/>
                <w:sz w:val="16"/>
              </w:rPr>
              <w:t>15</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sz w:val="16"/>
              </w:rPr>
            </w:pPr>
            <w:r>
              <w:rPr>
                <w:rFonts w:ascii="Arial" w:hAnsi="Arial"/>
                <w:sz w:val="16"/>
              </w:rPr>
              <w:t>1994</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sz w:val="16"/>
              </w:rPr>
            </w:pPr>
            <w:r>
              <w:rPr>
                <w:rFonts w:ascii="Arial" w:hAnsi="Arial"/>
                <w:sz w:val="16"/>
              </w:rPr>
              <w:t>9</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sz w:val="16"/>
              </w:rPr>
            </w:pPr>
            <w:r>
              <w:rPr>
                <w:rFonts w:ascii="Arial" w:hAnsi="Arial"/>
                <w:sz w:val="16"/>
              </w:rPr>
              <w:t>1995</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sz w:val="16"/>
              </w:rPr>
            </w:pPr>
            <w:r>
              <w:rPr>
                <w:rFonts w:ascii="Arial" w:hAnsi="Arial"/>
                <w:sz w:val="16"/>
              </w:rPr>
              <w:t>18</w:t>
            </w:r>
          </w:p>
        </w:tc>
      </w:tr>
      <w:tr w:rsidR="00000000">
        <w:tblPrEx>
          <w:tblCellMar>
            <w:top w:w="0" w:type="dxa"/>
            <w:left w:w="0" w:type="dxa"/>
            <w:bottom w:w="0" w:type="dxa"/>
            <w:right w:w="0" w:type="dxa"/>
          </w:tblCellMar>
        </w:tblPrEx>
        <w:tc>
          <w:tcPr>
            <w:tcW w:w="4479" w:type="dxa"/>
          </w:tcPr>
          <w:p w:rsidR="00000000" w:rsidRDefault="00000000">
            <w:pPr>
              <w:spacing w:before="80" w:after="0" w:line="240" w:lineRule="auto"/>
              <w:jc w:val="center"/>
              <w:rPr>
                <w:rFonts w:ascii="Arial" w:hAnsi="Arial"/>
                <w:b/>
                <w:sz w:val="16"/>
              </w:rPr>
            </w:pPr>
            <w:r>
              <w:rPr>
                <w:rFonts w:ascii="Arial" w:hAnsi="Arial"/>
                <w:b/>
                <w:sz w:val="16"/>
              </w:rPr>
              <w:t>ВСЕГО:</w:t>
            </w:r>
          </w:p>
        </w:tc>
        <w:tc>
          <w:tcPr>
            <w:tcW w:w="4479" w:type="dxa"/>
          </w:tcPr>
          <w:p w:rsidR="00000000" w:rsidRDefault="00000000">
            <w:pPr>
              <w:tabs>
                <w:tab w:val="clear" w:pos="340"/>
                <w:tab w:val="clear" w:pos="680"/>
                <w:tab w:val="decimal" w:pos="2268"/>
              </w:tabs>
              <w:spacing w:before="80" w:after="0" w:line="240" w:lineRule="auto"/>
              <w:jc w:val="left"/>
              <w:rPr>
                <w:rFonts w:ascii="Arial" w:hAnsi="Arial"/>
                <w:b/>
                <w:sz w:val="16"/>
              </w:rPr>
            </w:pPr>
            <w:r>
              <w:rPr>
                <w:rFonts w:ascii="Arial" w:hAnsi="Arial"/>
                <w:b/>
                <w:sz w:val="16"/>
              </w:rPr>
              <w:t>74</w:t>
            </w:r>
          </w:p>
        </w:tc>
      </w:tr>
    </w:tbl>
    <w:p w:rsidR="00000000" w:rsidRDefault="00000000">
      <w:pPr>
        <w:spacing w:before="240" w:after="0"/>
      </w:pPr>
      <w:r>
        <w:rPr>
          <w:b/>
          <w:lang w:val="en-US"/>
        </w:rPr>
        <w:tab/>
      </w:r>
      <w:r>
        <w:rPr>
          <w:b/>
          <w:lang w:val="en-US"/>
        </w:rPr>
        <w:tab/>
      </w:r>
      <w:r>
        <w:rPr>
          <w:b/>
        </w:rPr>
        <w:t>Число убийств в Тринидаде и Тобаго как следствие насилия в семье, 1996–1998 годы</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47"/>
        <w:gridCol w:w="1871"/>
        <w:gridCol w:w="1871"/>
        <w:gridCol w:w="1985"/>
        <w:gridCol w:w="1985"/>
      </w:tblGrid>
      <w:tr w:rsidR="00000000">
        <w:tblPrEx>
          <w:tblCellMar>
            <w:top w:w="0" w:type="dxa"/>
            <w:left w:w="0" w:type="dxa"/>
            <w:bottom w:w="0" w:type="dxa"/>
            <w:right w:w="0" w:type="dxa"/>
          </w:tblCellMar>
        </w:tblPrEx>
        <w:tc>
          <w:tcPr>
            <w:tcW w:w="1247" w:type="dxa"/>
          </w:tcPr>
          <w:p w:rsidR="00000000" w:rsidRDefault="00000000">
            <w:pPr>
              <w:spacing w:before="120" w:after="0" w:line="240" w:lineRule="auto"/>
              <w:jc w:val="center"/>
              <w:rPr>
                <w:rFonts w:ascii="Arial" w:hAnsi="Arial"/>
                <w:sz w:val="16"/>
              </w:rPr>
            </w:pPr>
            <w:r>
              <w:rPr>
                <w:rFonts w:ascii="Arial" w:hAnsi="Arial"/>
                <w:sz w:val="16"/>
              </w:rPr>
              <w:t>Год</w:t>
            </w:r>
          </w:p>
        </w:tc>
        <w:tc>
          <w:tcPr>
            <w:tcW w:w="1871" w:type="dxa"/>
          </w:tcPr>
          <w:p w:rsidR="00000000" w:rsidRDefault="00000000">
            <w:pPr>
              <w:spacing w:before="120" w:after="0" w:line="240" w:lineRule="auto"/>
              <w:jc w:val="center"/>
              <w:rPr>
                <w:rFonts w:ascii="Arial" w:hAnsi="Arial"/>
                <w:sz w:val="16"/>
              </w:rPr>
            </w:pPr>
            <w:r>
              <w:rPr>
                <w:rFonts w:ascii="Arial" w:hAnsi="Arial"/>
                <w:sz w:val="16"/>
              </w:rPr>
              <w:t>Число убийств</w:t>
            </w:r>
          </w:p>
        </w:tc>
        <w:tc>
          <w:tcPr>
            <w:tcW w:w="1871" w:type="dxa"/>
          </w:tcPr>
          <w:p w:rsidR="00000000" w:rsidRDefault="00000000">
            <w:pPr>
              <w:spacing w:before="120" w:after="0" w:line="240" w:lineRule="auto"/>
              <w:jc w:val="center"/>
              <w:rPr>
                <w:rFonts w:ascii="Arial" w:hAnsi="Arial"/>
                <w:sz w:val="16"/>
              </w:rPr>
            </w:pPr>
            <w:r>
              <w:rPr>
                <w:rFonts w:ascii="Arial" w:hAnsi="Arial"/>
                <w:sz w:val="16"/>
              </w:rPr>
              <w:t xml:space="preserve">Женщины, </w:t>
            </w:r>
            <w:r>
              <w:rPr>
                <w:rFonts w:ascii="Arial" w:hAnsi="Arial"/>
                <w:sz w:val="16"/>
              </w:rPr>
              <w:br/>
              <w:t>%</w:t>
            </w:r>
          </w:p>
        </w:tc>
        <w:tc>
          <w:tcPr>
            <w:tcW w:w="1985" w:type="dxa"/>
          </w:tcPr>
          <w:p w:rsidR="00000000" w:rsidRDefault="00000000">
            <w:pPr>
              <w:spacing w:before="120" w:after="0" w:line="240" w:lineRule="auto"/>
              <w:jc w:val="center"/>
              <w:rPr>
                <w:rFonts w:ascii="Arial" w:hAnsi="Arial"/>
                <w:sz w:val="16"/>
              </w:rPr>
            </w:pPr>
            <w:r>
              <w:rPr>
                <w:rFonts w:ascii="Arial" w:hAnsi="Arial"/>
                <w:sz w:val="16"/>
              </w:rPr>
              <w:t>Женщины</w:t>
            </w:r>
            <w:r>
              <w:rPr>
                <w:rFonts w:ascii="Arial" w:hAnsi="Arial"/>
                <w:sz w:val="16"/>
                <w:lang w:val="en-US"/>
              </w:rPr>
              <w:t>-</w:t>
            </w:r>
            <w:r>
              <w:rPr>
                <w:rFonts w:ascii="Arial" w:hAnsi="Arial"/>
                <w:sz w:val="16"/>
              </w:rPr>
              <w:t xml:space="preserve">жены, </w:t>
            </w:r>
            <w:r>
              <w:rPr>
                <w:rFonts w:ascii="Arial" w:hAnsi="Arial"/>
                <w:sz w:val="16"/>
                <w:lang w:val="en-US"/>
              </w:rPr>
              <w:br/>
            </w:r>
            <w:r>
              <w:rPr>
                <w:rFonts w:ascii="Arial" w:hAnsi="Arial"/>
                <w:sz w:val="16"/>
              </w:rPr>
              <w:t>%</w:t>
            </w:r>
          </w:p>
        </w:tc>
        <w:tc>
          <w:tcPr>
            <w:tcW w:w="1985" w:type="dxa"/>
          </w:tcPr>
          <w:p w:rsidR="00000000" w:rsidRDefault="00000000">
            <w:pPr>
              <w:spacing w:before="120" w:after="0" w:line="240" w:lineRule="auto"/>
              <w:jc w:val="center"/>
              <w:rPr>
                <w:rFonts w:ascii="Arial" w:hAnsi="Arial"/>
                <w:sz w:val="16"/>
              </w:rPr>
            </w:pPr>
            <w:r>
              <w:rPr>
                <w:rFonts w:ascii="Arial" w:hAnsi="Arial"/>
                <w:sz w:val="16"/>
              </w:rPr>
              <w:t xml:space="preserve">Преступники-мужчины, </w:t>
            </w:r>
            <w:r>
              <w:rPr>
                <w:rFonts w:ascii="Arial" w:hAnsi="Arial"/>
                <w:sz w:val="16"/>
                <w:lang w:val="en-US"/>
              </w:rPr>
              <w:br/>
            </w:r>
            <w:r>
              <w:rPr>
                <w:rFonts w:ascii="Arial" w:hAnsi="Arial"/>
                <w:sz w:val="16"/>
              </w:rPr>
              <w:t>%</w:t>
            </w:r>
          </w:p>
        </w:tc>
      </w:tr>
      <w:tr w:rsidR="00000000">
        <w:tblPrEx>
          <w:tblCellMar>
            <w:top w:w="0" w:type="dxa"/>
            <w:left w:w="0" w:type="dxa"/>
            <w:bottom w:w="0" w:type="dxa"/>
            <w:right w:w="0" w:type="dxa"/>
          </w:tblCellMar>
        </w:tblPrEx>
        <w:tc>
          <w:tcPr>
            <w:tcW w:w="1247" w:type="dxa"/>
          </w:tcPr>
          <w:p w:rsidR="00000000" w:rsidRDefault="00000000">
            <w:pPr>
              <w:spacing w:before="80" w:after="0" w:line="240" w:lineRule="auto"/>
              <w:jc w:val="center"/>
              <w:rPr>
                <w:rFonts w:ascii="Arial" w:hAnsi="Arial"/>
                <w:sz w:val="16"/>
              </w:rPr>
            </w:pPr>
            <w:r>
              <w:rPr>
                <w:rFonts w:ascii="Arial" w:hAnsi="Arial"/>
                <w:sz w:val="16"/>
              </w:rPr>
              <w:t>1996</w:t>
            </w:r>
          </w:p>
        </w:tc>
        <w:tc>
          <w:tcPr>
            <w:tcW w:w="1871" w:type="dxa"/>
          </w:tcPr>
          <w:p w:rsidR="00000000" w:rsidRDefault="00000000">
            <w:pPr>
              <w:spacing w:before="80" w:after="0" w:line="240" w:lineRule="auto"/>
              <w:jc w:val="center"/>
              <w:rPr>
                <w:rFonts w:ascii="Arial" w:hAnsi="Arial"/>
                <w:sz w:val="16"/>
              </w:rPr>
            </w:pPr>
            <w:r>
              <w:rPr>
                <w:rFonts w:ascii="Arial" w:hAnsi="Arial"/>
                <w:sz w:val="16"/>
              </w:rPr>
              <w:t>16</w:t>
            </w:r>
          </w:p>
        </w:tc>
        <w:tc>
          <w:tcPr>
            <w:tcW w:w="1871" w:type="dxa"/>
          </w:tcPr>
          <w:p w:rsidR="00000000" w:rsidRDefault="00000000">
            <w:pPr>
              <w:tabs>
                <w:tab w:val="clear" w:pos="340"/>
                <w:tab w:val="clear" w:pos="680"/>
                <w:tab w:val="decimal" w:pos="1021"/>
              </w:tabs>
              <w:spacing w:before="80" w:after="0" w:line="240" w:lineRule="auto"/>
              <w:rPr>
                <w:rFonts w:ascii="Arial" w:hAnsi="Arial"/>
                <w:sz w:val="16"/>
              </w:rPr>
            </w:pPr>
            <w:r>
              <w:rPr>
                <w:rFonts w:ascii="Arial" w:hAnsi="Arial"/>
                <w:sz w:val="16"/>
              </w:rPr>
              <w:t>75</w:t>
            </w:r>
          </w:p>
        </w:tc>
        <w:tc>
          <w:tcPr>
            <w:tcW w:w="1985" w:type="dxa"/>
          </w:tcPr>
          <w:p w:rsidR="00000000" w:rsidRDefault="00000000">
            <w:pPr>
              <w:tabs>
                <w:tab w:val="clear" w:pos="340"/>
                <w:tab w:val="clear" w:pos="680"/>
                <w:tab w:val="decimal" w:pos="1021"/>
              </w:tabs>
              <w:spacing w:before="80" w:after="0" w:line="240" w:lineRule="auto"/>
              <w:rPr>
                <w:rFonts w:ascii="Arial" w:hAnsi="Arial"/>
                <w:sz w:val="16"/>
              </w:rPr>
            </w:pPr>
            <w:r>
              <w:rPr>
                <w:rFonts w:ascii="Arial" w:hAnsi="Arial"/>
                <w:sz w:val="16"/>
              </w:rPr>
              <w:t>50</w:t>
            </w:r>
          </w:p>
        </w:tc>
        <w:tc>
          <w:tcPr>
            <w:tcW w:w="1985" w:type="dxa"/>
          </w:tcPr>
          <w:p w:rsidR="00000000" w:rsidRDefault="00000000">
            <w:pPr>
              <w:spacing w:before="80" w:after="0" w:line="240" w:lineRule="auto"/>
              <w:jc w:val="center"/>
              <w:rPr>
                <w:rFonts w:ascii="Arial" w:hAnsi="Arial"/>
                <w:sz w:val="16"/>
              </w:rPr>
            </w:pPr>
            <w:r>
              <w:rPr>
                <w:rFonts w:ascii="Arial" w:hAnsi="Arial"/>
                <w:sz w:val="16"/>
              </w:rPr>
              <w:t>87,5</w:t>
            </w:r>
          </w:p>
        </w:tc>
      </w:tr>
      <w:tr w:rsidR="00000000">
        <w:tblPrEx>
          <w:tblCellMar>
            <w:top w:w="0" w:type="dxa"/>
            <w:left w:w="0" w:type="dxa"/>
            <w:bottom w:w="0" w:type="dxa"/>
            <w:right w:w="0" w:type="dxa"/>
          </w:tblCellMar>
        </w:tblPrEx>
        <w:tc>
          <w:tcPr>
            <w:tcW w:w="1247" w:type="dxa"/>
          </w:tcPr>
          <w:p w:rsidR="00000000" w:rsidRDefault="00000000">
            <w:pPr>
              <w:spacing w:before="80" w:after="0" w:line="240" w:lineRule="auto"/>
              <w:jc w:val="center"/>
              <w:rPr>
                <w:rFonts w:ascii="Arial" w:hAnsi="Arial"/>
                <w:sz w:val="16"/>
              </w:rPr>
            </w:pPr>
            <w:r>
              <w:rPr>
                <w:rFonts w:ascii="Arial" w:hAnsi="Arial"/>
                <w:sz w:val="16"/>
              </w:rPr>
              <w:t>1997</w:t>
            </w:r>
          </w:p>
        </w:tc>
        <w:tc>
          <w:tcPr>
            <w:tcW w:w="1871" w:type="dxa"/>
          </w:tcPr>
          <w:p w:rsidR="00000000" w:rsidRDefault="00000000">
            <w:pPr>
              <w:spacing w:before="80" w:after="0" w:line="240" w:lineRule="auto"/>
              <w:jc w:val="center"/>
              <w:rPr>
                <w:rFonts w:ascii="Arial" w:hAnsi="Arial"/>
                <w:sz w:val="16"/>
              </w:rPr>
            </w:pPr>
            <w:r>
              <w:rPr>
                <w:rFonts w:ascii="Arial" w:hAnsi="Arial"/>
                <w:sz w:val="16"/>
              </w:rPr>
              <w:t>12</w:t>
            </w:r>
          </w:p>
        </w:tc>
        <w:tc>
          <w:tcPr>
            <w:tcW w:w="1871" w:type="dxa"/>
          </w:tcPr>
          <w:p w:rsidR="00000000" w:rsidRDefault="00000000">
            <w:pPr>
              <w:tabs>
                <w:tab w:val="clear" w:pos="340"/>
                <w:tab w:val="clear" w:pos="680"/>
                <w:tab w:val="decimal" w:pos="1021"/>
              </w:tabs>
              <w:spacing w:before="80" w:after="0" w:line="240" w:lineRule="auto"/>
              <w:rPr>
                <w:rFonts w:ascii="Arial" w:hAnsi="Arial"/>
                <w:sz w:val="16"/>
              </w:rPr>
            </w:pPr>
            <w:r>
              <w:rPr>
                <w:rFonts w:ascii="Arial" w:hAnsi="Arial"/>
                <w:sz w:val="16"/>
              </w:rPr>
              <w:t>88,3</w:t>
            </w:r>
          </w:p>
        </w:tc>
        <w:tc>
          <w:tcPr>
            <w:tcW w:w="1985" w:type="dxa"/>
          </w:tcPr>
          <w:p w:rsidR="00000000" w:rsidRDefault="00000000">
            <w:pPr>
              <w:tabs>
                <w:tab w:val="clear" w:pos="340"/>
                <w:tab w:val="clear" w:pos="680"/>
                <w:tab w:val="decimal" w:pos="1021"/>
              </w:tabs>
              <w:spacing w:before="80" w:after="0" w:line="240" w:lineRule="auto"/>
              <w:rPr>
                <w:rFonts w:ascii="Arial" w:hAnsi="Arial"/>
                <w:sz w:val="16"/>
              </w:rPr>
            </w:pPr>
            <w:r>
              <w:rPr>
                <w:rFonts w:ascii="Arial" w:hAnsi="Arial"/>
                <w:sz w:val="16"/>
              </w:rPr>
              <w:t>50</w:t>
            </w:r>
          </w:p>
        </w:tc>
        <w:tc>
          <w:tcPr>
            <w:tcW w:w="1985" w:type="dxa"/>
          </w:tcPr>
          <w:p w:rsidR="00000000" w:rsidRDefault="00000000">
            <w:pPr>
              <w:spacing w:before="80" w:after="0" w:line="240" w:lineRule="auto"/>
              <w:jc w:val="center"/>
              <w:rPr>
                <w:rFonts w:ascii="Arial" w:hAnsi="Arial"/>
                <w:sz w:val="16"/>
              </w:rPr>
            </w:pPr>
            <w:r>
              <w:rPr>
                <w:rFonts w:ascii="Arial" w:hAnsi="Arial"/>
                <w:sz w:val="16"/>
              </w:rPr>
              <w:t>83,3</w:t>
            </w:r>
          </w:p>
        </w:tc>
      </w:tr>
      <w:tr w:rsidR="00000000">
        <w:tblPrEx>
          <w:tblCellMar>
            <w:top w:w="0" w:type="dxa"/>
            <w:left w:w="0" w:type="dxa"/>
            <w:bottom w:w="0" w:type="dxa"/>
            <w:right w:w="0" w:type="dxa"/>
          </w:tblCellMar>
        </w:tblPrEx>
        <w:tc>
          <w:tcPr>
            <w:tcW w:w="1247" w:type="dxa"/>
          </w:tcPr>
          <w:p w:rsidR="00000000" w:rsidRDefault="00000000">
            <w:pPr>
              <w:spacing w:before="80" w:after="0" w:line="240" w:lineRule="auto"/>
              <w:jc w:val="center"/>
              <w:rPr>
                <w:rFonts w:ascii="Arial" w:hAnsi="Arial"/>
                <w:sz w:val="16"/>
              </w:rPr>
            </w:pPr>
            <w:r>
              <w:rPr>
                <w:rFonts w:ascii="Arial" w:hAnsi="Arial"/>
                <w:sz w:val="16"/>
              </w:rPr>
              <w:t>1998</w:t>
            </w:r>
          </w:p>
        </w:tc>
        <w:tc>
          <w:tcPr>
            <w:tcW w:w="1871" w:type="dxa"/>
          </w:tcPr>
          <w:p w:rsidR="00000000" w:rsidRDefault="00000000">
            <w:pPr>
              <w:spacing w:before="80" w:after="0" w:line="240" w:lineRule="auto"/>
              <w:jc w:val="center"/>
              <w:rPr>
                <w:rFonts w:ascii="Arial" w:hAnsi="Arial"/>
                <w:sz w:val="16"/>
              </w:rPr>
            </w:pPr>
            <w:r>
              <w:rPr>
                <w:rFonts w:ascii="Arial" w:hAnsi="Arial"/>
                <w:sz w:val="16"/>
              </w:rPr>
              <w:t>13</w:t>
            </w:r>
          </w:p>
        </w:tc>
        <w:tc>
          <w:tcPr>
            <w:tcW w:w="1871" w:type="dxa"/>
          </w:tcPr>
          <w:p w:rsidR="00000000" w:rsidRDefault="00000000">
            <w:pPr>
              <w:tabs>
                <w:tab w:val="clear" w:pos="340"/>
                <w:tab w:val="clear" w:pos="680"/>
                <w:tab w:val="decimal" w:pos="1021"/>
              </w:tabs>
              <w:spacing w:before="80" w:after="0" w:line="240" w:lineRule="auto"/>
              <w:rPr>
                <w:rFonts w:ascii="Arial" w:hAnsi="Arial"/>
                <w:sz w:val="16"/>
              </w:rPr>
            </w:pPr>
            <w:r>
              <w:rPr>
                <w:rFonts w:ascii="Arial" w:hAnsi="Arial"/>
                <w:sz w:val="16"/>
              </w:rPr>
              <w:t>60,8</w:t>
            </w:r>
          </w:p>
        </w:tc>
        <w:tc>
          <w:tcPr>
            <w:tcW w:w="1985" w:type="dxa"/>
          </w:tcPr>
          <w:p w:rsidR="00000000" w:rsidRDefault="00000000">
            <w:pPr>
              <w:tabs>
                <w:tab w:val="clear" w:pos="340"/>
                <w:tab w:val="clear" w:pos="680"/>
                <w:tab w:val="decimal" w:pos="1021"/>
              </w:tabs>
              <w:spacing w:before="80" w:after="0" w:line="240" w:lineRule="auto"/>
              <w:rPr>
                <w:rFonts w:ascii="Arial" w:hAnsi="Arial"/>
                <w:sz w:val="16"/>
              </w:rPr>
            </w:pPr>
            <w:r>
              <w:rPr>
                <w:rFonts w:ascii="Arial" w:hAnsi="Arial"/>
                <w:sz w:val="16"/>
              </w:rPr>
              <w:t>39,1</w:t>
            </w:r>
          </w:p>
        </w:tc>
        <w:tc>
          <w:tcPr>
            <w:tcW w:w="1985" w:type="dxa"/>
          </w:tcPr>
          <w:p w:rsidR="00000000" w:rsidRDefault="00000000">
            <w:pPr>
              <w:spacing w:before="80" w:after="0" w:line="240" w:lineRule="auto"/>
              <w:jc w:val="center"/>
              <w:rPr>
                <w:rFonts w:ascii="Arial" w:hAnsi="Arial"/>
                <w:sz w:val="16"/>
              </w:rPr>
            </w:pPr>
            <w:r>
              <w:rPr>
                <w:rFonts w:ascii="Arial" w:hAnsi="Arial"/>
                <w:sz w:val="16"/>
              </w:rPr>
              <w:t>82,6</w:t>
            </w:r>
          </w:p>
        </w:tc>
      </w:tr>
    </w:tbl>
    <w:p w:rsidR="00000000" w:rsidRDefault="00000000">
      <w:pPr>
        <w:spacing w:before="480"/>
      </w:pPr>
      <w:r>
        <w:t>111.</w:t>
      </w:r>
      <w:r>
        <w:tab/>
        <w:t>Насилие в семье определено как уголовное преступление в законе о насилии в семье 1991 года и вновь подтверждено в законе о насилии в семье № 27 1999 года. Сообщения о случаях насилия в семье поступают из разных источников, поскольку централизованной регистратуры не существует. Данные поступают в виде сообщений о совершаемых актах насилия в семье в различные полицейские отделения, как и сведения о реальном числе преступников, обвиненных в этом преступлении, сообщаемые магистратскими судами. В представленных полицейской службой данных о насилии в семье содержится подробная информация о видах уголовных преступлений, ставших следствием насилия в семье:</w:t>
      </w:r>
    </w:p>
    <w:p w:rsidR="00000000" w:rsidRDefault="00000000">
      <w:pPr>
        <w:spacing w:after="0"/>
        <w:ind w:left="340"/>
        <w:rPr>
          <w:b/>
        </w:rPr>
      </w:pPr>
      <w:r>
        <w:rPr>
          <w:b/>
        </w:rPr>
        <w:br w:type="page"/>
        <w:t>Преступления, совершенные в результате насилия в семье, – Тобаго, 1993–1996 годы</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82"/>
        <w:gridCol w:w="1304"/>
        <w:gridCol w:w="1304"/>
        <w:gridCol w:w="1304"/>
        <w:gridCol w:w="1304"/>
      </w:tblGrid>
      <w:tr w:rsidR="00000000">
        <w:tblPrEx>
          <w:tblCellMar>
            <w:top w:w="0" w:type="dxa"/>
            <w:bottom w:w="0" w:type="dxa"/>
          </w:tblCellMar>
        </w:tblPrEx>
        <w:trPr>
          <w:cantSplit/>
        </w:trPr>
        <w:tc>
          <w:tcPr>
            <w:tcW w:w="4082" w:type="dxa"/>
            <w:tcBorders>
              <w:top w:val="single" w:sz="4" w:space="0" w:color="auto"/>
              <w:left w:val="single" w:sz="4" w:space="0" w:color="auto"/>
            </w:tcBorders>
          </w:tcPr>
          <w:p w:rsidR="00000000" w:rsidRDefault="00000000">
            <w:pPr>
              <w:spacing w:before="120" w:after="0" w:line="240" w:lineRule="auto"/>
              <w:rPr>
                <w:rFonts w:ascii="Arial" w:hAnsi="Arial"/>
                <w:sz w:val="16"/>
              </w:rPr>
            </w:pPr>
          </w:p>
        </w:tc>
        <w:tc>
          <w:tcPr>
            <w:tcW w:w="5216" w:type="dxa"/>
            <w:gridSpan w:val="4"/>
          </w:tcPr>
          <w:p w:rsidR="00000000" w:rsidRDefault="00000000">
            <w:pPr>
              <w:spacing w:before="120" w:after="0" w:line="240" w:lineRule="auto"/>
              <w:jc w:val="center"/>
              <w:rPr>
                <w:rFonts w:ascii="Arial" w:hAnsi="Arial"/>
                <w:sz w:val="16"/>
              </w:rPr>
            </w:pPr>
            <w:r>
              <w:rPr>
                <w:rFonts w:ascii="Arial" w:hAnsi="Arial"/>
                <w:sz w:val="16"/>
              </w:rPr>
              <w:t>Год</w:t>
            </w:r>
          </w:p>
        </w:tc>
      </w:tr>
      <w:tr w:rsidR="00000000">
        <w:tblPrEx>
          <w:tblCellMar>
            <w:top w:w="0" w:type="dxa"/>
            <w:bottom w:w="0" w:type="dxa"/>
          </w:tblCellMar>
        </w:tblPrEx>
        <w:tc>
          <w:tcPr>
            <w:tcW w:w="4082" w:type="dxa"/>
          </w:tcPr>
          <w:p w:rsidR="00000000" w:rsidRDefault="00000000">
            <w:pPr>
              <w:spacing w:before="80" w:after="0" w:line="240" w:lineRule="auto"/>
              <w:rPr>
                <w:rFonts w:ascii="Arial" w:hAnsi="Arial"/>
                <w:sz w:val="16"/>
              </w:rPr>
            </w:pPr>
            <w:r>
              <w:rPr>
                <w:rFonts w:ascii="Arial" w:hAnsi="Arial"/>
                <w:sz w:val="16"/>
              </w:rPr>
              <w:t>Преступления</w:t>
            </w:r>
          </w:p>
        </w:tc>
        <w:tc>
          <w:tcPr>
            <w:tcW w:w="1304" w:type="dxa"/>
          </w:tcPr>
          <w:p w:rsidR="00000000" w:rsidRDefault="00000000">
            <w:pPr>
              <w:spacing w:before="80" w:after="0" w:line="240" w:lineRule="auto"/>
              <w:jc w:val="center"/>
              <w:rPr>
                <w:rFonts w:ascii="Arial" w:hAnsi="Arial"/>
                <w:sz w:val="16"/>
              </w:rPr>
            </w:pPr>
            <w:r>
              <w:rPr>
                <w:rFonts w:ascii="Arial" w:hAnsi="Arial"/>
                <w:sz w:val="16"/>
              </w:rPr>
              <w:t>1993</w:t>
            </w:r>
          </w:p>
        </w:tc>
        <w:tc>
          <w:tcPr>
            <w:tcW w:w="1304" w:type="dxa"/>
          </w:tcPr>
          <w:p w:rsidR="00000000" w:rsidRDefault="00000000">
            <w:pPr>
              <w:spacing w:before="80" w:after="0" w:line="240" w:lineRule="auto"/>
              <w:jc w:val="center"/>
              <w:rPr>
                <w:rFonts w:ascii="Arial" w:hAnsi="Arial"/>
                <w:sz w:val="16"/>
              </w:rPr>
            </w:pPr>
            <w:r>
              <w:rPr>
                <w:rFonts w:ascii="Arial" w:hAnsi="Arial"/>
                <w:sz w:val="16"/>
              </w:rPr>
              <w:t>1994</w:t>
            </w:r>
          </w:p>
        </w:tc>
        <w:tc>
          <w:tcPr>
            <w:tcW w:w="1304" w:type="dxa"/>
          </w:tcPr>
          <w:p w:rsidR="00000000" w:rsidRDefault="00000000">
            <w:pPr>
              <w:spacing w:before="80" w:after="0" w:line="240" w:lineRule="auto"/>
              <w:jc w:val="center"/>
              <w:rPr>
                <w:rFonts w:ascii="Arial" w:hAnsi="Arial"/>
                <w:sz w:val="16"/>
              </w:rPr>
            </w:pPr>
            <w:r>
              <w:rPr>
                <w:rFonts w:ascii="Arial" w:hAnsi="Arial"/>
                <w:sz w:val="16"/>
              </w:rPr>
              <w:t>1995</w:t>
            </w:r>
          </w:p>
        </w:tc>
        <w:tc>
          <w:tcPr>
            <w:tcW w:w="1304" w:type="dxa"/>
          </w:tcPr>
          <w:p w:rsidR="00000000" w:rsidRDefault="00000000">
            <w:pPr>
              <w:spacing w:before="80" w:after="0" w:line="240" w:lineRule="auto"/>
              <w:jc w:val="center"/>
              <w:rPr>
                <w:rFonts w:ascii="Arial" w:hAnsi="Arial"/>
                <w:sz w:val="16"/>
              </w:rPr>
            </w:pPr>
            <w:r>
              <w:rPr>
                <w:rFonts w:ascii="Arial" w:hAnsi="Arial"/>
                <w:sz w:val="16"/>
              </w:rPr>
              <w:t>1996</w:t>
            </w:r>
          </w:p>
        </w:tc>
      </w:tr>
      <w:tr w:rsidR="00000000">
        <w:tblPrEx>
          <w:tblCellMar>
            <w:top w:w="0" w:type="dxa"/>
            <w:bottom w:w="0" w:type="dxa"/>
          </w:tblCellMar>
        </w:tblPrEx>
        <w:tc>
          <w:tcPr>
            <w:tcW w:w="4082" w:type="dxa"/>
          </w:tcPr>
          <w:p w:rsidR="00000000" w:rsidRDefault="00000000">
            <w:pPr>
              <w:spacing w:before="80" w:after="0" w:line="240" w:lineRule="auto"/>
              <w:rPr>
                <w:rFonts w:ascii="Arial" w:hAnsi="Arial"/>
                <w:sz w:val="16"/>
              </w:rPr>
            </w:pPr>
            <w:r>
              <w:rPr>
                <w:rFonts w:ascii="Arial" w:hAnsi="Arial"/>
                <w:sz w:val="16"/>
              </w:rPr>
              <w:t>Нападение и избиение</w:t>
            </w:r>
          </w:p>
        </w:tc>
        <w:tc>
          <w:tcPr>
            <w:tcW w:w="1304" w:type="dxa"/>
          </w:tcPr>
          <w:p w:rsidR="00000000" w:rsidRDefault="00000000">
            <w:pPr>
              <w:spacing w:before="80" w:after="0" w:line="240" w:lineRule="auto"/>
              <w:jc w:val="center"/>
              <w:rPr>
                <w:rFonts w:ascii="Arial" w:hAnsi="Arial"/>
                <w:sz w:val="16"/>
              </w:rPr>
            </w:pPr>
            <w:r>
              <w:rPr>
                <w:rFonts w:ascii="Arial" w:hAnsi="Arial"/>
                <w:sz w:val="16"/>
              </w:rPr>
              <w:t>0</w:t>
            </w:r>
          </w:p>
        </w:tc>
        <w:tc>
          <w:tcPr>
            <w:tcW w:w="1304" w:type="dxa"/>
          </w:tcPr>
          <w:p w:rsidR="00000000" w:rsidRDefault="00000000">
            <w:pPr>
              <w:spacing w:before="80" w:after="0" w:line="240" w:lineRule="auto"/>
              <w:jc w:val="center"/>
              <w:rPr>
                <w:rFonts w:ascii="Arial" w:hAnsi="Arial"/>
                <w:sz w:val="16"/>
              </w:rPr>
            </w:pPr>
            <w:r>
              <w:rPr>
                <w:rFonts w:ascii="Arial" w:hAnsi="Arial"/>
                <w:sz w:val="16"/>
              </w:rPr>
              <w:t>13</w:t>
            </w:r>
          </w:p>
        </w:tc>
        <w:tc>
          <w:tcPr>
            <w:tcW w:w="1304" w:type="dxa"/>
          </w:tcPr>
          <w:p w:rsidR="00000000" w:rsidRDefault="00000000">
            <w:pPr>
              <w:spacing w:before="80" w:after="0" w:line="240" w:lineRule="auto"/>
              <w:jc w:val="center"/>
              <w:rPr>
                <w:rFonts w:ascii="Arial" w:hAnsi="Arial"/>
                <w:sz w:val="16"/>
              </w:rPr>
            </w:pPr>
            <w:r>
              <w:rPr>
                <w:rFonts w:ascii="Arial" w:hAnsi="Arial"/>
                <w:sz w:val="16"/>
              </w:rPr>
              <w:t>7</w:t>
            </w:r>
          </w:p>
        </w:tc>
        <w:tc>
          <w:tcPr>
            <w:tcW w:w="1304" w:type="dxa"/>
          </w:tcPr>
          <w:p w:rsidR="00000000" w:rsidRDefault="00000000">
            <w:pPr>
              <w:spacing w:before="80" w:after="0" w:line="240" w:lineRule="auto"/>
              <w:jc w:val="center"/>
              <w:rPr>
                <w:rFonts w:ascii="Arial" w:hAnsi="Arial"/>
                <w:sz w:val="16"/>
              </w:rPr>
            </w:pPr>
            <w:r>
              <w:rPr>
                <w:rFonts w:ascii="Arial" w:hAnsi="Arial"/>
                <w:sz w:val="16"/>
              </w:rPr>
              <w:t>3</w:t>
            </w:r>
          </w:p>
        </w:tc>
      </w:tr>
      <w:tr w:rsidR="00000000">
        <w:tblPrEx>
          <w:tblCellMar>
            <w:top w:w="0" w:type="dxa"/>
            <w:bottom w:w="0" w:type="dxa"/>
          </w:tblCellMar>
        </w:tblPrEx>
        <w:tc>
          <w:tcPr>
            <w:tcW w:w="4082" w:type="dxa"/>
          </w:tcPr>
          <w:p w:rsidR="00000000" w:rsidRDefault="00000000">
            <w:pPr>
              <w:spacing w:before="80" w:after="0" w:line="240" w:lineRule="auto"/>
              <w:rPr>
                <w:rFonts w:ascii="Arial" w:hAnsi="Arial"/>
                <w:sz w:val="16"/>
              </w:rPr>
            </w:pPr>
            <w:r>
              <w:rPr>
                <w:rFonts w:ascii="Arial" w:hAnsi="Arial"/>
                <w:sz w:val="16"/>
              </w:rPr>
              <w:t>Инцест</w:t>
            </w:r>
          </w:p>
        </w:tc>
        <w:tc>
          <w:tcPr>
            <w:tcW w:w="1304" w:type="dxa"/>
          </w:tcPr>
          <w:p w:rsidR="00000000" w:rsidRDefault="00000000">
            <w:pPr>
              <w:spacing w:before="80" w:after="0" w:line="240" w:lineRule="auto"/>
              <w:jc w:val="center"/>
              <w:rPr>
                <w:rFonts w:ascii="Arial" w:hAnsi="Arial"/>
                <w:sz w:val="16"/>
              </w:rPr>
            </w:pPr>
            <w:r>
              <w:rPr>
                <w:rFonts w:ascii="Arial" w:hAnsi="Arial"/>
                <w:sz w:val="16"/>
              </w:rPr>
              <w:t>1</w:t>
            </w:r>
          </w:p>
        </w:tc>
        <w:tc>
          <w:tcPr>
            <w:tcW w:w="1304" w:type="dxa"/>
          </w:tcPr>
          <w:p w:rsidR="00000000" w:rsidRDefault="00000000">
            <w:pPr>
              <w:spacing w:before="80" w:after="0" w:line="240" w:lineRule="auto"/>
              <w:jc w:val="center"/>
              <w:rPr>
                <w:rFonts w:ascii="Arial" w:hAnsi="Arial"/>
                <w:sz w:val="16"/>
              </w:rPr>
            </w:pPr>
            <w:r>
              <w:rPr>
                <w:rFonts w:ascii="Arial" w:hAnsi="Arial"/>
                <w:sz w:val="16"/>
              </w:rPr>
              <w:t>1</w:t>
            </w:r>
          </w:p>
        </w:tc>
        <w:tc>
          <w:tcPr>
            <w:tcW w:w="1304" w:type="dxa"/>
          </w:tcPr>
          <w:p w:rsidR="00000000" w:rsidRDefault="00000000">
            <w:pPr>
              <w:spacing w:before="80" w:after="0" w:line="240" w:lineRule="auto"/>
              <w:jc w:val="center"/>
              <w:rPr>
                <w:rFonts w:ascii="Arial" w:hAnsi="Arial"/>
                <w:sz w:val="16"/>
              </w:rPr>
            </w:pPr>
            <w:r>
              <w:rPr>
                <w:rFonts w:ascii="Arial" w:hAnsi="Arial"/>
                <w:sz w:val="16"/>
              </w:rPr>
              <w:t>0</w:t>
            </w:r>
          </w:p>
        </w:tc>
        <w:tc>
          <w:tcPr>
            <w:tcW w:w="1304" w:type="dxa"/>
          </w:tcPr>
          <w:p w:rsidR="00000000" w:rsidRDefault="00000000">
            <w:pPr>
              <w:spacing w:before="80" w:after="0" w:line="240" w:lineRule="auto"/>
              <w:jc w:val="center"/>
              <w:rPr>
                <w:rFonts w:ascii="Arial" w:hAnsi="Arial"/>
                <w:sz w:val="16"/>
              </w:rPr>
            </w:pPr>
            <w:r>
              <w:rPr>
                <w:rFonts w:ascii="Arial" w:hAnsi="Arial"/>
                <w:sz w:val="16"/>
              </w:rPr>
              <w:t>0</w:t>
            </w:r>
          </w:p>
        </w:tc>
      </w:tr>
      <w:tr w:rsidR="00000000">
        <w:tblPrEx>
          <w:tblCellMar>
            <w:top w:w="0" w:type="dxa"/>
            <w:bottom w:w="0" w:type="dxa"/>
          </w:tblCellMar>
        </w:tblPrEx>
        <w:tc>
          <w:tcPr>
            <w:tcW w:w="4082" w:type="dxa"/>
          </w:tcPr>
          <w:p w:rsidR="00000000" w:rsidRDefault="00000000">
            <w:pPr>
              <w:spacing w:before="80" w:after="0" w:line="240" w:lineRule="auto"/>
              <w:rPr>
                <w:rFonts w:ascii="Arial" w:hAnsi="Arial"/>
                <w:sz w:val="16"/>
              </w:rPr>
            </w:pPr>
            <w:r>
              <w:rPr>
                <w:rFonts w:ascii="Arial" w:hAnsi="Arial"/>
                <w:sz w:val="16"/>
              </w:rPr>
              <w:t>Изнасилование и другие половые преступления</w:t>
            </w:r>
          </w:p>
        </w:tc>
        <w:tc>
          <w:tcPr>
            <w:tcW w:w="1304" w:type="dxa"/>
          </w:tcPr>
          <w:p w:rsidR="00000000" w:rsidRDefault="00000000">
            <w:pPr>
              <w:spacing w:before="80" w:after="0" w:line="240" w:lineRule="auto"/>
              <w:jc w:val="center"/>
              <w:rPr>
                <w:rFonts w:ascii="Arial" w:hAnsi="Arial"/>
                <w:sz w:val="16"/>
              </w:rPr>
            </w:pPr>
            <w:r>
              <w:rPr>
                <w:rFonts w:ascii="Arial" w:hAnsi="Arial"/>
                <w:sz w:val="16"/>
              </w:rPr>
              <w:t>14</w:t>
            </w:r>
          </w:p>
        </w:tc>
        <w:tc>
          <w:tcPr>
            <w:tcW w:w="1304" w:type="dxa"/>
          </w:tcPr>
          <w:p w:rsidR="00000000" w:rsidRDefault="00000000">
            <w:pPr>
              <w:spacing w:before="80" w:after="0" w:line="240" w:lineRule="auto"/>
              <w:jc w:val="center"/>
              <w:rPr>
                <w:rFonts w:ascii="Arial" w:hAnsi="Arial"/>
                <w:sz w:val="16"/>
              </w:rPr>
            </w:pPr>
            <w:r>
              <w:rPr>
                <w:rFonts w:ascii="Arial" w:hAnsi="Arial"/>
                <w:sz w:val="16"/>
              </w:rPr>
              <w:t>2</w:t>
            </w:r>
          </w:p>
        </w:tc>
        <w:tc>
          <w:tcPr>
            <w:tcW w:w="1304" w:type="dxa"/>
          </w:tcPr>
          <w:p w:rsidR="00000000" w:rsidRDefault="00000000">
            <w:pPr>
              <w:spacing w:before="80" w:after="0" w:line="240" w:lineRule="auto"/>
              <w:jc w:val="center"/>
              <w:rPr>
                <w:rFonts w:ascii="Arial" w:hAnsi="Arial"/>
                <w:sz w:val="16"/>
              </w:rPr>
            </w:pPr>
            <w:r>
              <w:rPr>
                <w:rFonts w:ascii="Arial" w:hAnsi="Arial"/>
                <w:sz w:val="16"/>
              </w:rPr>
              <w:t>н. д.</w:t>
            </w:r>
          </w:p>
        </w:tc>
        <w:tc>
          <w:tcPr>
            <w:tcW w:w="1304" w:type="dxa"/>
          </w:tcPr>
          <w:p w:rsidR="00000000" w:rsidRDefault="00000000">
            <w:pPr>
              <w:spacing w:before="80" w:after="0" w:line="240" w:lineRule="auto"/>
              <w:jc w:val="center"/>
              <w:rPr>
                <w:rFonts w:ascii="Arial" w:hAnsi="Arial"/>
                <w:sz w:val="16"/>
              </w:rPr>
            </w:pPr>
            <w:r>
              <w:rPr>
                <w:rFonts w:ascii="Arial" w:hAnsi="Arial"/>
                <w:sz w:val="16"/>
              </w:rPr>
              <w:t>н. д.</w:t>
            </w:r>
          </w:p>
        </w:tc>
      </w:tr>
      <w:tr w:rsidR="00000000">
        <w:tblPrEx>
          <w:tblCellMar>
            <w:top w:w="0" w:type="dxa"/>
            <w:bottom w:w="0" w:type="dxa"/>
          </w:tblCellMar>
        </w:tblPrEx>
        <w:tc>
          <w:tcPr>
            <w:tcW w:w="4082" w:type="dxa"/>
          </w:tcPr>
          <w:p w:rsidR="00000000" w:rsidRDefault="00000000">
            <w:pPr>
              <w:spacing w:before="80" w:after="0" w:line="240" w:lineRule="auto"/>
              <w:rPr>
                <w:rFonts w:ascii="Arial" w:hAnsi="Arial"/>
                <w:sz w:val="16"/>
              </w:rPr>
            </w:pPr>
            <w:r>
              <w:rPr>
                <w:rFonts w:ascii="Arial" w:hAnsi="Arial"/>
                <w:sz w:val="16"/>
              </w:rPr>
              <w:t>Ранение</w:t>
            </w:r>
          </w:p>
        </w:tc>
        <w:tc>
          <w:tcPr>
            <w:tcW w:w="1304" w:type="dxa"/>
          </w:tcPr>
          <w:p w:rsidR="00000000" w:rsidRDefault="00000000">
            <w:pPr>
              <w:spacing w:before="80" w:after="0" w:line="240" w:lineRule="auto"/>
              <w:jc w:val="center"/>
              <w:rPr>
                <w:rFonts w:ascii="Arial" w:hAnsi="Arial"/>
                <w:sz w:val="16"/>
              </w:rPr>
            </w:pPr>
            <w:r>
              <w:rPr>
                <w:rFonts w:ascii="Arial" w:hAnsi="Arial"/>
                <w:sz w:val="16"/>
              </w:rPr>
              <w:t>0</w:t>
            </w:r>
          </w:p>
        </w:tc>
        <w:tc>
          <w:tcPr>
            <w:tcW w:w="1304" w:type="dxa"/>
          </w:tcPr>
          <w:p w:rsidR="00000000" w:rsidRDefault="00000000">
            <w:pPr>
              <w:spacing w:before="80" w:after="0" w:line="240" w:lineRule="auto"/>
              <w:jc w:val="center"/>
              <w:rPr>
                <w:rFonts w:ascii="Arial" w:hAnsi="Arial"/>
                <w:sz w:val="16"/>
              </w:rPr>
            </w:pPr>
            <w:r>
              <w:rPr>
                <w:rFonts w:ascii="Arial" w:hAnsi="Arial"/>
                <w:sz w:val="16"/>
              </w:rPr>
              <w:t>0</w:t>
            </w:r>
          </w:p>
        </w:tc>
        <w:tc>
          <w:tcPr>
            <w:tcW w:w="1304" w:type="dxa"/>
          </w:tcPr>
          <w:p w:rsidR="00000000" w:rsidRDefault="00000000">
            <w:pPr>
              <w:spacing w:before="80" w:after="0" w:line="240" w:lineRule="auto"/>
              <w:jc w:val="center"/>
              <w:rPr>
                <w:rFonts w:ascii="Arial" w:hAnsi="Arial"/>
                <w:sz w:val="16"/>
              </w:rPr>
            </w:pPr>
            <w:r>
              <w:rPr>
                <w:rFonts w:ascii="Arial" w:hAnsi="Arial"/>
                <w:sz w:val="16"/>
              </w:rPr>
              <w:t>1</w:t>
            </w:r>
          </w:p>
        </w:tc>
        <w:tc>
          <w:tcPr>
            <w:tcW w:w="1304" w:type="dxa"/>
          </w:tcPr>
          <w:p w:rsidR="00000000" w:rsidRDefault="00000000">
            <w:pPr>
              <w:spacing w:before="80" w:after="0" w:line="240" w:lineRule="auto"/>
              <w:jc w:val="center"/>
              <w:rPr>
                <w:rFonts w:ascii="Arial" w:hAnsi="Arial"/>
                <w:sz w:val="16"/>
              </w:rPr>
            </w:pPr>
            <w:r>
              <w:rPr>
                <w:rFonts w:ascii="Arial" w:hAnsi="Arial"/>
                <w:sz w:val="16"/>
              </w:rPr>
              <w:t>1</w:t>
            </w:r>
          </w:p>
        </w:tc>
      </w:tr>
    </w:tbl>
    <w:p w:rsidR="00000000" w:rsidRDefault="00000000">
      <w:pPr>
        <w:rPr>
          <w:sz w:val="16"/>
        </w:rPr>
      </w:pPr>
      <w:r>
        <w:rPr>
          <w:sz w:val="16"/>
          <w:lang w:val="en-US"/>
        </w:rPr>
        <w:tab/>
      </w:r>
      <w:r>
        <w:rPr>
          <w:sz w:val="16"/>
        </w:rPr>
        <w:t>"н. д." – нет данных.</w:t>
      </w:r>
    </w:p>
    <w:p w:rsidR="00000000" w:rsidRDefault="00000000">
      <w:r>
        <w:t>112.</w:t>
      </w:r>
      <w:r>
        <w:tab/>
        <w:t>В 1994 году в полицию поступили сообщения в общей сложности о 228 случаях насилия в семье, совершенных во всей стране. Из них 8 преступлений были зарегистрированы на Тобаго.</w:t>
      </w:r>
    </w:p>
    <w:p w:rsidR="00000000" w:rsidRDefault="00000000">
      <w:r>
        <w:t>113.</w:t>
      </w:r>
      <w:r>
        <w:tab/>
        <w:t>Министерство культуры и гендерных проблем приняло участие в создании центральной регистратуры для сбора данных о насилии в семье. Когда ее работа будет налажена и штат регистратуры будет полностью укомплектован получившими соответствующую подготовку сотрудниками, регистратура станет важным источником новейших и точных данных о насилии в семье.</w:t>
      </w:r>
    </w:p>
    <w:p w:rsidR="00000000" w:rsidRDefault="00000000">
      <w:r>
        <w:t>114.</w:t>
      </w:r>
      <w:r>
        <w:tab/>
        <w:t>Необходимо отметить, что, хотя горячая линия по насилию в семье Министерства культуры и гендерных проблем и является полезным инструментом сбора данных об этом виде насилия, в стране не проводится масштабных качественных исследований по данной проблеме. В 1998 году на горячую линию по насилию в семье (800-</w:t>
      </w:r>
      <w:r>
        <w:rPr>
          <w:lang w:val="en-US"/>
        </w:rPr>
        <w:t>SAVE</w:t>
      </w:r>
      <w:r>
        <w:t>) поступило в общей сложности 2611 звонков. Из них 84 процента звонков поступило от женщин и 16 процентов – от мужчин. Согласно данным отчета Отдела по вопросам насилия в семье, в каждом месяце указанного года число звонивших женщин превышало число звонивших мужчин, а модальную возрастную группу звонивших составили лица в возрасте 26–35 лет. Большинство (70 процентов) звонивших женщин состояли в браке, законном или гражданском, 17 процентов назвали себя одинокими, 3</w:t>
      </w:r>
      <w:r>
        <w:rPr>
          <w:lang w:val="en-US"/>
        </w:rPr>
        <w:t> </w:t>
      </w:r>
      <w:r>
        <w:t xml:space="preserve">процента – разведенными и 10 процентов – проживающими отдельно от супруга. </w:t>
      </w:r>
    </w:p>
    <w:p w:rsidR="00000000" w:rsidRDefault="00000000">
      <w:r>
        <w:t>115.</w:t>
      </w:r>
      <w:r>
        <w:tab/>
        <w:t>Около 86 процентов всех зарегистрированных случаев насилия в семье совершаются мужчинами в отношении женщин. Однако число смертных случаев, явившихся результатом насилия в семье, снизилось с 80</w:t>
      </w:r>
      <w:r>
        <w:rPr>
          <w:lang w:val="en-US"/>
        </w:rPr>
        <w:t> </w:t>
      </w:r>
      <w:r>
        <w:t>женщин и 32 детей за период с 1990 по 1995 год до 40 женщин и 15 детей за период с 1996 по 1999</w:t>
      </w:r>
      <w:r>
        <w:rPr>
          <w:lang w:val="en-US"/>
        </w:rPr>
        <w:t> </w:t>
      </w:r>
      <w:r>
        <w:t xml:space="preserve">год. Можно предположить, что рост зарегистрированных случаев насилия в семье отражает бóльшую степень осознания трагичности случившегося и готовности сообщать о случаях насилия, хотя никаких исследований в подтверждение этого не проводилось. </w:t>
      </w:r>
    </w:p>
    <w:p w:rsidR="00000000" w:rsidRDefault="00000000">
      <w:r>
        <w:t>116.</w:t>
      </w:r>
      <w:r>
        <w:tab/>
        <w:t>В последние пять лет несколько увеличилось число социальных программ для жертв насилия в семье и для преступников, совершивших эти акты. Больше внимания в процессе обучения стало уделяться освещению гендерной проблематики с целью осуществления процесса ресоциализации. И правительство, и неправительственные организации все в больших масштабах осуществляют пропагандистские программы оказания помощи полицейской службе, общинам и приютам и общежитиям, чтобы они могли справляться с проблемами, связанными с имеющим гендерную основу насилием.</w:t>
      </w:r>
    </w:p>
    <w:p w:rsidR="00000000" w:rsidRDefault="00000000">
      <w:r>
        <w:t>117.</w:t>
      </w:r>
      <w:r>
        <w:tab/>
        <w:t>Комитет поддержки мужчин, учрежденный Отделом гендерных проблем Министерства культуры и гендерных проблем, оказывал поддержку мужчинам в решении проблем насилия в семье, занимаясь ресоциализацией мужчин и юношей и поддерживая мужчин, находящихся в уязвимом положении в обществе. Этот Комитет был преобразован в программу помощи мужчинам, возглавляемую координатором-мужчиной, который руководит работой как сотрудник Отдела гендерных проблем. В январе 2000 года программа помощи мужчинам провела подготовку по гендерной тематике представителей вооруженных сил Тринидада и Тобаго, а также первокурсников некоторых учебных заведений. Программа помощи мужчинам также ежемесячно проводит в общинах форумы по проблемам мужчин, на которых поднимаются и обсуждаются гендерные вопросы. Кроме того, два советника-мужчины были направлены для оказания помощи мужчинам в два центра: центр-убежище и информационный центр по проблемам насилия в семье. Программа помощи мужчинам проводит также на партнерской основе с религиозными лидерами Тринидада и Тобаго работу в целях снижения уровня имеющего гендерную основу насилия, совершаемого мужчинами.</w:t>
      </w:r>
    </w:p>
    <w:p w:rsidR="00000000" w:rsidRDefault="00000000">
      <w:r>
        <w:t>118.</w:t>
      </w:r>
      <w:r>
        <w:tab/>
        <w:t>Имеется также Отделение, занимающееся гендерными проблемами, которое функционирует под эгидой Национальной ассамблеи Тобаго. С помощью Отделения в 1999 году на Тобаго осуществлялась программа по проблеме насилия в семье; ее цель – оказать содействие в разрешении этой проблемы. С начала ее проведения были реализованы различные инициативы, в частности:</w:t>
      </w:r>
    </w:p>
    <w:p w:rsidR="00000000" w:rsidRDefault="00000000">
      <w:pPr>
        <w:numPr>
          <w:ilvl w:val="0"/>
          <w:numId w:val="476"/>
        </w:numPr>
        <w:spacing w:after="0"/>
        <w:ind w:left="1020" w:hanging="340"/>
      </w:pPr>
      <w:r>
        <w:t>выпуск информационных и пропагандистских листков и брошюр;</w:t>
      </w:r>
    </w:p>
    <w:p w:rsidR="00000000" w:rsidRDefault="00000000">
      <w:pPr>
        <w:numPr>
          <w:ilvl w:val="0"/>
          <w:numId w:val="476"/>
        </w:numPr>
        <w:spacing w:after="0"/>
        <w:ind w:left="1020" w:hanging="340"/>
      </w:pPr>
      <w:r>
        <w:t>проведение семинаров и лекций, среди прочего, для церквей, молодежных групп и т. д.;</w:t>
      </w:r>
    </w:p>
    <w:p w:rsidR="00000000" w:rsidRDefault="00000000">
      <w:pPr>
        <w:numPr>
          <w:ilvl w:val="0"/>
          <w:numId w:val="476"/>
        </w:numPr>
        <w:spacing w:after="0"/>
        <w:ind w:left="1020" w:hanging="340"/>
      </w:pPr>
      <w:r>
        <w:t>предоставление консультационных услуг жертвам таких действий, как покушение на самоубийство, покушение на убийство, изнасилование, инцест, оставление жены, ребенка, бездомность, а также физическое, эмоциональное, половое, психическое насилие, злоупотребление наркотиками, а также лицам, совершившим такие действия;</w:t>
      </w:r>
    </w:p>
    <w:p w:rsidR="00000000" w:rsidRDefault="00000000">
      <w:pPr>
        <w:numPr>
          <w:ilvl w:val="0"/>
          <w:numId w:val="476"/>
        </w:numPr>
        <w:spacing w:after="0"/>
        <w:ind w:left="1020" w:hanging="340"/>
      </w:pPr>
      <w:r>
        <w:t>введение круглосуточной кризисной горячей линии на Тобаго; и</w:t>
      </w:r>
    </w:p>
    <w:p w:rsidR="00000000" w:rsidRDefault="00000000">
      <w:pPr>
        <w:numPr>
          <w:ilvl w:val="0"/>
          <w:numId w:val="476"/>
        </w:numPr>
        <w:ind w:left="1020" w:hanging="340"/>
      </w:pPr>
      <w:r>
        <w:t>создание Информационного центра Тобаго, который действует в качестве центра по ресурсам Отделения, занимающегося гендерными проблемами, и который собирает местные и международные статистические данные о насилии в семье и связанных с ним проблемах.</w:t>
      </w:r>
    </w:p>
    <w:p w:rsidR="00000000" w:rsidRDefault="00000000">
      <w:r>
        <w:t>119.</w:t>
      </w:r>
      <w:r>
        <w:tab/>
        <w:t>Согласно данным, собранным в Тобаго при помощи программы по проблеме насилия в семье, сообщалось о происшедших там 70 случаях насилия в семье (за период с октября 1999 по август 2000</w:t>
      </w:r>
      <w:r>
        <w:rPr>
          <w:lang w:val="en-US"/>
        </w:rPr>
        <w:t> </w:t>
      </w:r>
      <w:r>
        <w:t>года). За тот же период на кризисную горячую линию Тобаго поступило 56 звонков с сообщениями о 18</w:t>
      </w:r>
      <w:r>
        <w:rPr>
          <w:lang w:val="en-US"/>
        </w:rPr>
        <w:t> </w:t>
      </w:r>
      <w:r>
        <w:t>подвергшихся насилию семьях, 71 ребенке и 3 случаях инцеста. Конкретно звонившие сообщили об 11</w:t>
      </w:r>
      <w:r>
        <w:rPr>
          <w:lang w:val="en-US"/>
        </w:rPr>
        <w:t> </w:t>
      </w:r>
      <w:r>
        <w:t>женщинах, подвергшихся физическому насилию, о 4 изнасилованных женщинах (и одном мужчине) и 76</w:t>
      </w:r>
      <w:r>
        <w:rPr>
          <w:lang w:val="en-US"/>
        </w:rPr>
        <w:t> </w:t>
      </w:r>
      <w:r>
        <w:t>женщинах –</w:t>
      </w:r>
      <w:r>
        <w:rPr>
          <w:lang w:val="en-US"/>
        </w:rPr>
        <w:t xml:space="preserve"> </w:t>
      </w:r>
      <w:r>
        <w:t>жертвах насилия, включая детей.</w:t>
      </w:r>
    </w:p>
    <w:p w:rsidR="00000000" w:rsidRDefault="00000000">
      <w:r>
        <w:t>120.</w:t>
      </w:r>
      <w:r>
        <w:tab/>
        <w:t>Выполняя задачу ресоциализации поведения и взаимоотношений, в основе которых лежат предубеждения гендерного характера, и занимаясь проблемами насилия в семье, Отдел гендерных проблем Министерства культуры и гендерных проблем является важным инструментом реализации множества инициатив и программ. Одной из таких инициатив является выпуск руководства по подготовке слушателей к ознакомлению с гендерной проблематикой. Это руководство входит в число материалов, которые разрабатываются по институциональной программе усиления деятельности в этой области. Содержание руководства используется на различных курсах подготовки, которые проводит осуществляющий программу персонал Отдела для разных слушателей; в их число сегодня, в частности, входят:</w:t>
      </w:r>
    </w:p>
    <w:p w:rsidR="00000000" w:rsidRDefault="00000000">
      <w:pPr>
        <w:numPr>
          <w:ilvl w:val="0"/>
          <w:numId w:val="833"/>
        </w:numPr>
        <w:tabs>
          <w:tab w:val="clear" w:pos="700"/>
          <w:tab w:val="left" w:pos="680"/>
        </w:tabs>
        <w:spacing w:after="0"/>
      </w:pPr>
      <w:r>
        <w:t>военнослужащие гарнизонных войск Министерства национальной безопасности, в том числе женщины, принятые в ряды береговой охраны впервые за всю ее историю;</w:t>
      </w:r>
    </w:p>
    <w:p w:rsidR="00000000" w:rsidRDefault="00000000">
      <w:pPr>
        <w:numPr>
          <w:ilvl w:val="0"/>
          <w:numId w:val="477"/>
        </w:numPr>
        <w:spacing w:after="0"/>
      </w:pPr>
      <w:r>
        <w:t>служащие Министерства здравоохранения;</w:t>
      </w:r>
    </w:p>
    <w:p w:rsidR="00000000" w:rsidRDefault="00000000">
      <w:pPr>
        <w:numPr>
          <w:ilvl w:val="0"/>
          <w:numId w:val="477"/>
        </w:numPr>
        <w:spacing w:after="0"/>
      </w:pPr>
      <w:r>
        <w:t>постоянные секретари;</w:t>
      </w:r>
    </w:p>
    <w:p w:rsidR="00000000" w:rsidRDefault="00000000">
      <w:pPr>
        <w:numPr>
          <w:ilvl w:val="0"/>
          <w:numId w:val="477"/>
        </w:numPr>
        <w:spacing w:after="0"/>
      </w:pPr>
      <w:r>
        <w:t>представители судебной власти;</w:t>
      </w:r>
    </w:p>
    <w:p w:rsidR="00000000" w:rsidRDefault="00000000">
      <w:pPr>
        <w:numPr>
          <w:ilvl w:val="0"/>
          <w:numId w:val="477"/>
        </w:numPr>
        <w:spacing w:after="0"/>
      </w:pPr>
      <w:r>
        <w:t>члены Кабинета;</w:t>
      </w:r>
    </w:p>
    <w:p w:rsidR="00000000" w:rsidRDefault="00000000">
      <w:pPr>
        <w:numPr>
          <w:ilvl w:val="0"/>
          <w:numId w:val="477"/>
        </w:numPr>
        <w:spacing w:after="0"/>
      </w:pPr>
      <w:r>
        <w:t>представители частного бизнеса; и</w:t>
      </w:r>
    </w:p>
    <w:p w:rsidR="00000000" w:rsidRDefault="00000000">
      <w:pPr>
        <w:numPr>
          <w:ilvl w:val="0"/>
          <w:numId w:val="477"/>
        </w:numPr>
      </w:pPr>
      <w:r>
        <w:t>члены Национального совета по делам женщин.</w:t>
      </w:r>
    </w:p>
    <w:p w:rsidR="00000000" w:rsidRDefault="00000000">
      <w:r>
        <w:t>121.</w:t>
      </w:r>
      <w:r>
        <w:tab/>
        <w:t>Отдел гендерных проблем выпустил также четыре видеофильма, чтобы содействовать проведению дискуссии в обществе по вопросам насилия в отношении женщин и неуважения к ним. Особый упор был сделан на выявление того, какое влияние на решение гендерной проблемы имеет семья, отношение людей того же круга, реклама и злоупотребление алкоголем и наркотиками. Эта видеопродукция демонстрировалась по национальному телевидению в разное время в ознаменование Международного дня за прекращение насилия в отношении женщин:</w:t>
      </w:r>
    </w:p>
    <w:p w:rsidR="00000000" w:rsidRDefault="00000000">
      <w:pPr>
        <w:tabs>
          <w:tab w:val="clear" w:pos="680"/>
          <w:tab w:val="left" w:pos="1021"/>
        </w:tabs>
        <w:spacing w:after="0"/>
        <w:ind w:left="1021" w:hanging="1021"/>
        <w:rPr>
          <w:b/>
        </w:rPr>
      </w:pPr>
      <w:r>
        <w:rPr>
          <w:b/>
        </w:rPr>
        <w:tab/>
      </w:r>
      <w:r>
        <w:rPr>
          <w:b/>
          <w:lang w:val="en-US"/>
        </w:rPr>
        <w:t>i</w:t>
      </w:r>
      <w:r>
        <w:rPr>
          <w:b/>
        </w:rPr>
        <w:t>)</w:t>
      </w:r>
      <w:r>
        <w:rPr>
          <w:b/>
        </w:rPr>
        <w:tab/>
        <w:t>Видеофильм 1 – "Молодые умники"</w:t>
      </w:r>
    </w:p>
    <w:p w:rsidR="00000000" w:rsidRDefault="00000000">
      <w:pPr>
        <w:tabs>
          <w:tab w:val="clear" w:pos="680"/>
          <w:tab w:val="left" w:pos="1021"/>
        </w:tabs>
        <w:ind w:left="1021" w:hanging="1021"/>
      </w:pPr>
      <w:r>
        <w:tab/>
      </w:r>
      <w:r>
        <w:rPr>
          <w:lang w:val="en-US"/>
        </w:rPr>
        <w:tab/>
      </w:r>
      <w:r>
        <w:t>Этот видеофильм конкретно адресован молодым мужчинам. Он наполнен быстро сменяющимися кадрами, короткими ретроспективными сценами и фонограммой, легко узнаваемыми молодежью этой страны и населением стран Карибского бассейна в целом.</w:t>
      </w:r>
    </w:p>
    <w:p w:rsidR="00000000" w:rsidRDefault="00000000">
      <w:pPr>
        <w:tabs>
          <w:tab w:val="clear" w:pos="680"/>
          <w:tab w:val="left" w:pos="1021"/>
        </w:tabs>
        <w:spacing w:after="0"/>
        <w:ind w:left="1021" w:hanging="1021"/>
        <w:rPr>
          <w:b/>
        </w:rPr>
      </w:pPr>
      <w:r>
        <w:rPr>
          <w:b/>
        </w:rPr>
        <w:br w:type="page"/>
      </w:r>
      <w:r>
        <w:rPr>
          <w:b/>
        </w:rPr>
        <w:tab/>
      </w:r>
      <w:r>
        <w:rPr>
          <w:b/>
          <w:lang w:val="en-US"/>
        </w:rPr>
        <w:t>ii</w:t>
      </w:r>
      <w:r>
        <w:rPr>
          <w:b/>
        </w:rPr>
        <w:t>)</w:t>
      </w:r>
      <w:r>
        <w:rPr>
          <w:b/>
        </w:rPr>
        <w:tab/>
        <w:t>Видеофильм 2 – "Краткая экономическая история Тринидада и Тобаго"</w:t>
      </w:r>
    </w:p>
    <w:p w:rsidR="00000000" w:rsidRDefault="00000000">
      <w:pPr>
        <w:tabs>
          <w:tab w:val="clear" w:pos="680"/>
          <w:tab w:val="left" w:pos="1021"/>
        </w:tabs>
        <w:ind w:left="1021" w:hanging="1021"/>
      </w:pPr>
      <w:r>
        <w:tab/>
      </w:r>
      <w:r>
        <w:tab/>
        <w:t xml:space="preserve">Этот видеофильм представляет документальные кадры о важнейших исторических событиях как основу для дискуссии о настоящем и будущем. Фильм информирует о том, что женщины были фактически лишены права голоса в их собственной экономической истории и что многие разработанные с благими намерениями политические меры удерживают многих женщин в том же экономическом положении, что и в прошлом. Цель фильма – положить начало дискуссии и содействовать тому, чтобы обсуждение противоположных взглядов стало первым шагом на пути преодоления расхождений между власть предержащими и теми, кто чувствует себя обездоленными или лишенными прав. </w:t>
      </w:r>
    </w:p>
    <w:p w:rsidR="00000000" w:rsidRDefault="00000000">
      <w:pPr>
        <w:tabs>
          <w:tab w:val="clear" w:pos="680"/>
          <w:tab w:val="left" w:pos="1021"/>
        </w:tabs>
        <w:spacing w:after="0"/>
        <w:ind w:left="1021" w:hanging="1021"/>
        <w:rPr>
          <w:b/>
        </w:rPr>
      </w:pPr>
      <w:r>
        <w:t xml:space="preserve"> </w:t>
      </w:r>
      <w:r>
        <w:rPr>
          <w:b/>
        </w:rPr>
        <w:tab/>
      </w:r>
      <w:r>
        <w:rPr>
          <w:b/>
          <w:lang w:val="en-US"/>
        </w:rPr>
        <w:t>iii</w:t>
      </w:r>
      <w:r>
        <w:rPr>
          <w:b/>
        </w:rPr>
        <w:t>)</w:t>
      </w:r>
      <w:r>
        <w:rPr>
          <w:b/>
        </w:rPr>
        <w:tab/>
        <w:t>Видеофильм 3 – "Власть"</w:t>
      </w:r>
    </w:p>
    <w:p w:rsidR="00000000" w:rsidRDefault="00000000">
      <w:pPr>
        <w:tabs>
          <w:tab w:val="clear" w:pos="680"/>
          <w:tab w:val="left" w:pos="1021"/>
        </w:tabs>
        <w:ind w:left="1021" w:hanging="1021"/>
      </w:pPr>
      <w:r>
        <w:tab/>
      </w:r>
      <w:r>
        <w:tab/>
        <w:t>Цель этого видеофильма – вдохновить молодежь на вдумчивое обсуждение вопросов власти и динамики гендерных отношений, способствовать воспитанию таких чувств, как самоуважение и уважение к другим, и содействовать ответственному обмену мнениями об интимных проблемах. Этот видеофильм полезен как способ поднять в ходе последующей дискуссии разговор на такие темы, как изнасилование во время свидания/при знакомстве и беременность в подростковом возрасте.</w:t>
      </w:r>
    </w:p>
    <w:p w:rsidR="00000000" w:rsidRDefault="00000000">
      <w:pPr>
        <w:tabs>
          <w:tab w:val="clear" w:pos="680"/>
          <w:tab w:val="left" w:pos="1021"/>
        </w:tabs>
        <w:spacing w:after="0"/>
        <w:ind w:left="1021" w:hanging="1021"/>
        <w:rPr>
          <w:b/>
        </w:rPr>
      </w:pPr>
      <w:r>
        <w:rPr>
          <w:b/>
        </w:rPr>
        <w:tab/>
      </w:r>
      <w:r>
        <w:rPr>
          <w:b/>
          <w:lang w:val="en-US"/>
        </w:rPr>
        <w:t>iv</w:t>
      </w:r>
      <w:r>
        <w:rPr>
          <w:b/>
        </w:rPr>
        <w:t>)</w:t>
      </w:r>
      <w:r>
        <w:rPr>
          <w:b/>
        </w:rPr>
        <w:tab/>
        <w:t>Видеофильм 4 – "Метаморфозы" Полы Обе</w:t>
      </w:r>
    </w:p>
    <w:p w:rsidR="00000000" w:rsidRDefault="00000000">
      <w:pPr>
        <w:tabs>
          <w:tab w:val="clear" w:pos="680"/>
          <w:tab w:val="left" w:pos="1021"/>
        </w:tabs>
        <w:ind w:left="1021" w:hanging="1021"/>
      </w:pPr>
      <w:r>
        <w:tab/>
      </w:r>
      <w:r>
        <w:tab/>
        <w:t>Этот видеофильм представляет собой выражение благодарности одной женщины тем женщинам, которые внесли свой вклад в позитивные изменения в жизнь всех женщин. Цель видеофильма – инициировать дискуссию и поддержать решение отметить с признательностью прежние достижения. Кроме того, это – эффективное средство обсуждения самых разных тем, в том числе: взаимоотношения женщин различных поколений, связи между женщинами разного происхождения, недостаточно представительная роль женщин в национальной истории и их планы на свое будущее и будущее детей.</w:t>
      </w:r>
    </w:p>
    <w:p w:rsidR="00000000" w:rsidRDefault="00000000">
      <w:r>
        <w:t>122.</w:t>
      </w:r>
      <w:r>
        <w:tab/>
        <w:t>Недавно Отдел по вопросам насилия в семье Министерства культуры и гендерных проблем составил информационный буклет и два журнала на темы насилия в семье и половых преступлений: 1)</w:t>
      </w:r>
      <w:r>
        <w:rPr>
          <w:lang w:val="en-US"/>
        </w:rPr>
        <w:t> </w:t>
      </w:r>
      <w:r>
        <w:t>"Насилие в семье… что вам нужно знать об этом"; 2) «"Исцеление": журнал для переживших половое насилие»; и 3)</w:t>
      </w:r>
      <w:r>
        <w:rPr>
          <w:lang w:val="en-US"/>
        </w:rPr>
        <w:t> </w:t>
      </w:r>
      <w:r>
        <w:t>«"Право быть свободным": журнал для переживших насилие со стороны супруга». Этот буклет должен предоставить общественности информацию по следующим темам:</w:t>
      </w:r>
    </w:p>
    <w:p w:rsidR="00000000" w:rsidRDefault="00000000">
      <w:pPr>
        <w:numPr>
          <w:ilvl w:val="0"/>
          <w:numId w:val="478"/>
        </w:numPr>
        <w:spacing w:after="0"/>
      </w:pPr>
      <w:r>
        <w:t>Что такое насилие в семье?</w:t>
      </w:r>
    </w:p>
    <w:p w:rsidR="00000000" w:rsidRDefault="00000000">
      <w:pPr>
        <w:numPr>
          <w:ilvl w:val="0"/>
          <w:numId w:val="478"/>
        </w:numPr>
        <w:spacing w:after="0"/>
      </w:pPr>
      <w:r>
        <w:t>Какие формы принимает насилие?</w:t>
      </w:r>
    </w:p>
    <w:p w:rsidR="00000000" w:rsidRDefault="00000000">
      <w:pPr>
        <w:numPr>
          <w:ilvl w:val="0"/>
          <w:numId w:val="478"/>
        </w:numPr>
        <w:spacing w:after="0"/>
      </w:pPr>
      <w:r>
        <w:t>Каковы последствия насилия в семье?</w:t>
      </w:r>
    </w:p>
    <w:p w:rsidR="00000000" w:rsidRDefault="00000000">
      <w:pPr>
        <w:numPr>
          <w:ilvl w:val="0"/>
          <w:numId w:val="478"/>
        </w:numPr>
        <w:spacing w:after="0"/>
      </w:pPr>
      <w:r>
        <w:t>Как широко распространено насилие в семье?</w:t>
      </w:r>
    </w:p>
    <w:p w:rsidR="00000000" w:rsidRDefault="00000000">
      <w:pPr>
        <w:numPr>
          <w:ilvl w:val="0"/>
          <w:numId w:val="478"/>
        </w:numPr>
        <w:spacing w:after="0"/>
      </w:pPr>
      <w:r>
        <w:t>Каковы характерные черты насильника?</w:t>
      </w:r>
    </w:p>
    <w:p w:rsidR="00000000" w:rsidRDefault="00000000">
      <w:pPr>
        <w:numPr>
          <w:ilvl w:val="0"/>
          <w:numId w:val="478"/>
        </w:numPr>
        <w:spacing w:after="0"/>
      </w:pPr>
      <w:r>
        <w:t>Почему жертвы не уходят?</w:t>
      </w:r>
    </w:p>
    <w:p w:rsidR="00000000" w:rsidRDefault="00000000">
      <w:pPr>
        <w:numPr>
          <w:ilvl w:val="0"/>
          <w:numId w:val="478"/>
        </w:numPr>
        <w:spacing w:after="0"/>
      </w:pPr>
      <w:r>
        <w:t>Как воздействует на детей насилие в семье?</w:t>
      </w:r>
    </w:p>
    <w:p w:rsidR="00000000" w:rsidRDefault="00000000">
      <w:pPr>
        <w:numPr>
          <w:ilvl w:val="0"/>
          <w:numId w:val="478"/>
        </w:numPr>
        <w:spacing w:after="0"/>
      </w:pPr>
      <w:r>
        <w:t>Как вы можете помочь подвергшемуся насилию?</w:t>
      </w:r>
    </w:p>
    <w:p w:rsidR="00000000" w:rsidRDefault="00000000">
      <w:pPr>
        <w:numPr>
          <w:ilvl w:val="0"/>
          <w:numId w:val="478"/>
        </w:numPr>
      </w:pPr>
      <w:r>
        <w:t>Где вы можете получить помощь?</w:t>
      </w:r>
    </w:p>
    <w:p w:rsidR="00000000" w:rsidRDefault="00000000">
      <w:r>
        <w:t xml:space="preserve">Эти журналы предназначены для жертв, оправляющихся от насилия, и предоставляют безопасное место для выражения личного мнения жертв о пережитом. Буклет и журналы будут рассылаться, среди прочего, во все центры-убежища и распространяться в ходе проведения общественных мероприятий. </w:t>
      </w:r>
    </w:p>
    <w:p w:rsidR="00000000" w:rsidRDefault="00000000">
      <w:r>
        <w:t>123.</w:t>
      </w:r>
      <w:r>
        <w:tab/>
        <w:t>В соответствии со своим мандатом Отдел гендерных проблем счел необходимым уделять особое внимание молодежи эффективной стратегии реформирования социальных норм и обычаев, которые, возможно, служат увековечению неравенства между мужчинами и женщинами. В свете такого понимания Отдел организовал национальный молодежный пропагандистский караван, чтобы:</w:t>
      </w:r>
    </w:p>
    <w:p w:rsidR="00000000" w:rsidRDefault="00000000">
      <w:pPr>
        <w:numPr>
          <w:ilvl w:val="0"/>
          <w:numId w:val="479"/>
        </w:numPr>
        <w:spacing w:after="0"/>
      </w:pPr>
      <w:r>
        <w:t>способствовать распространению информации среди учащихся и осознанию ими важности гендерных проблем, содействуя тем самым ресоциализации и улучшению отношений между мужчинами и женщинами;</w:t>
      </w:r>
    </w:p>
    <w:p w:rsidR="00000000" w:rsidRDefault="00000000">
      <w:pPr>
        <w:numPr>
          <w:ilvl w:val="0"/>
          <w:numId w:val="479"/>
        </w:numPr>
        <w:spacing w:after="0"/>
      </w:pPr>
      <w:r>
        <w:t>помочь молодежи в формировании их гендерных ролей и индивидуальности таким образом, который укрепил бы их личную жизнь и способствовал установлению равенства мужчин и женщин в обществе в целом;</w:t>
      </w:r>
    </w:p>
    <w:p w:rsidR="00000000" w:rsidRDefault="00000000">
      <w:pPr>
        <w:numPr>
          <w:ilvl w:val="0"/>
          <w:numId w:val="479"/>
        </w:numPr>
      </w:pPr>
      <w:r>
        <w:t>собирать информацию по гендерным проблемам, касающимся молодежи, чтобы оказывать воздействие на политические планы и программы, разрабатываемые для молодежи и влияющие на ее жизнь.</w:t>
      </w:r>
    </w:p>
    <w:p w:rsidR="00000000" w:rsidRDefault="00000000">
      <w:r>
        <w:t xml:space="preserve">Работа этого каравана проводилась в семи начальных школах страны. На организованных им курсах затрагивались темы гендерных отношений, насилия в семье и разрешения конфликтов. Обсуждение велось с широким участием слушателей, что позволяло учащимся свободно выражать свои взгляды. В мероприятии приняли участие около 400 учащихся. </w:t>
      </w:r>
    </w:p>
    <w:p w:rsidR="00000000" w:rsidRDefault="00000000">
      <w:r>
        <w:t>124.</w:t>
      </w:r>
      <w:r>
        <w:tab/>
        <w:t>Отдел по вопросам насилия в семье Министерства культуры и гендерных проблем уполномочил Центр художественного творчества Вест-Индского университета оказывать постоянное содействие в постановке пьес, в которых затрагиваются проблемы насилия в семье. Такие пьесы идут в нескольких общинных центрах Тринидада и Тобаго.</w:t>
      </w:r>
    </w:p>
    <w:p w:rsidR="00000000" w:rsidRDefault="00000000">
      <w:r>
        <w:t>125.</w:t>
      </w:r>
      <w:r>
        <w:tab/>
        <w:t xml:space="preserve">За период с 1996 по 1998 год 102 офицера полиции вместе с сотрудниками убежищ/приютов и кризисных центров, добровольцами, членами неправительственных организаций, персоналом Отдела общинного развития Министерства социального и общинного развития и лидерами разных общин со всей страны приняли участие в ряде программ обучения по гендерной тематике, проведенных Отделом гендерных проблем Министерства культуры и гендерных проблем. </w:t>
      </w:r>
    </w:p>
    <w:p w:rsidR="00000000" w:rsidRDefault="00000000">
      <w:r>
        <w:t>126.</w:t>
      </w:r>
      <w:r>
        <w:tab/>
        <w:t>"Работающие женщины за социальный прогресс" – это неправительственная организация, которая по просьбе общин проводит у них семинары по проблемам насилия в отношении женщин и общей проблеме насилия как совокупного проявления вековых традиций, обычаев, взглядов. Основные пять тем семинаров: насилие в отношении женщин, насилие в отношении престарелых, институциональное насилие (в том числе сексуальное домогательство), насилие над детьми и пренебрежительное отношение к детской и подростковой беременности.</w:t>
      </w:r>
    </w:p>
    <w:p w:rsidR="00000000" w:rsidRDefault="00000000">
      <w:r>
        <w:t>127.</w:t>
      </w:r>
      <w:r>
        <w:tab/>
        <w:t>Помимо проведения семинаров о бытовом насилии организация "Работающие женщины за социальный прогресс" создала центр-убежище. Этот центр был основан в марте 1999 года и теперь продолжает служить надежным и безопасным укрытием для тех лиц, особенно женщин, которые подверглись насилию в семье. В центре проводятся также консультации по кризисным ситуациям и работает справочная служба.</w:t>
      </w:r>
    </w:p>
    <w:p w:rsidR="00000000" w:rsidRDefault="00000000">
      <w:r>
        <w:t>128.</w:t>
      </w:r>
      <w:r>
        <w:tab/>
        <w:t>Коалиция Тринидада и Тобаго против насилия в семье является еще одной неправительственной организацией, активно содействующей улучшению положения и реабилитации подвергающихся избиению женщин; Коалиция обращает особое внимание на предотвращение побоев. В этих целях Коалиция занимается политическим планированием, народным просвещением и сбором средств, а также обеспечивает избиваемых женщин правовой защитой. Реализованные за последнее время проекты можно представить следующим образом:</w:t>
      </w:r>
    </w:p>
    <w:p w:rsidR="00000000" w:rsidRDefault="00000000">
      <w:pPr>
        <w:numPr>
          <w:ilvl w:val="0"/>
          <w:numId w:val="480"/>
        </w:numPr>
        <w:spacing w:after="120"/>
      </w:pPr>
      <w:r>
        <w:t xml:space="preserve">1999/2000: Семинары, посвященные вопросу о том, как справляться с гневом и разрешать конфликты, проводились для примерно 350 представителей полиции Тринидада и Тобаго, в частности местной полиции, 999 сотрудников скорой помощи, консультантов, сотрудников полицейских отделений и городской полиции. </w:t>
      </w:r>
    </w:p>
    <w:p w:rsidR="00000000" w:rsidRDefault="00000000">
      <w:pPr>
        <w:numPr>
          <w:ilvl w:val="0"/>
          <w:numId w:val="480"/>
        </w:numPr>
        <w:spacing w:after="120"/>
      </w:pPr>
      <w:r>
        <w:t xml:space="preserve">Организация постоянно консультирует офицеров полиции по их личным, профессиональным и семейным проблемам и стрессовым ситуациям. </w:t>
      </w:r>
    </w:p>
    <w:p w:rsidR="00000000" w:rsidRDefault="00000000">
      <w:pPr>
        <w:numPr>
          <w:ilvl w:val="0"/>
          <w:numId w:val="480"/>
        </w:numPr>
        <w:spacing w:after="120"/>
      </w:pPr>
      <w:r>
        <w:t>Обращение к Фонду Джозефа Фернандеса с просьбой пригласить в Тринидад и Тобаго эксперта для проведения курса подготовки инструкторов-полицейских и женщин-полицейских по сбору сведений о случаях изнасилования детей.</w:t>
      </w:r>
    </w:p>
    <w:p w:rsidR="00000000" w:rsidRDefault="00000000">
      <w:r>
        <w:t>129.</w:t>
      </w:r>
      <w:r>
        <w:tab/>
        <w:t xml:space="preserve">Обследование молодежи на Тобаго, проведенное в 2000 году Ассоциацией планирования семьи Тринидада и Тобаго, выявило, что 8 процентов респондентов не видят ничего особенного в избиении молодым человеком своей подруги. Это говорит о терпимости к поведению, которое может привести к насилию в семье. При этом следует отметить, что с такими высказываниями чаще всего соглашались представители мужского пола, причем имевшие больше сексуальных партнеров, чем те, кто не соглашался. </w:t>
      </w:r>
    </w:p>
    <w:p w:rsidR="00000000" w:rsidRDefault="00000000">
      <w:r>
        <w:t>130.</w:t>
      </w:r>
      <w:r>
        <w:tab/>
        <w:t>Общество по проблемам кризиса, связанного с изнасилованием, Тринидада и Тобаго – неправительственная организация, основанная в 1984 году. Обществу поручено заниматься вопросами сексуального и бытового насилия путем проведения консультаций и просвещения общественности. За прошедшие годы Общество вело работу в следующих областях:</w:t>
      </w:r>
    </w:p>
    <w:p w:rsidR="00000000" w:rsidRDefault="00000000">
      <w:pPr>
        <w:numPr>
          <w:ilvl w:val="0"/>
          <w:numId w:val="481"/>
        </w:numPr>
        <w:spacing w:after="0"/>
        <w:rPr>
          <w:b/>
        </w:rPr>
      </w:pPr>
      <w:r>
        <w:rPr>
          <w:b/>
        </w:rPr>
        <w:t>Консультирование</w:t>
      </w:r>
    </w:p>
    <w:p w:rsidR="00000000" w:rsidRDefault="00000000">
      <w:pPr>
        <w:numPr>
          <w:ilvl w:val="0"/>
          <w:numId w:val="482"/>
        </w:numPr>
        <w:spacing w:after="0"/>
      </w:pPr>
      <w:r>
        <w:t>профессиональное индивидуальное и групповое консультирование</w:t>
      </w:r>
    </w:p>
    <w:p w:rsidR="00000000" w:rsidRDefault="00000000">
      <w:pPr>
        <w:numPr>
          <w:ilvl w:val="0"/>
          <w:numId w:val="482"/>
        </w:numPr>
        <w:spacing w:after="0"/>
      </w:pPr>
      <w:r>
        <w:t>консультирование по горячей линии</w:t>
      </w:r>
    </w:p>
    <w:p w:rsidR="00000000" w:rsidRDefault="00000000">
      <w:pPr>
        <w:numPr>
          <w:ilvl w:val="0"/>
          <w:numId w:val="482"/>
        </w:numPr>
      </w:pPr>
      <w:r>
        <w:t>справочные услуги</w:t>
      </w:r>
    </w:p>
    <w:p w:rsidR="00000000" w:rsidRDefault="00000000">
      <w:pPr>
        <w:numPr>
          <w:ilvl w:val="0"/>
          <w:numId w:val="483"/>
        </w:numPr>
        <w:spacing w:after="0"/>
        <w:rPr>
          <w:b/>
        </w:rPr>
      </w:pPr>
      <w:r>
        <w:rPr>
          <w:b/>
        </w:rPr>
        <w:t>Просвещение</w:t>
      </w:r>
    </w:p>
    <w:p w:rsidR="00000000" w:rsidRDefault="00000000">
      <w:pPr>
        <w:numPr>
          <w:ilvl w:val="0"/>
          <w:numId w:val="484"/>
        </w:numPr>
        <w:spacing w:after="0"/>
      </w:pPr>
      <w:r>
        <w:t>программы просвещения общественности</w:t>
      </w:r>
    </w:p>
    <w:p w:rsidR="00000000" w:rsidRDefault="00000000">
      <w:pPr>
        <w:numPr>
          <w:ilvl w:val="0"/>
          <w:numId w:val="484"/>
        </w:numPr>
        <w:spacing w:after="0"/>
      </w:pPr>
      <w:r>
        <w:t>проект "Караван общин"</w:t>
      </w:r>
    </w:p>
    <w:p w:rsidR="00000000" w:rsidRDefault="00000000">
      <w:pPr>
        <w:numPr>
          <w:ilvl w:val="0"/>
          <w:numId w:val="484"/>
        </w:numPr>
        <w:spacing w:after="0"/>
      </w:pPr>
      <w:r>
        <w:t>выпуск учебных материалов</w:t>
      </w:r>
    </w:p>
    <w:p w:rsidR="00000000" w:rsidRDefault="00000000">
      <w:pPr>
        <w:numPr>
          <w:ilvl w:val="0"/>
          <w:numId w:val="484"/>
        </w:numPr>
      </w:pPr>
      <w:r>
        <w:t>библиотека</w:t>
      </w:r>
    </w:p>
    <w:p w:rsidR="00000000" w:rsidRDefault="00000000">
      <w:pPr>
        <w:numPr>
          <w:ilvl w:val="0"/>
          <w:numId w:val="485"/>
        </w:numPr>
        <w:spacing w:after="0"/>
        <w:rPr>
          <w:b/>
        </w:rPr>
      </w:pPr>
      <w:r>
        <w:rPr>
          <w:b/>
        </w:rPr>
        <w:t>Профессиональная подготовка</w:t>
      </w:r>
    </w:p>
    <w:p w:rsidR="00000000" w:rsidRDefault="00000000">
      <w:pPr>
        <w:numPr>
          <w:ilvl w:val="0"/>
          <w:numId w:val="486"/>
        </w:numPr>
        <w:spacing w:after="0"/>
      </w:pPr>
      <w:r>
        <w:t xml:space="preserve">проект переработки сельскохозяйственной продукции </w:t>
      </w:r>
    </w:p>
    <w:p w:rsidR="00000000" w:rsidRDefault="00000000">
      <w:pPr>
        <w:numPr>
          <w:ilvl w:val="0"/>
          <w:numId w:val="486"/>
        </w:numPr>
      </w:pPr>
      <w:r>
        <w:t>проект пошивочного цеха</w:t>
      </w:r>
    </w:p>
    <w:p w:rsidR="00000000" w:rsidRDefault="00000000">
      <w:pPr>
        <w:numPr>
          <w:ilvl w:val="0"/>
          <w:numId w:val="487"/>
        </w:numPr>
        <w:spacing w:after="0"/>
        <w:rPr>
          <w:b/>
        </w:rPr>
      </w:pPr>
      <w:r>
        <w:rPr>
          <w:b/>
        </w:rPr>
        <w:t>Правовая помощь общинам</w:t>
      </w:r>
    </w:p>
    <w:p w:rsidR="00000000" w:rsidRDefault="00000000">
      <w:pPr>
        <w:numPr>
          <w:ilvl w:val="0"/>
          <w:numId w:val="488"/>
        </w:numPr>
      </w:pPr>
      <w:r>
        <w:t>программа подготовки консультантов, непрофессиональных юристов</w:t>
      </w:r>
    </w:p>
    <w:p w:rsidR="00000000" w:rsidRDefault="00000000">
      <w:pPr>
        <w:numPr>
          <w:ilvl w:val="0"/>
          <w:numId w:val="489"/>
        </w:numPr>
        <w:spacing w:after="0"/>
        <w:rPr>
          <w:b/>
        </w:rPr>
      </w:pPr>
      <w:r>
        <w:rPr>
          <w:b/>
        </w:rPr>
        <w:t>Обучение добровольцев</w:t>
      </w:r>
    </w:p>
    <w:p w:rsidR="00000000" w:rsidRDefault="00000000">
      <w:pPr>
        <w:numPr>
          <w:ilvl w:val="0"/>
          <w:numId w:val="490"/>
        </w:numPr>
        <w:spacing w:after="0"/>
      </w:pPr>
      <w:r>
        <w:t>приобщение к практике консультирования</w:t>
      </w:r>
    </w:p>
    <w:p w:rsidR="00000000" w:rsidRDefault="00000000">
      <w:pPr>
        <w:numPr>
          <w:ilvl w:val="0"/>
          <w:numId w:val="490"/>
        </w:numPr>
        <w:spacing w:after="0"/>
      </w:pPr>
      <w:r>
        <w:t>консультирование на профессиональном уровне</w:t>
      </w:r>
    </w:p>
    <w:p w:rsidR="00000000" w:rsidRDefault="00000000">
      <w:pPr>
        <w:numPr>
          <w:ilvl w:val="0"/>
          <w:numId w:val="490"/>
        </w:numPr>
        <w:spacing w:after="0"/>
      </w:pPr>
      <w:r>
        <w:t>человеческая сексуальность</w:t>
      </w:r>
    </w:p>
    <w:p w:rsidR="00000000" w:rsidRDefault="00000000">
      <w:pPr>
        <w:numPr>
          <w:ilvl w:val="0"/>
          <w:numId w:val="490"/>
        </w:numPr>
      </w:pPr>
      <w:r>
        <w:t>осознание важности гендерных проблем</w:t>
      </w:r>
    </w:p>
    <w:p w:rsidR="00000000" w:rsidRDefault="00000000">
      <w:r>
        <w:t>131.</w:t>
      </w:r>
      <w:r>
        <w:tab/>
        <w:t>В настоящее время Общество по проблемам кризиса, связанного с изнасилованием, проводит бесплатное консультирование лиц, имеющих следующие "социальные проблемы": 1) изнасилование/</w:t>
      </w:r>
      <w:r>
        <w:rPr>
          <w:lang w:val="en-US"/>
        </w:rPr>
        <w:br/>
      </w:r>
      <w:r>
        <w:t>мужеложство; 2)</w:t>
      </w:r>
      <w:r>
        <w:rPr>
          <w:lang w:val="en-US"/>
        </w:rPr>
        <w:t> </w:t>
      </w:r>
      <w:r>
        <w:t>сексуальное насилие над ребенком/инцест; 3)</w:t>
      </w:r>
      <w:r>
        <w:rPr>
          <w:lang w:val="en-US"/>
        </w:rPr>
        <w:t> </w:t>
      </w:r>
      <w:r>
        <w:t>насилие в семье/насилие над супругом; 4)</w:t>
      </w:r>
      <w:r>
        <w:rPr>
          <w:lang w:val="en-US"/>
        </w:rPr>
        <w:t> </w:t>
      </w:r>
      <w:r>
        <w:t>семейные проблемы; 5)</w:t>
      </w:r>
      <w:r>
        <w:rPr>
          <w:lang w:val="en-US"/>
        </w:rPr>
        <w:t> </w:t>
      </w:r>
      <w:r>
        <w:t>личные конфликты. За период с 1985 по 1998</w:t>
      </w:r>
      <w:r>
        <w:rPr>
          <w:lang w:val="en-US"/>
        </w:rPr>
        <w:t> </w:t>
      </w:r>
      <w:r>
        <w:t>год было проконсультировано 2317</w:t>
      </w:r>
      <w:r>
        <w:rPr>
          <w:lang w:val="en-US"/>
        </w:rPr>
        <w:t> </w:t>
      </w:r>
      <w:r>
        <w:t xml:space="preserve">вновь обратившихся за помощью лиц. </w:t>
      </w:r>
    </w:p>
    <w:p w:rsidR="00000000" w:rsidRDefault="00000000">
      <w:pPr>
        <w:spacing w:after="0"/>
        <w:ind w:left="340" w:hanging="340"/>
        <w:jc w:val="left"/>
        <w:rPr>
          <w:b/>
        </w:rPr>
      </w:pPr>
      <w:r>
        <w:rPr>
          <w:b/>
          <w:lang w:val="en-US"/>
        </w:rPr>
        <w:tab/>
      </w:r>
      <w:r>
        <w:rPr>
          <w:b/>
        </w:rPr>
        <w:t>Категории изнасилования, сообщенные клиентами центров по проблемам кризиса, связанного с</w:t>
      </w:r>
      <w:r>
        <w:rPr>
          <w:b/>
          <w:lang w:val="en-US"/>
        </w:rPr>
        <w:t> </w:t>
      </w:r>
      <w:r>
        <w:rPr>
          <w:b/>
        </w:rPr>
        <w:t>изнасилованием, 1994–1997 годы</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3"/>
        <w:gridCol w:w="2552"/>
        <w:gridCol w:w="2552"/>
      </w:tblGrid>
      <w:tr w:rsidR="00000000">
        <w:tblPrEx>
          <w:tblCellMar>
            <w:top w:w="0" w:type="dxa"/>
            <w:bottom w:w="0" w:type="dxa"/>
          </w:tblCellMar>
        </w:tblPrEx>
        <w:tc>
          <w:tcPr>
            <w:tcW w:w="4253" w:type="dxa"/>
          </w:tcPr>
          <w:p w:rsidR="00000000" w:rsidRDefault="00000000">
            <w:pPr>
              <w:spacing w:before="80" w:after="20" w:line="240" w:lineRule="auto"/>
              <w:jc w:val="center"/>
              <w:rPr>
                <w:rFonts w:ascii="Arial" w:hAnsi="Arial"/>
                <w:sz w:val="16"/>
              </w:rPr>
            </w:pPr>
          </w:p>
        </w:tc>
        <w:tc>
          <w:tcPr>
            <w:tcW w:w="2552" w:type="dxa"/>
          </w:tcPr>
          <w:p w:rsidR="00000000" w:rsidRDefault="00000000">
            <w:pPr>
              <w:spacing w:before="80" w:after="20" w:line="240" w:lineRule="auto"/>
              <w:jc w:val="center"/>
              <w:rPr>
                <w:rFonts w:ascii="Arial" w:hAnsi="Arial"/>
                <w:sz w:val="16"/>
              </w:rPr>
            </w:pPr>
            <w:r>
              <w:rPr>
                <w:rFonts w:ascii="Arial" w:hAnsi="Arial"/>
                <w:sz w:val="16"/>
              </w:rPr>
              <w:t>1994 год</w:t>
            </w:r>
          </w:p>
        </w:tc>
        <w:tc>
          <w:tcPr>
            <w:tcW w:w="2552" w:type="dxa"/>
          </w:tcPr>
          <w:p w:rsidR="00000000" w:rsidRDefault="00000000">
            <w:pPr>
              <w:spacing w:before="80" w:after="20" w:line="240" w:lineRule="auto"/>
              <w:jc w:val="center"/>
              <w:rPr>
                <w:rFonts w:ascii="Arial" w:hAnsi="Arial"/>
                <w:sz w:val="16"/>
              </w:rPr>
            </w:pPr>
            <w:r>
              <w:rPr>
                <w:rFonts w:ascii="Arial" w:hAnsi="Arial"/>
                <w:sz w:val="16"/>
              </w:rPr>
              <w:t>1997 год</w:t>
            </w:r>
          </w:p>
        </w:tc>
      </w:tr>
      <w:tr w:rsidR="00000000">
        <w:tblPrEx>
          <w:tblCellMar>
            <w:top w:w="0" w:type="dxa"/>
            <w:bottom w:w="0" w:type="dxa"/>
          </w:tblCellMar>
        </w:tblPrEx>
        <w:tc>
          <w:tcPr>
            <w:tcW w:w="4253" w:type="dxa"/>
          </w:tcPr>
          <w:p w:rsidR="00000000" w:rsidRDefault="00000000">
            <w:pPr>
              <w:spacing w:before="60" w:after="20" w:line="240" w:lineRule="auto"/>
              <w:rPr>
                <w:rFonts w:ascii="Arial" w:hAnsi="Arial"/>
                <w:sz w:val="16"/>
              </w:rPr>
            </w:pPr>
            <w:r>
              <w:rPr>
                <w:rFonts w:ascii="Arial" w:hAnsi="Arial"/>
                <w:sz w:val="16"/>
              </w:rPr>
              <w:t>Изнасилование знакомым</w:t>
            </w:r>
          </w:p>
        </w:tc>
        <w:tc>
          <w:tcPr>
            <w:tcW w:w="2552" w:type="dxa"/>
          </w:tcPr>
          <w:p w:rsidR="00000000" w:rsidRDefault="00000000">
            <w:pPr>
              <w:spacing w:before="60" w:after="20" w:line="240" w:lineRule="auto"/>
              <w:jc w:val="center"/>
              <w:rPr>
                <w:rFonts w:ascii="Arial" w:hAnsi="Arial"/>
                <w:sz w:val="16"/>
              </w:rPr>
            </w:pPr>
            <w:r>
              <w:rPr>
                <w:rFonts w:ascii="Arial" w:hAnsi="Arial"/>
                <w:sz w:val="16"/>
              </w:rPr>
              <w:t>68,0%</w:t>
            </w:r>
          </w:p>
        </w:tc>
        <w:tc>
          <w:tcPr>
            <w:tcW w:w="2552" w:type="dxa"/>
          </w:tcPr>
          <w:p w:rsidR="00000000" w:rsidRDefault="00000000">
            <w:pPr>
              <w:spacing w:before="60" w:after="20" w:line="240" w:lineRule="auto"/>
              <w:jc w:val="center"/>
              <w:rPr>
                <w:rFonts w:ascii="Arial" w:hAnsi="Arial"/>
                <w:sz w:val="16"/>
              </w:rPr>
            </w:pPr>
            <w:r>
              <w:rPr>
                <w:rFonts w:ascii="Arial" w:hAnsi="Arial"/>
                <w:sz w:val="16"/>
              </w:rPr>
              <w:t>45,5%</w:t>
            </w:r>
          </w:p>
        </w:tc>
      </w:tr>
      <w:tr w:rsidR="00000000">
        <w:tblPrEx>
          <w:tblCellMar>
            <w:top w:w="0" w:type="dxa"/>
            <w:bottom w:w="0" w:type="dxa"/>
          </w:tblCellMar>
        </w:tblPrEx>
        <w:tc>
          <w:tcPr>
            <w:tcW w:w="4253" w:type="dxa"/>
          </w:tcPr>
          <w:p w:rsidR="00000000" w:rsidRDefault="00000000">
            <w:pPr>
              <w:spacing w:before="60" w:after="20" w:line="240" w:lineRule="auto"/>
              <w:rPr>
                <w:rFonts w:ascii="Arial" w:hAnsi="Arial"/>
                <w:sz w:val="16"/>
              </w:rPr>
            </w:pPr>
            <w:r>
              <w:rPr>
                <w:rFonts w:ascii="Arial" w:hAnsi="Arial"/>
                <w:sz w:val="16"/>
              </w:rPr>
              <w:t>Изнасилование незнакомым</w:t>
            </w:r>
          </w:p>
        </w:tc>
        <w:tc>
          <w:tcPr>
            <w:tcW w:w="2552" w:type="dxa"/>
          </w:tcPr>
          <w:p w:rsidR="00000000" w:rsidRDefault="00000000">
            <w:pPr>
              <w:spacing w:before="60" w:after="20" w:line="240" w:lineRule="auto"/>
              <w:jc w:val="center"/>
              <w:rPr>
                <w:rFonts w:ascii="Arial" w:hAnsi="Arial"/>
                <w:sz w:val="16"/>
              </w:rPr>
            </w:pPr>
            <w:r>
              <w:rPr>
                <w:rFonts w:ascii="Arial" w:hAnsi="Arial"/>
                <w:sz w:val="16"/>
              </w:rPr>
              <w:t>24,4%</w:t>
            </w:r>
          </w:p>
        </w:tc>
        <w:tc>
          <w:tcPr>
            <w:tcW w:w="2552" w:type="dxa"/>
          </w:tcPr>
          <w:p w:rsidR="00000000" w:rsidRDefault="00000000">
            <w:pPr>
              <w:spacing w:before="60" w:after="20" w:line="240" w:lineRule="auto"/>
              <w:jc w:val="center"/>
              <w:rPr>
                <w:rFonts w:ascii="Arial" w:hAnsi="Arial"/>
                <w:sz w:val="16"/>
              </w:rPr>
            </w:pPr>
            <w:r>
              <w:rPr>
                <w:rFonts w:ascii="Arial" w:hAnsi="Arial"/>
                <w:sz w:val="16"/>
              </w:rPr>
              <w:t>41,1%</w:t>
            </w:r>
          </w:p>
        </w:tc>
      </w:tr>
      <w:tr w:rsidR="00000000">
        <w:tblPrEx>
          <w:tblCellMar>
            <w:top w:w="0" w:type="dxa"/>
            <w:bottom w:w="0" w:type="dxa"/>
          </w:tblCellMar>
        </w:tblPrEx>
        <w:tc>
          <w:tcPr>
            <w:tcW w:w="4253" w:type="dxa"/>
          </w:tcPr>
          <w:p w:rsidR="00000000" w:rsidRDefault="00000000">
            <w:pPr>
              <w:spacing w:before="60" w:after="20" w:line="240" w:lineRule="auto"/>
              <w:rPr>
                <w:rFonts w:ascii="Arial" w:hAnsi="Arial"/>
                <w:sz w:val="16"/>
              </w:rPr>
            </w:pPr>
            <w:r>
              <w:rPr>
                <w:rFonts w:ascii="Arial" w:hAnsi="Arial"/>
                <w:sz w:val="16"/>
              </w:rPr>
              <w:t>Групповое изнасилование</w:t>
            </w:r>
          </w:p>
        </w:tc>
        <w:tc>
          <w:tcPr>
            <w:tcW w:w="2552" w:type="dxa"/>
          </w:tcPr>
          <w:p w:rsidR="00000000" w:rsidRDefault="00000000">
            <w:pPr>
              <w:spacing w:before="60" w:after="20" w:line="240" w:lineRule="auto"/>
              <w:jc w:val="center"/>
              <w:rPr>
                <w:rFonts w:ascii="Arial" w:hAnsi="Arial"/>
                <w:sz w:val="16"/>
              </w:rPr>
            </w:pPr>
            <w:r>
              <w:rPr>
                <w:rFonts w:ascii="Arial" w:hAnsi="Arial"/>
                <w:sz w:val="16"/>
              </w:rPr>
              <w:t>7,6%</w:t>
            </w:r>
          </w:p>
        </w:tc>
        <w:tc>
          <w:tcPr>
            <w:tcW w:w="2552" w:type="dxa"/>
          </w:tcPr>
          <w:p w:rsidR="00000000" w:rsidRDefault="00000000">
            <w:pPr>
              <w:spacing w:before="60" w:after="20" w:line="240" w:lineRule="auto"/>
              <w:jc w:val="center"/>
              <w:rPr>
                <w:rFonts w:ascii="Arial" w:hAnsi="Arial"/>
                <w:sz w:val="16"/>
              </w:rPr>
            </w:pPr>
            <w:r>
              <w:rPr>
                <w:rFonts w:ascii="Arial" w:hAnsi="Arial"/>
                <w:sz w:val="16"/>
              </w:rPr>
              <w:t>13,3%</w:t>
            </w:r>
          </w:p>
        </w:tc>
      </w:tr>
    </w:tbl>
    <w:p w:rsidR="00000000" w:rsidRDefault="00000000">
      <w:pPr>
        <w:rPr>
          <w:b/>
        </w:rPr>
      </w:pPr>
    </w:p>
    <w:p w:rsidR="00000000" w:rsidRDefault="00000000">
      <w:pPr>
        <w:ind w:left="340" w:hanging="340"/>
        <w:jc w:val="left"/>
        <w:rPr>
          <w:b/>
        </w:rPr>
      </w:pPr>
      <w:r>
        <w:rPr>
          <w:b/>
        </w:rPr>
        <w:br w:type="page"/>
      </w:r>
      <w:r>
        <w:rPr>
          <w:b/>
          <w:lang w:val="en-US"/>
        </w:rPr>
        <w:tab/>
      </w:r>
      <w:r>
        <w:rPr>
          <w:b/>
        </w:rPr>
        <w:t>Случаи сексуального насилия и насилия в семье, в связи с которыми проведены консультации в</w:t>
      </w:r>
      <w:r>
        <w:rPr>
          <w:b/>
          <w:lang w:val="en-US"/>
        </w:rPr>
        <w:t> </w:t>
      </w:r>
      <w:r>
        <w:rPr>
          <w:b/>
        </w:rPr>
        <w:t xml:space="preserve">Обществе по проблемам кризиса, связанного с изнасилованием (1991–1999 годы) </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644"/>
        <w:gridCol w:w="1644"/>
        <w:gridCol w:w="1644"/>
        <w:gridCol w:w="1644"/>
        <w:gridCol w:w="1644"/>
      </w:tblGrid>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ГОД</w:t>
            </w:r>
          </w:p>
        </w:tc>
        <w:tc>
          <w:tcPr>
            <w:tcW w:w="1644" w:type="dxa"/>
          </w:tcPr>
          <w:p w:rsidR="00000000" w:rsidRDefault="00000000">
            <w:pPr>
              <w:spacing w:before="20" w:after="20"/>
              <w:jc w:val="center"/>
              <w:rPr>
                <w:rFonts w:ascii="Arial" w:hAnsi="Arial"/>
                <w:sz w:val="16"/>
              </w:rPr>
            </w:pPr>
            <w:r>
              <w:rPr>
                <w:rFonts w:ascii="Arial" w:hAnsi="Arial"/>
                <w:sz w:val="16"/>
              </w:rPr>
              <w:t>ИЗНАСИЛОВАНИЕ</w:t>
            </w:r>
          </w:p>
        </w:tc>
        <w:tc>
          <w:tcPr>
            <w:tcW w:w="1644" w:type="dxa"/>
          </w:tcPr>
          <w:p w:rsidR="00000000" w:rsidRDefault="00000000">
            <w:pPr>
              <w:spacing w:before="20" w:after="20"/>
              <w:jc w:val="center"/>
              <w:rPr>
                <w:rFonts w:ascii="Arial" w:hAnsi="Arial"/>
                <w:sz w:val="16"/>
              </w:rPr>
            </w:pPr>
            <w:r>
              <w:rPr>
                <w:rFonts w:ascii="Arial" w:hAnsi="Arial"/>
                <w:sz w:val="16"/>
              </w:rPr>
              <w:t>ИНЦЕСТ</w:t>
            </w:r>
          </w:p>
        </w:tc>
        <w:tc>
          <w:tcPr>
            <w:tcW w:w="1644" w:type="dxa"/>
          </w:tcPr>
          <w:p w:rsidR="00000000" w:rsidRDefault="00000000">
            <w:pPr>
              <w:spacing w:before="20" w:after="20"/>
              <w:jc w:val="center"/>
              <w:rPr>
                <w:rFonts w:ascii="Arial" w:hAnsi="Arial"/>
                <w:sz w:val="16"/>
              </w:rPr>
            </w:pPr>
            <w:r>
              <w:rPr>
                <w:rFonts w:ascii="Arial" w:hAnsi="Arial"/>
                <w:sz w:val="16"/>
              </w:rPr>
              <w:t xml:space="preserve">НАСИЛИЕ </w:t>
            </w:r>
            <w:r>
              <w:rPr>
                <w:rFonts w:ascii="Arial" w:hAnsi="Arial"/>
                <w:sz w:val="16"/>
              </w:rPr>
              <w:br/>
              <w:t>В СЕМЬЕ</w:t>
            </w:r>
          </w:p>
        </w:tc>
        <w:tc>
          <w:tcPr>
            <w:tcW w:w="1644" w:type="dxa"/>
          </w:tcPr>
          <w:p w:rsidR="00000000" w:rsidRDefault="00000000">
            <w:pPr>
              <w:spacing w:before="20" w:after="20"/>
              <w:jc w:val="center"/>
              <w:rPr>
                <w:rFonts w:ascii="Arial" w:hAnsi="Arial"/>
                <w:sz w:val="16"/>
              </w:rPr>
            </w:pPr>
            <w:r>
              <w:rPr>
                <w:rFonts w:ascii="Arial" w:hAnsi="Arial"/>
                <w:sz w:val="16"/>
              </w:rPr>
              <w:t>СЕКСУАЛЬНОЕ ДОМОГАТЕЛЬСТВО</w:t>
            </w:r>
          </w:p>
        </w:tc>
        <w:tc>
          <w:tcPr>
            <w:tcW w:w="1644" w:type="dxa"/>
          </w:tcPr>
          <w:p w:rsidR="00000000" w:rsidRDefault="00000000">
            <w:pPr>
              <w:spacing w:before="20" w:after="20"/>
              <w:jc w:val="center"/>
              <w:rPr>
                <w:rFonts w:ascii="Arial" w:hAnsi="Arial"/>
                <w:sz w:val="16"/>
              </w:rPr>
            </w:pPr>
            <w:r>
              <w:rPr>
                <w:rFonts w:ascii="Arial" w:hAnsi="Arial"/>
                <w:sz w:val="16"/>
              </w:rPr>
              <w:t>ВСЕГО</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1991</w:t>
            </w:r>
          </w:p>
        </w:tc>
        <w:tc>
          <w:tcPr>
            <w:tcW w:w="1644" w:type="dxa"/>
          </w:tcPr>
          <w:p w:rsidR="00000000" w:rsidRDefault="00000000">
            <w:pPr>
              <w:spacing w:before="20" w:after="20"/>
              <w:jc w:val="center"/>
              <w:rPr>
                <w:rFonts w:ascii="Arial" w:hAnsi="Arial"/>
                <w:sz w:val="16"/>
              </w:rPr>
            </w:pPr>
            <w:r>
              <w:rPr>
                <w:rFonts w:ascii="Arial" w:hAnsi="Arial"/>
                <w:sz w:val="16"/>
              </w:rPr>
              <w:t>68</w:t>
            </w:r>
          </w:p>
        </w:tc>
        <w:tc>
          <w:tcPr>
            <w:tcW w:w="1644" w:type="dxa"/>
          </w:tcPr>
          <w:p w:rsidR="00000000" w:rsidRDefault="00000000">
            <w:pPr>
              <w:spacing w:before="20" w:after="20"/>
              <w:jc w:val="center"/>
              <w:rPr>
                <w:rFonts w:ascii="Arial" w:hAnsi="Arial"/>
                <w:sz w:val="16"/>
              </w:rPr>
            </w:pPr>
            <w:r>
              <w:rPr>
                <w:rFonts w:ascii="Arial" w:hAnsi="Arial"/>
                <w:sz w:val="16"/>
              </w:rPr>
              <w:t>22</w:t>
            </w:r>
          </w:p>
        </w:tc>
        <w:tc>
          <w:tcPr>
            <w:tcW w:w="1644" w:type="dxa"/>
          </w:tcPr>
          <w:p w:rsidR="00000000" w:rsidRDefault="00000000">
            <w:pPr>
              <w:spacing w:before="20" w:after="20"/>
              <w:jc w:val="center"/>
              <w:rPr>
                <w:rFonts w:ascii="Arial" w:hAnsi="Arial"/>
                <w:sz w:val="16"/>
              </w:rPr>
            </w:pPr>
            <w:r>
              <w:rPr>
                <w:rFonts w:ascii="Arial" w:hAnsi="Arial"/>
                <w:sz w:val="16"/>
              </w:rPr>
              <w:t>16</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106</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1992</w:t>
            </w:r>
          </w:p>
        </w:tc>
        <w:tc>
          <w:tcPr>
            <w:tcW w:w="1644" w:type="dxa"/>
          </w:tcPr>
          <w:p w:rsidR="00000000" w:rsidRDefault="00000000">
            <w:pPr>
              <w:spacing w:before="20" w:after="20"/>
              <w:jc w:val="center"/>
              <w:rPr>
                <w:rFonts w:ascii="Arial" w:hAnsi="Arial"/>
                <w:sz w:val="16"/>
              </w:rPr>
            </w:pPr>
            <w:r>
              <w:rPr>
                <w:rFonts w:ascii="Arial" w:hAnsi="Arial"/>
                <w:sz w:val="16"/>
              </w:rPr>
              <w:t>82</w:t>
            </w:r>
          </w:p>
        </w:tc>
        <w:tc>
          <w:tcPr>
            <w:tcW w:w="1644" w:type="dxa"/>
          </w:tcPr>
          <w:p w:rsidR="00000000" w:rsidRDefault="00000000">
            <w:pPr>
              <w:spacing w:before="20" w:after="20"/>
              <w:jc w:val="center"/>
              <w:rPr>
                <w:rFonts w:ascii="Arial" w:hAnsi="Arial"/>
                <w:sz w:val="16"/>
              </w:rPr>
            </w:pPr>
            <w:r>
              <w:rPr>
                <w:rFonts w:ascii="Arial" w:hAnsi="Arial"/>
                <w:sz w:val="16"/>
              </w:rPr>
              <w:t>42</w:t>
            </w:r>
          </w:p>
        </w:tc>
        <w:tc>
          <w:tcPr>
            <w:tcW w:w="1644" w:type="dxa"/>
          </w:tcPr>
          <w:p w:rsidR="00000000" w:rsidRDefault="00000000">
            <w:pPr>
              <w:spacing w:before="20" w:after="20"/>
              <w:jc w:val="center"/>
              <w:rPr>
                <w:rFonts w:ascii="Arial" w:hAnsi="Arial"/>
                <w:sz w:val="16"/>
              </w:rPr>
            </w:pPr>
            <w:r>
              <w:rPr>
                <w:rFonts w:ascii="Arial" w:hAnsi="Arial"/>
                <w:sz w:val="16"/>
              </w:rPr>
              <w:t>26</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150</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1993</w:t>
            </w:r>
          </w:p>
        </w:tc>
        <w:tc>
          <w:tcPr>
            <w:tcW w:w="1644" w:type="dxa"/>
          </w:tcPr>
          <w:p w:rsidR="00000000" w:rsidRDefault="00000000">
            <w:pPr>
              <w:spacing w:before="20" w:after="20"/>
              <w:jc w:val="center"/>
              <w:rPr>
                <w:rFonts w:ascii="Arial" w:hAnsi="Arial"/>
                <w:sz w:val="16"/>
              </w:rPr>
            </w:pPr>
            <w:r>
              <w:rPr>
                <w:rFonts w:ascii="Arial" w:hAnsi="Arial"/>
                <w:sz w:val="16"/>
              </w:rPr>
              <w:t>95</w:t>
            </w:r>
          </w:p>
        </w:tc>
        <w:tc>
          <w:tcPr>
            <w:tcW w:w="1644" w:type="dxa"/>
          </w:tcPr>
          <w:p w:rsidR="00000000" w:rsidRDefault="00000000">
            <w:pPr>
              <w:spacing w:before="20" w:after="20"/>
              <w:jc w:val="center"/>
              <w:rPr>
                <w:rFonts w:ascii="Arial" w:hAnsi="Arial"/>
                <w:sz w:val="16"/>
              </w:rPr>
            </w:pPr>
            <w:r>
              <w:rPr>
                <w:rFonts w:ascii="Arial" w:hAnsi="Arial"/>
                <w:sz w:val="16"/>
              </w:rPr>
              <w:t>40</w:t>
            </w:r>
          </w:p>
        </w:tc>
        <w:tc>
          <w:tcPr>
            <w:tcW w:w="1644" w:type="dxa"/>
          </w:tcPr>
          <w:p w:rsidR="00000000" w:rsidRDefault="00000000">
            <w:pPr>
              <w:spacing w:before="20" w:after="20"/>
              <w:jc w:val="center"/>
              <w:rPr>
                <w:rFonts w:ascii="Arial" w:hAnsi="Arial"/>
                <w:sz w:val="16"/>
              </w:rPr>
            </w:pPr>
            <w:r>
              <w:rPr>
                <w:rFonts w:ascii="Arial" w:hAnsi="Arial"/>
                <w:sz w:val="16"/>
              </w:rPr>
              <w:t>31</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166</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1994</w:t>
            </w:r>
          </w:p>
        </w:tc>
        <w:tc>
          <w:tcPr>
            <w:tcW w:w="1644" w:type="dxa"/>
          </w:tcPr>
          <w:p w:rsidR="00000000" w:rsidRDefault="00000000">
            <w:pPr>
              <w:spacing w:before="20" w:after="20"/>
              <w:jc w:val="center"/>
              <w:rPr>
                <w:rFonts w:ascii="Arial" w:hAnsi="Arial"/>
                <w:sz w:val="16"/>
              </w:rPr>
            </w:pPr>
            <w:r>
              <w:rPr>
                <w:rFonts w:ascii="Arial" w:hAnsi="Arial"/>
                <w:sz w:val="16"/>
              </w:rPr>
              <w:t>90</w:t>
            </w:r>
          </w:p>
        </w:tc>
        <w:tc>
          <w:tcPr>
            <w:tcW w:w="1644" w:type="dxa"/>
          </w:tcPr>
          <w:p w:rsidR="00000000" w:rsidRDefault="00000000">
            <w:pPr>
              <w:spacing w:before="20" w:after="20"/>
              <w:jc w:val="center"/>
              <w:rPr>
                <w:rFonts w:ascii="Arial" w:hAnsi="Arial"/>
                <w:sz w:val="16"/>
              </w:rPr>
            </w:pPr>
            <w:r>
              <w:rPr>
                <w:rFonts w:ascii="Arial" w:hAnsi="Arial"/>
                <w:sz w:val="16"/>
              </w:rPr>
              <w:t>40</w:t>
            </w:r>
          </w:p>
        </w:tc>
        <w:tc>
          <w:tcPr>
            <w:tcW w:w="1644" w:type="dxa"/>
          </w:tcPr>
          <w:p w:rsidR="00000000" w:rsidRDefault="00000000">
            <w:pPr>
              <w:spacing w:before="20" w:after="20"/>
              <w:jc w:val="center"/>
              <w:rPr>
                <w:rFonts w:ascii="Arial" w:hAnsi="Arial"/>
                <w:sz w:val="16"/>
              </w:rPr>
            </w:pPr>
            <w:r>
              <w:rPr>
                <w:rFonts w:ascii="Arial" w:hAnsi="Arial"/>
                <w:sz w:val="16"/>
              </w:rPr>
              <w:t>60</w:t>
            </w:r>
          </w:p>
        </w:tc>
        <w:tc>
          <w:tcPr>
            <w:tcW w:w="1644" w:type="dxa"/>
          </w:tcPr>
          <w:p w:rsidR="00000000" w:rsidRDefault="00000000">
            <w:pPr>
              <w:spacing w:before="20" w:after="20"/>
              <w:jc w:val="center"/>
              <w:rPr>
                <w:rFonts w:ascii="Arial" w:hAnsi="Arial"/>
                <w:sz w:val="16"/>
              </w:rPr>
            </w:pPr>
            <w:r>
              <w:rPr>
                <w:rFonts w:ascii="Arial" w:hAnsi="Arial"/>
                <w:sz w:val="16"/>
              </w:rPr>
              <w:t>2</w:t>
            </w:r>
          </w:p>
        </w:tc>
        <w:tc>
          <w:tcPr>
            <w:tcW w:w="1644" w:type="dxa"/>
          </w:tcPr>
          <w:p w:rsidR="00000000" w:rsidRDefault="00000000">
            <w:pPr>
              <w:spacing w:before="20" w:after="20"/>
              <w:jc w:val="center"/>
              <w:rPr>
                <w:rFonts w:ascii="Arial" w:hAnsi="Arial"/>
                <w:sz w:val="16"/>
              </w:rPr>
            </w:pPr>
            <w:r>
              <w:rPr>
                <w:rFonts w:ascii="Arial" w:hAnsi="Arial"/>
                <w:sz w:val="16"/>
              </w:rPr>
              <w:t>192</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1995</w:t>
            </w:r>
          </w:p>
        </w:tc>
        <w:tc>
          <w:tcPr>
            <w:tcW w:w="1644" w:type="dxa"/>
          </w:tcPr>
          <w:p w:rsidR="00000000" w:rsidRDefault="00000000">
            <w:pPr>
              <w:spacing w:before="20" w:after="20"/>
              <w:jc w:val="center"/>
              <w:rPr>
                <w:rFonts w:ascii="Arial" w:hAnsi="Arial"/>
                <w:sz w:val="16"/>
              </w:rPr>
            </w:pPr>
            <w:r>
              <w:rPr>
                <w:rFonts w:ascii="Arial" w:hAnsi="Arial"/>
                <w:sz w:val="16"/>
              </w:rPr>
              <w:t>82</w:t>
            </w:r>
          </w:p>
        </w:tc>
        <w:tc>
          <w:tcPr>
            <w:tcW w:w="1644" w:type="dxa"/>
          </w:tcPr>
          <w:p w:rsidR="00000000" w:rsidRDefault="00000000">
            <w:pPr>
              <w:spacing w:before="20" w:after="20"/>
              <w:jc w:val="center"/>
              <w:rPr>
                <w:rFonts w:ascii="Arial" w:hAnsi="Arial"/>
                <w:sz w:val="16"/>
              </w:rPr>
            </w:pPr>
            <w:r>
              <w:rPr>
                <w:rFonts w:ascii="Arial" w:hAnsi="Arial"/>
                <w:sz w:val="16"/>
              </w:rPr>
              <w:t>61</w:t>
            </w:r>
          </w:p>
        </w:tc>
        <w:tc>
          <w:tcPr>
            <w:tcW w:w="1644" w:type="dxa"/>
          </w:tcPr>
          <w:p w:rsidR="00000000" w:rsidRDefault="00000000">
            <w:pPr>
              <w:spacing w:before="20" w:after="20"/>
              <w:jc w:val="center"/>
              <w:rPr>
                <w:rFonts w:ascii="Arial" w:hAnsi="Arial"/>
                <w:sz w:val="16"/>
              </w:rPr>
            </w:pPr>
            <w:r>
              <w:rPr>
                <w:rFonts w:ascii="Arial" w:hAnsi="Arial"/>
                <w:sz w:val="16"/>
              </w:rPr>
              <w:t>33</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176</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1996</w:t>
            </w:r>
          </w:p>
        </w:tc>
        <w:tc>
          <w:tcPr>
            <w:tcW w:w="1644" w:type="dxa"/>
          </w:tcPr>
          <w:p w:rsidR="00000000" w:rsidRDefault="00000000">
            <w:pPr>
              <w:spacing w:before="20" w:after="20"/>
              <w:jc w:val="center"/>
              <w:rPr>
                <w:rFonts w:ascii="Arial" w:hAnsi="Arial"/>
                <w:sz w:val="16"/>
              </w:rPr>
            </w:pPr>
            <w:r>
              <w:rPr>
                <w:rFonts w:ascii="Arial" w:hAnsi="Arial"/>
                <w:sz w:val="16"/>
              </w:rPr>
              <w:t>61</w:t>
            </w:r>
          </w:p>
        </w:tc>
        <w:tc>
          <w:tcPr>
            <w:tcW w:w="1644" w:type="dxa"/>
          </w:tcPr>
          <w:p w:rsidR="00000000" w:rsidRDefault="00000000">
            <w:pPr>
              <w:spacing w:before="20" w:after="20"/>
              <w:jc w:val="center"/>
              <w:rPr>
                <w:rFonts w:ascii="Arial" w:hAnsi="Arial"/>
                <w:sz w:val="16"/>
              </w:rPr>
            </w:pPr>
            <w:r>
              <w:rPr>
                <w:rFonts w:ascii="Arial" w:hAnsi="Arial"/>
                <w:sz w:val="16"/>
              </w:rPr>
              <w:t>45</w:t>
            </w:r>
          </w:p>
        </w:tc>
        <w:tc>
          <w:tcPr>
            <w:tcW w:w="1644" w:type="dxa"/>
          </w:tcPr>
          <w:p w:rsidR="00000000" w:rsidRDefault="00000000">
            <w:pPr>
              <w:spacing w:before="20" w:after="20"/>
              <w:jc w:val="center"/>
              <w:rPr>
                <w:rFonts w:ascii="Arial" w:hAnsi="Arial"/>
                <w:sz w:val="16"/>
              </w:rPr>
            </w:pPr>
            <w:r>
              <w:rPr>
                <w:rFonts w:ascii="Arial" w:hAnsi="Arial"/>
                <w:sz w:val="16"/>
              </w:rPr>
              <w:t>30</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136</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1997</w:t>
            </w:r>
          </w:p>
        </w:tc>
        <w:tc>
          <w:tcPr>
            <w:tcW w:w="1644" w:type="dxa"/>
          </w:tcPr>
          <w:p w:rsidR="00000000" w:rsidRDefault="00000000">
            <w:pPr>
              <w:spacing w:before="20" w:after="20"/>
              <w:jc w:val="center"/>
              <w:rPr>
                <w:rFonts w:ascii="Arial" w:hAnsi="Arial"/>
                <w:sz w:val="16"/>
              </w:rPr>
            </w:pPr>
            <w:r>
              <w:rPr>
                <w:rFonts w:ascii="Arial" w:hAnsi="Arial"/>
                <w:sz w:val="16"/>
              </w:rPr>
              <w:t>90</w:t>
            </w:r>
          </w:p>
        </w:tc>
        <w:tc>
          <w:tcPr>
            <w:tcW w:w="1644" w:type="dxa"/>
          </w:tcPr>
          <w:p w:rsidR="00000000" w:rsidRDefault="00000000">
            <w:pPr>
              <w:spacing w:before="20" w:after="20"/>
              <w:jc w:val="center"/>
              <w:rPr>
                <w:rFonts w:ascii="Arial" w:hAnsi="Arial"/>
                <w:sz w:val="16"/>
              </w:rPr>
            </w:pPr>
            <w:r>
              <w:rPr>
                <w:rFonts w:ascii="Arial" w:hAnsi="Arial"/>
                <w:sz w:val="16"/>
              </w:rPr>
              <w:t>54</w:t>
            </w:r>
          </w:p>
        </w:tc>
        <w:tc>
          <w:tcPr>
            <w:tcW w:w="1644" w:type="dxa"/>
          </w:tcPr>
          <w:p w:rsidR="00000000" w:rsidRDefault="00000000">
            <w:pPr>
              <w:spacing w:before="20" w:after="20"/>
              <w:jc w:val="center"/>
              <w:rPr>
                <w:rFonts w:ascii="Arial" w:hAnsi="Arial"/>
                <w:sz w:val="16"/>
              </w:rPr>
            </w:pPr>
            <w:r>
              <w:rPr>
                <w:rFonts w:ascii="Arial" w:hAnsi="Arial"/>
                <w:sz w:val="16"/>
              </w:rPr>
              <w:t>35</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179</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1998</w:t>
            </w:r>
          </w:p>
        </w:tc>
        <w:tc>
          <w:tcPr>
            <w:tcW w:w="1644" w:type="dxa"/>
          </w:tcPr>
          <w:p w:rsidR="00000000" w:rsidRDefault="00000000">
            <w:pPr>
              <w:spacing w:before="20" w:after="20"/>
              <w:jc w:val="center"/>
              <w:rPr>
                <w:rFonts w:ascii="Arial" w:hAnsi="Arial"/>
                <w:sz w:val="16"/>
              </w:rPr>
            </w:pPr>
            <w:r>
              <w:rPr>
                <w:rFonts w:ascii="Arial" w:hAnsi="Arial"/>
                <w:sz w:val="16"/>
              </w:rPr>
              <w:t>75</w:t>
            </w:r>
          </w:p>
        </w:tc>
        <w:tc>
          <w:tcPr>
            <w:tcW w:w="1644" w:type="dxa"/>
          </w:tcPr>
          <w:p w:rsidR="00000000" w:rsidRDefault="00000000">
            <w:pPr>
              <w:spacing w:before="20" w:after="20"/>
              <w:jc w:val="center"/>
              <w:rPr>
                <w:rFonts w:ascii="Arial" w:hAnsi="Arial"/>
                <w:sz w:val="16"/>
              </w:rPr>
            </w:pPr>
            <w:r>
              <w:rPr>
                <w:rFonts w:ascii="Arial" w:hAnsi="Arial"/>
                <w:sz w:val="16"/>
              </w:rPr>
              <w:t>74</w:t>
            </w:r>
          </w:p>
        </w:tc>
        <w:tc>
          <w:tcPr>
            <w:tcW w:w="1644" w:type="dxa"/>
          </w:tcPr>
          <w:p w:rsidR="00000000" w:rsidRDefault="00000000">
            <w:pPr>
              <w:spacing w:before="20" w:after="20"/>
              <w:jc w:val="center"/>
              <w:rPr>
                <w:rFonts w:ascii="Arial" w:hAnsi="Arial"/>
                <w:sz w:val="16"/>
              </w:rPr>
            </w:pPr>
            <w:r>
              <w:rPr>
                <w:rFonts w:ascii="Arial" w:hAnsi="Arial"/>
                <w:sz w:val="16"/>
              </w:rPr>
              <w:t>36</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185</w:t>
            </w:r>
          </w:p>
        </w:tc>
      </w:tr>
      <w:tr w:rsidR="00000000">
        <w:tblPrEx>
          <w:tblCellMar>
            <w:top w:w="0" w:type="dxa"/>
            <w:bottom w:w="0" w:type="dxa"/>
          </w:tblCellMar>
        </w:tblPrEx>
        <w:tc>
          <w:tcPr>
            <w:tcW w:w="1134" w:type="dxa"/>
          </w:tcPr>
          <w:p w:rsidR="00000000" w:rsidRDefault="00000000">
            <w:pPr>
              <w:spacing w:before="20" w:after="20"/>
              <w:jc w:val="center"/>
              <w:rPr>
                <w:rFonts w:ascii="Arial" w:hAnsi="Arial"/>
                <w:sz w:val="16"/>
              </w:rPr>
            </w:pPr>
            <w:r>
              <w:rPr>
                <w:rFonts w:ascii="Arial" w:hAnsi="Arial"/>
                <w:sz w:val="16"/>
              </w:rPr>
              <w:t>1999</w:t>
            </w:r>
          </w:p>
        </w:tc>
        <w:tc>
          <w:tcPr>
            <w:tcW w:w="1644" w:type="dxa"/>
          </w:tcPr>
          <w:p w:rsidR="00000000" w:rsidRDefault="00000000">
            <w:pPr>
              <w:spacing w:before="20" w:after="20"/>
              <w:jc w:val="center"/>
              <w:rPr>
                <w:rFonts w:ascii="Arial" w:hAnsi="Arial"/>
                <w:sz w:val="16"/>
              </w:rPr>
            </w:pPr>
            <w:r>
              <w:rPr>
                <w:rFonts w:ascii="Arial" w:hAnsi="Arial"/>
                <w:sz w:val="16"/>
              </w:rPr>
              <w:t>67</w:t>
            </w:r>
          </w:p>
        </w:tc>
        <w:tc>
          <w:tcPr>
            <w:tcW w:w="1644" w:type="dxa"/>
          </w:tcPr>
          <w:p w:rsidR="00000000" w:rsidRDefault="00000000">
            <w:pPr>
              <w:spacing w:before="20" w:after="20"/>
              <w:jc w:val="center"/>
              <w:rPr>
                <w:rFonts w:ascii="Arial" w:hAnsi="Arial"/>
                <w:sz w:val="16"/>
              </w:rPr>
            </w:pPr>
            <w:r>
              <w:rPr>
                <w:rFonts w:ascii="Arial" w:hAnsi="Arial"/>
                <w:sz w:val="16"/>
              </w:rPr>
              <w:t>33</w:t>
            </w:r>
          </w:p>
        </w:tc>
        <w:tc>
          <w:tcPr>
            <w:tcW w:w="1644" w:type="dxa"/>
          </w:tcPr>
          <w:p w:rsidR="00000000" w:rsidRDefault="00000000">
            <w:pPr>
              <w:spacing w:before="20" w:after="20"/>
              <w:jc w:val="center"/>
              <w:rPr>
                <w:rFonts w:ascii="Arial" w:hAnsi="Arial"/>
                <w:sz w:val="16"/>
              </w:rPr>
            </w:pPr>
            <w:r>
              <w:rPr>
                <w:rFonts w:ascii="Arial" w:hAnsi="Arial"/>
                <w:sz w:val="16"/>
              </w:rPr>
              <w:t>27</w:t>
            </w:r>
          </w:p>
        </w:tc>
        <w:tc>
          <w:tcPr>
            <w:tcW w:w="1644" w:type="dxa"/>
          </w:tcPr>
          <w:p w:rsidR="00000000" w:rsidRDefault="00000000">
            <w:pPr>
              <w:spacing w:before="20" w:after="20"/>
              <w:jc w:val="center"/>
              <w:rPr>
                <w:rFonts w:ascii="Arial" w:hAnsi="Arial"/>
                <w:sz w:val="16"/>
                <w:lang w:val="en-US"/>
              </w:rPr>
            </w:pPr>
            <w:r>
              <w:rPr>
                <w:rFonts w:ascii="Arial" w:hAnsi="Arial"/>
                <w:sz w:val="16"/>
                <w:lang w:val="en-US"/>
              </w:rPr>
              <w:t>–</w:t>
            </w:r>
          </w:p>
        </w:tc>
        <w:tc>
          <w:tcPr>
            <w:tcW w:w="1644" w:type="dxa"/>
          </w:tcPr>
          <w:p w:rsidR="00000000" w:rsidRDefault="00000000">
            <w:pPr>
              <w:spacing w:before="20" w:after="20"/>
              <w:jc w:val="center"/>
              <w:rPr>
                <w:rFonts w:ascii="Arial" w:hAnsi="Arial"/>
                <w:sz w:val="16"/>
              </w:rPr>
            </w:pPr>
            <w:r>
              <w:rPr>
                <w:rFonts w:ascii="Arial" w:hAnsi="Arial"/>
                <w:sz w:val="16"/>
              </w:rPr>
              <w:t>127</w:t>
            </w:r>
          </w:p>
        </w:tc>
      </w:tr>
    </w:tbl>
    <w:p w:rsidR="00000000" w:rsidRDefault="00000000"/>
    <w:p w:rsidR="00000000" w:rsidRDefault="00000000">
      <w:r>
        <w:t>132.</w:t>
      </w:r>
      <w:r>
        <w:tab/>
        <w:t>В своем обращении к сенату в 1998 году, где говорилось о распространенности в стране сексуального насилия, направленного против женщин, тогдашний министр культуры и гендерных проблем указала, что, по данным проведенного исследования, 80 процентов всех случаев такого насилия были совершены лицами, знакомыми жертве, и что большинство этих лиц имели семейные отношения с жертвой. Остальные 20 процентов половых преступлений совершаются с использованием физического насилия преступником (преступниками), незнакомым жертве, и при обстоятельствах, характеризующихся жестокостью поведения и часто опасных для жизни. В этом отношении статистические данные, предоставленные Министерством национальной безопасности, свидетельствуют о том, что в 1994 году было зарегистрировано в общей сложности 254 случая полового преступления, в 1995 году – 309 случаев и 1996 году – 295 случаев.</w:t>
      </w:r>
    </w:p>
    <w:p w:rsidR="00000000" w:rsidRDefault="00000000">
      <w:pPr>
        <w:spacing w:after="0"/>
        <w:ind w:left="340" w:hanging="340"/>
        <w:jc w:val="left"/>
        <w:rPr>
          <w:b/>
        </w:rPr>
      </w:pPr>
      <w:r>
        <w:rPr>
          <w:b/>
          <w:lang w:val="en-US"/>
        </w:rPr>
        <w:tab/>
      </w:r>
      <w:r>
        <w:rPr>
          <w:b/>
        </w:rPr>
        <w:t>Число изнасилований/половых преступлений, зарегистрированных в Тринидаде и Тобаго, с разбивкой по административным округам и регионам, 1996 год</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30"/>
        <w:gridCol w:w="2665"/>
        <w:gridCol w:w="1304"/>
      </w:tblGrid>
      <w:tr w:rsidR="00000000">
        <w:tblPrEx>
          <w:tblCellMar>
            <w:top w:w="0" w:type="dxa"/>
            <w:bottom w:w="0" w:type="dxa"/>
          </w:tblCellMar>
        </w:tblPrEx>
        <w:tc>
          <w:tcPr>
            <w:tcW w:w="5330" w:type="dxa"/>
          </w:tcPr>
          <w:p w:rsidR="00000000" w:rsidRDefault="00000000">
            <w:pPr>
              <w:spacing w:before="60" w:after="20" w:line="240" w:lineRule="auto"/>
              <w:jc w:val="left"/>
              <w:rPr>
                <w:rFonts w:ascii="Arial" w:hAnsi="Arial"/>
                <w:sz w:val="16"/>
              </w:rPr>
            </w:pPr>
            <w:r>
              <w:rPr>
                <w:rFonts w:ascii="Arial" w:hAnsi="Arial"/>
                <w:sz w:val="16"/>
              </w:rPr>
              <w:t>Регион</w:t>
            </w:r>
          </w:p>
        </w:tc>
        <w:tc>
          <w:tcPr>
            <w:tcW w:w="2665" w:type="dxa"/>
          </w:tcPr>
          <w:p w:rsidR="00000000" w:rsidRDefault="00000000">
            <w:pPr>
              <w:spacing w:before="60" w:after="20" w:line="240" w:lineRule="auto"/>
              <w:jc w:val="center"/>
              <w:rPr>
                <w:rFonts w:ascii="Arial" w:hAnsi="Arial"/>
                <w:sz w:val="16"/>
              </w:rPr>
            </w:pPr>
            <w:r>
              <w:rPr>
                <w:rFonts w:ascii="Arial" w:hAnsi="Arial"/>
                <w:sz w:val="16"/>
              </w:rPr>
              <w:t>Число изнасилований/половых преступлений</w:t>
            </w:r>
          </w:p>
        </w:tc>
        <w:tc>
          <w:tcPr>
            <w:tcW w:w="1304" w:type="dxa"/>
          </w:tcPr>
          <w:p w:rsidR="00000000" w:rsidRDefault="00000000">
            <w:pPr>
              <w:spacing w:before="60" w:after="20" w:line="240" w:lineRule="auto"/>
              <w:jc w:val="center"/>
              <w:rPr>
                <w:rFonts w:ascii="Arial" w:hAnsi="Arial"/>
                <w:sz w:val="16"/>
              </w:rPr>
            </w:pPr>
            <w:r>
              <w:rPr>
                <w:rFonts w:ascii="Arial" w:hAnsi="Arial"/>
                <w:sz w:val="16"/>
              </w:rPr>
              <w:t>В процентах</w:t>
            </w:r>
          </w:p>
        </w:tc>
      </w:tr>
      <w:tr w:rsidR="00000000">
        <w:tblPrEx>
          <w:tblCellMar>
            <w:top w:w="0" w:type="dxa"/>
            <w:bottom w:w="0" w:type="dxa"/>
          </w:tblCellMar>
        </w:tblPrEx>
        <w:tc>
          <w:tcPr>
            <w:tcW w:w="5330" w:type="dxa"/>
            <w:tcBorders>
              <w:bottom w:val="nil"/>
            </w:tcBorders>
          </w:tcPr>
          <w:p w:rsidR="00000000" w:rsidRDefault="00000000">
            <w:pPr>
              <w:spacing w:before="40" w:after="20" w:line="240" w:lineRule="auto"/>
              <w:jc w:val="left"/>
              <w:rPr>
                <w:rFonts w:ascii="Arial" w:hAnsi="Arial"/>
                <w:sz w:val="16"/>
              </w:rPr>
            </w:pPr>
            <w:r>
              <w:rPr>
                <w:rFonts w:ascii="Arial" w:hAnsi="Arial"/>
                <w:sz w:val="16"/>
              </w:rPr>
              <w:t xml:space="preserve">Сент-Джордж – </w:t>
            </w:r>
            <w:r>
              <w:rPr>
                <w:rFonts w:ascii="Arial" w:hAnsi="Arial"/>
                <w:sz w:val="16"/>
              </w:rPr>
              <w:br/>
              <w:t>Порт-оф-Спейн</w:t>
            </w:r>
          </w:p>
        </w:tc>
        <w:tc>
          <w:tcPr>
            <w:tcW w:w="2665" w:type="dxa"/>
            <w:tcBorders>
              <w:bottom w:val="nil"/>
            </w:tcBorders>
            <w:vAlign w:val="bottom"/>
          </w:tcPr>
          <w:p w:rsidR="00000000" w:rsidRDefault="00000000">
            <w:pPr>
              <w:spacing w:before="40" w:after="20" w:line="240" w:lineRule="auto"/>
              <w:jc w:val="center"/>
              <w:rPr>
                <w:rFonts w:ascii="Arial" w:hAnsi="Arial"/>
                <w:sz w:val="16"/>
              </w:rPr>
            </w:pPr>
            <w:r>
              <w:rPr>
                <w:rFonts w:ascii="Arial" w:hAnsi="Arial"/>
                <w:sz w:val="16"/>
              </w:rPr>
              <w:t>37</w:t>
            </w:r>
          </w:p>
        </w:tc>
        <w:tc>
          <w:tcPr>
            <w:tcW w:w="1304" w:type="dxa"/>
            <w:tcBorders>
              <w:bottom w:val="nil"/>
            </w:tcBorders>
            <w:vAlign w:val="bottom"/>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12,5</w:t>
            </w:r>
          </w:p>
        </w:tc>
      </w:tr>
      <w:tr w:rsidR="00000000">
        <w:tblPrEx>
          <w:tblCellMar>
            <w:top w:w="0" w:type="dxa"/>
            <w:bottom w:w="0" w:type="dxa"/>
          </w:tblCellMar>
        </w:tblPrEx>
        <w:tc>
          <w:tcPr>
            <w:tcW w:w="5330" w:type="dxa"/>
            <w:tcBorders>
              <w:top w:val="nil"/>
              <w:bottom w:val="nil"/>
            </w:tcBorders>
          </w:tcPr>
          <w:p w:rsidR="00000000" w:rsidRDefault="00000000">
            <w:pPr>
              <w:spacing w:before="40" w:after="20" w:line="240" w:lineRule="auto"/>
              <w:jc w:val="left"/>
              <w:rPr>
                <w:rFonts w:ascii="Arial" w:hAnsi="Arial"/>
                <w:sz w:val="16"/>
              </w:rPr>
            </w:pPr>
            <w:r>
              <w:rPr>
                <w:rFonts w:ascii="Arial" w:hAnsi="Arial"/>
                <w:sz w:val="16"/>
              </w:rPr>
              <w:t>Западный округ</w:t>
            </w:r>
          </w:p>
        </w:tc>
        <w:tc>
          <w:tcPr>
            <w:tcW w:w="2665" w:type="dxa"/>
            <w:tcBorders>
              <w:top w:val="nil"/>
              <w:bottom w:val="nil"/>
            </w:tcBorders>
          </w:tcPr>
          <w:p w:rsidR="00000000" w:rsidRDefault="00000000">
            <w:pPr>
              <w:spacing w:before="40" w:after="20" w:line="240" w:lineRule="auto"/>
              <w:jc w:val="center"/>
              <w:rPr>
                <w:rFonts w:ascii="Arial" w:hAnsi="Arial"/>
                <w:sz w:val="16"/>
              </w:rPr>
            </w:pPr>
            <w:r>
              <w:rPr>
                <w:rFonts w:ascii="Arial" w:hAnsi="Arial"/>
                <w:sz w:val="16"/>
              </w:rPr>
              <w:t>22</w:t>
            </w:r>
          </w:p>
        </w:tc>
        <w:tc>
          <w:tcPr>
            <w:tcW w:w="1304" w:type="dxa"/>
            <w:tcBorders>
              <w:top w:val="nil"/>
              <w:bottom w:val="nil"/>
            </w:tcBorders>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7.5</w:t>
            </w:r>
          </w:p>
        </w:tc>
      </w:tr>
      <w:tr w:rsidR="00000000">
        <w:tblPrEx>
          <w:tblCellMar>
            <w:top w:w="0" w:type="dxa"/>
            <w:bottom w:w="0" w:type="dxa"/>
          </w:tblCellMar>
        </w:tblPrEx>
        <w:tc>
          <w:tcPr>
            <w:tcW w:w="5330" w:type="dxa"/>
            <w:tcBorders>
              <w:top w:val="nil"/>
              <w:bottom w:val="nil"/>
            </w:tcBorders>
          </w:tcPr>
          <w:p w:rsidR="00000000" w:rsidRDefault="00000000">
            <w:pPr>
              <w:spacing w:before="40" w:after="20" w:line="240" w:lineRule="auto"/>
              <w:jc w:val="left"/>
              <w:rPr>
                <w:rFonts w:ascii="Arial" w:hAnsi="Arial"/>
                <w:sz w:val="16"/>
              </w:rPr>
            </w:pPr>
            <w:r>
              <w:rPr>
                <w:rFonts w:ascii="Arial" w:hAnsi="Arial"/>
                <w:sz w:val="16"/>
              </w:rPr>
              <w:t>Северо-восточный округ</w:t>
            </w:r>
          </w:p>
        </w:tc>
        <w:tc>
          <w:tcPr>
            <w:tcW w:w="2665" w:type="dxa"/>
            <w:tcBorders>
              <w:top w:val="nil"/>
              <w:bottom w:val="nil"/>
            </w:tcBorders>
          </w:tcPr>
          <w:p w:rsidR="00000000" w:rsidRDefault="00000000">
            <w:pPr>
              <w:spacing w:before="40" w:after="20" w:line="240" w:lineRule="auto"/>
              <w:jc w:val="center"/>
              <w:rPr>
                <w:rFonts w:ascii="Arial" w:hAnsi="Arial"/>
                <w:sz w:val="16"/>
              </w:rPr>
            </w:pPr>
            <w:r>
              <w:rPr>
                <w:rFonts w:ascii="Arial" w:hAnsi="Arial"/>
                <w:sz w:val="16"/>
              </w:rPr>
              <w:t>12</w:t>
            </w:r>
          </w:p>
        </w:tc>
        <w:tc>
          <w:tcPr>
            <w:tcW w:w="1304" w:type="dxa"/>
            <w:tcBorders>
              <w:top w:val="nil"/>
              <w:bottom w:val="nil"/>
            </w:tcBorders>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4,1</w:t>
            </w:r>
          </w:p>
        </w:tc>
      </w:tr>
      <w:tr w:rsidR="00000000">
        <w:tblPrEx>
          <w:tblCellMar>
            <w:top w:w="0" w:type="dxa"/>
            <w:bottom w:w="0" w:type="dxa"/>
          </w:tblCellMar>
        </w:tblPrEx>
        <w:tc>
          <w:tcPr>
            <w:tcW w:w="5330" w:type="dxa"/>
            <w:tcBorders>
              <w:top w:val="nil"/>
            </w:tcBorders>
          </w:tcPr>
          <w:p w:rsidR="00000000" w:rsidRDefault="00000000">
            <w:pPr>
              <w:spacing w:before="40" w:after="20" w:line="240" w:lineRule="auto"/>
              <w:jc w:val="left"/>
              <w:rPr>
                <w:rFonts w:ascii="Arial" w:hAnsi="Arial"/>
                <w:sz w:val="16"/>
              </w:rPr>
            </w:pPr>
            <w:r>
              <w:rPr>
                <w:rFonts w:ascii="Arial" w:hAnsi="Arial"/>
                <w:sz w:val="16"/>
              </w:rPr>
              <w:t>Северный округ</w:t>
            </w:r>
          </w:p>
        </w:tc>
        <w:tc>
          <w:tcPr>
            <w:tcW w:w="2665" w:type="dxa"/>
            <w:tcBorders>
              <w:top w:val="nil"/>
            </w:tcBorders>
          </w:tcPr>
          <w:p w:rsidR="00000000" w:rsidRDefault="00000000">
            <w:pPr>
              <w:spacing w:before="40" w:after="20" w:line="240" w:lineRule="auto"/>
              <w:jc w:val="center"/>
              <w:rPr>
                <w:rFonts w:ascii="Arial" w:hAnsi="Arial"/>
                <w:sz w:val="16"/>
              </w:rPr>
            </w:pPr>
            <w:r>
              <w:rPr>
                <w:rFonts w:ascii="Arial" w:hAnsi="Arial"/>
                <w:sz w:val="16"/>
              </w:rPr>
              <w:t>65</w:t>
            </w:r>
          </w:p>
        </w:tc>
        <w:tc>
          <w:tcPr>
            <w:tcW w:w="1304" w:type="dxa"/>
            <w:tcBorders>
              <w:top w:val="nil"/>
            </w:tcBorders>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22,0</w:t>
            </w:r>
          </w:p>
        </w:tc>
      </w:tr>
      <w:tr w:rsidR="00000000">
        <w:tblPrEx>
          <w:tblCellMar>
            <w:top w:w="0" w:type="dxa"/>
            <w:bottom w:w="0" w:type="dxa"/>
          </w:tblCellMar>
        </w:tblPrEx>
        <w:tc>
          <w:tcPr>
            <w:tcW w:w="5330" w:type="dxa"/>
          </w:tcPr>
          <w:p w:rsidR="00000000" w:rsidRDefault="00000000">
            <w:pPr>
              <w:spacing w:before="40" w:after="20" w:line="240" w:lineRule="auto"/>
              <w:jc w:val="left"/>
              <w:rPr>
                <w:rFonts w:ascii="Arial" w:hAnsi="Arial"/>
                <w:sz w:val="16"/>
                <w:lang w:val="en-US"/>
              </w:rPr>
            </w:pPr>
            <w:r>
              <w:rPr>
                <w:rFonts w:ascii="Arial" w:hAnsi="Arial"/>
                <w:sz w:val="16"/>
              </w:rPr>
              <w:t>Ст. Эндрю/Ст. Дэвид – Восточный округ</w:t>
            </w:r>
          </w:p>
          <w:p w:rsidR="00000000" w:rsidRDefault="00000000">
            <w:pPr>
              <w:spacing w:before="40" w:after="20" w:line="240" w:lineRule="auto"/>
              <w:jc w:val="left"/>
              <w:rPr>
                <w:rFonts w:ascii="Arial" w:hAnsi="Arial"/>
                <w:sz w:val="16"/>
              </w:rPr>
            </w:pPr>
            <w:r>
              <w:rPr>
                <w:rFonts w:ascii="Arial" w:hAnsi="Arial"/>
                <w:sz w:val="16"/>
              </w:rPr>
              <w:t>(Сангре-Гранде, Матура, Бише, Мансанилья, Токо, Майяро)</w:t>
            </w:r>
          </w:p>
        </w:tc>
        <w:tc>
          <w:tcPr>
            <w:tcW w:w="2665" w:type="dxa"/>
            <w:vAlign w:val="bottom"/>
          </w:tcPr>
          <w:p w:rsidR="00000000" w:rsidRDefault="00000000">
            <w:pPr>
              <w:spacing w:before="40" w:after="20" w:line="240" w:lineRule="auto"/>
              <w:jc w:val="center"/>
              <w:rPr>
                <w:rFonts w:ascii="Arial" w:hAnsi="Arial"/>
                <w:sz w:val="16"/>
              </w:rPr>
            </w:pPr>
            <w:r>
              <w:rPr>
                <w:rFonts w:ascii="Arial" w:hAnsi="Arial"/>
                <w:sz w:val="16"/>
              </w:rPr>
              <w:t>25</w:t>
            </w:r>
          </w:p>
        </w:tc>
        <w:tc>
          <w:tcPr>
            <w:tcW w:w="1304" w:type="dxa"/>
            <w:vAlign w:val="bottom"/>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8,5</w:t>
            </w:r>
          </w:p>
        </w:tc>
      </w:tr>
      <w:tr w:rsidR="00000000">
        <w:tblPrEx>
          <w:tblCellMar>
            <w:top w:w="0" w:type="dxa"/>
            <w:bottom w:w="0" w:type="dxa"/>
          </w:tblCellMar>
        </w:tblPrEx>
        <w:tc>
          <w:tcPr>
            <w:tcW w:w="5330" w:type="dxa"/>
          </w:tcPr>
          <w:p w:rsidR="00000000" w:rsidRDefault="00000000">
            <w:pPr>
              <w:spacing w:before="40" w:after="20" w:line="240" w:lineRule="auto"/>
              <w:jc w:val="left"/>
              <w:rPr>
                <w:rFonts w:ascii="Arial" w:hAnsi="Arial"/>
                <w:sz w:val="16"/>
              </w:rPr>
            </w:pPr>
            <w:r>
              <w:rPr>
                <w:rFonts w:ascii="Arial" w:hAnsi="Arial"/>
                <w:sz w:val="16"/>
              </w:rPr>
              <w:t>Карони – Центральный округ (Чагуанас/Коува)</w:t>
            </w:r>
          </w:p>
        </w:tc>
        <w:tc>
          <w:tcPr>
            <w:tcW w:w="2665" w:type="dxa"/>
          </w:tcPr>
          <w:p w:rsidR="00000000" w:rsidRDefault="00000000">
            <w:pPr>
              <w:spacing w:before="40" w:after="20" w:line="240" w:lineRule="auto"/>
              <w:jc w:val="center"/>
              <w:rPr>
                <w:rFonts w:ascii="Arial" w:hAnsi="Arial"/>
                <w:sz w:val="16"/>
              </w:rPr>
            </w:pPr>
            <w:r>
              <w:rPr>
                <w:rFonts w:ascii="Arial" w:hAnsi="Arial"/>
                <w:sz w:val="16"/>
              </w:rPr>
              <w:t>43</w:t>
            </w:r>
          </w:p>
        </w:tc>
        <w:tc>
          <w:tcPr>
            <w:tcW w:w="1304" w:type="dxa"/>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14,5</w:t>
            </w:r>
          </w:p>
        </w:tc>
      </w:tr>
      <w:tr w:rsidR="00000000">
        <w:tblPrEx>
          <w:tblCellMar>
            <w:top w:w="0" w:type="dxa"/>
            <w:bottom w:w="0" w:type="dxa"/>
          </w:tblCellMar>
        </w:tblPrEx>
        <w:tc>
          <w:tcPr>
            <w:tcW w:w="5330" w:type="dxa"/>
          </w:tcPr>
          <w:p w:rsidR="00000000" w:rsidRDefault="00000000">
            <w:pPr>
              <w:spacing w:before="40" w:after="20" w:line="240" w:lineRule="auto"/>
              <w:jc w:val="left"/>
              <w:rPr>
                <w:rFonts w:ascii="Arial" w:hAnsi="Arial"/>
                <w:sz w:val="16"/>
              </w:rPr>
            </w:pPr>
            <w:r>
              <w:rPr>
                <w:rFonts w:ascii="Arial" w:hAnsi="Arial"/>
                <w:sz w:val="16"/>
              </w:rPr>
              <w:t>Викория – Южный округ</w:t>
            </w:r>
          </w:p>
        </w:tc>
        <w:tc>
          <w:tcPr>
            <w:tcW w:w="2665" w:type="dxa"/>
          </w:tcPr>
          <w:p w:rsidR="00000000" w:rsidRDefault="00000000">
            <w:pPr>
              <w:spacing w:before="40" w:after="20" w:line="240" w:lineRule="auto"/>
              <w:jc w:val="center"/>
              <w:rPr>
                <w:rFonts w:ascii="Arial" w:hAnsi="Arial"/>
                <w:sz w:val="16"/>
              </w:rPr>
            </w:pPr>
            <w:r>
              <w:rPr>
                <w:rFonts w:ascii="Arial" w:hAnsi="Arial"/>
                <w:sz w:val="16"/>
              </w:rPr>
              <w:t>43</w:t>
            </w:r>
          </w:p>
        </w:tc>
        <w:tc>
          <w:tcPr>
            <w:tcW w:w="1304" w:type="dxa"/>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14.5</w:t>
            </w:r>
          </w:p>
        </w:tc>
      </w:tr>
      <w:tr w:rsidR="00000000">
        <w:tblPrEx>
          <w:tblCellMar>
            <w:top w:w="0" w:type="dxa"/>
            <w:bottom w:w="0" w:type="dxa"/>
          </w:tblCellMar>
        </w:tblPrEx>
        <w:tc>
          <w:tcPr>
            <w:tcW w:w="5330" w:type="dxa"/>
          </w:tcPr>
          <w:p w:rsidR="00000000" w:rsidRDefault="00000000">
            <w:pPr>
              <w:spacing w:before="40" w:after="20" w:line="240" w:lineRule="auto"/>
              <w:jc w:val="left"/>
              <w:rPr>
                <w:rFonts w:ascii="Arial" w:hAnsi="Arial"/>
                <w:sz w:val="16"/>
              </w:rPr>
            </w:pPr>
            <w:r>
              <w:rPr>
                <w:rFonts w:ascii="Arial" w:hAnsi="Arial"/>
                <w:sz w:val="16"/>
              </w:rPr>
              <w:t>Ст. Патрик – Юго-западный округ</w:t>
            </w:r>
          </w:p>
        </w:tc>
        <w:tc>
          <w:tcPr>
            <w:tcW w:w="2665" w:type="dxa"/>
          </w:tcPr>
          <w:p w:rsidR="00000000" w:rsidRDefault="00000000">
            <w:pPr>
              <w:spacing w:before="40" w:after="20" w:line="240" w:lineRule="auto"/>
              <w:jc w:val="center"/>
              <w:rPr>
                <w:rFonts w:ascii="Arial" w:hAnsi="Arial"/>
                <w:sz w:val="16"/>
              </w:rPr>
            </w:pPr>
            <w:r>
              <w:rPr>
                <w:rFonts w:ascii="Arial" w:hAnsi="Arial"/>
                <w:sz w:val="16"/>
              </w:rPr>
              <w:t>28</w:t>
            </w:r>
          </w:p>
        </w:tc>
        <w:tc>
          <w:tcPr>
            <w:tcW w:w="1304" w:type="dxa"/>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9,5</w:t>
            </w:r>
          </w:p>
        </w:tc>
      </w:tr>
      <w:tr w:rsidR="00000000">
        <w:tblPrEx>
          <w:tblCellMar>
            <w:top w:w="0" w:type="dxa"/>
            <w:bottom w:w="0" w:type="dxa"/>
          </w:tblCellMar>
        </w:tblPrEx>
        <w:tc>
          <w:tcPr>
            <w:tcW w:w="5330" w:type="dxa"/>
          </w:tcPr>
          <w:p w:rsidR="00000000" w:rsidRDefault="00000000">
            <w:pPr>
              <w:spacing w:before="40" w:after="20" w:line="240" w:lineRule="auto"/>
              <w:jc w:val="left"/>
              <w:rPr>
                <w:rFonts w:ascii="Arial" w:hAnsi="Arial"/>
                <w:sz w:val="16"/>
              </w:rPr>
            </w:pPr>
            <w:r>
              <w:rPr>
                <w:rFonts w:ascii="Arial" w:hAnsi="Arial"/>
                <w:sz w:val="16"/>
              </w:rPr>
              <w:t>Тобаго – округ Тобаго</w:t>
            </w:r>
          </w:p>
        </w:tc>
        <w:tc>
          <w:tcPr>
            <w:tcW w:w="2665" w:type="dxa"/>
          </w:tcPr>
          <w:p w:rsidR="00000000" w:rsidRDefault="00000000">
            <w:pPr>
              <w:spacing w:before="40" w:after="20" w:line="240" w:lineRule="auto"/>
              <w:jc w:val="center"/>
              <w:rPr>
                <w:rFonts w:ascii="Arial" w:hAnsi="Arial"/>
                <w:sz w:val="16"/>
              </w:rPr>
            </w:pPr>
            <w:r>
              <w:rPr>
                <w:rFonts w:ascii="Arial" w:hAnsi="Arial"/>
                <w:sz w:val="16"/>
              </w:rPr>
              <w:t>20</w:t>
            </w:r>
          </w:p>
        </w:tc>
        <w:tc>
          <w:tcPr>
            <w:tcW w:w="1304" w:type="dxa"/>
          </w:tcPr>
          <w:p w:rsidR="00000000" w:rsidRDefault="00000000">
            <w:pPr>
              <w:tabs>
                <w:tab w:val="clear" w:pos="340"/>
                <w:tab w:val="clear" w:pos="680"/>
                <w:tab w:val="decimal" w:pos="567"/>
              </w:tabs>
              <w:spacing w:before="40" w:after="20" w:line="240" w:lineRule="auto"/>
              <w:rPr>
                <w:rFonts w:ascii="Arial" w:hAnsi="Arial"/>
                <w:sz w:val="16"/>
              </w:rPr>
            </w:pPr>
            <w:r>
              <w:rPr>
                <w:rFonts w:ascii="Arial" w:hAnsi="Arial"/>
                <w:sz w:val="16"/>
              </w:rPr>
              <w:t>6,8</w:t>
            </w:r>
          </w:p>
        </w:tc>
      </w:tr>
    </w:tbl>
    <w:p w:rsidR="00000000" w:rsidRDefault="00000000"/>
    <w:p w:rsidR="00000000" w:rsidRDefault="00000000">
      <w:r>
        <w:t>133.</w:t>
      </w:r>
      <w:r>
        <w:tab/>
        <w:t>В 1997 году примерно 80 процентов из 502 зарегистрированных случаев изнасилования были совершены родственниками, друзьями или близкими знакомыми жертвы. Разбивка этих случаев показывает, что жертвы 36 процентов изнасилований не достигли 14-летнего возраста, жертвы 20 процентов изнасилований были в возрасте от 14 до 16 лет и жертвы 44 процентов – в возрасте старше 16 лет.</w:t>
      </w:r>
    </w:p>
    <w:p w:rsidR="00000000" w:rsidRDefault="00000000">
      <w:r>
        <w:t>134.</w:t>
      </w:r>
      <w:r>
        <w:tab/>
        <w:t xml:space="preserve">Что касается инцеста, то в 1996 году было отмечено 25 таких случаев, а в 1997 году их общее число составило 41. Согласно обследованию молодых людей, проведенному Ассоциацией планирования семьи Тринидада и Тобаго в 1999–2000 годах, примерно один человек из каждых 15 опрошенных (7 процентов) указал, что имел первое половое сношение с одним из своих родственников. Еще 3 процента не могли сказать, был ли их первый партнер родственником. В этих случаях более одного из каждых восьми (12,8 процента) респондентов имели первое половое сношение без их согласия и еще 4 процента из них не могли точно вспомнить, давали они на это свое согласие или нет. Пять процентов респондентов не видят ничего предосудительного в половых сношениях с кем-либо из членов своей семьи. </w:t>
      </w:r>
    </w:p>
    <w:p w:rsidR="00000000" w:rsidRDefault="00000000">
      <w:r>
        <w:t>135.</w:t>
      </w:r>
      <w:r>
        <w:tab/>
        <w:t>Статьей 9 закона о половых преступлениях № 27 1986 года устанавливается состав полового преступления, квалифицируемого как инцест:</w:t>
      </w:r>
    </w:p>
    <w:p w:rsidR="00000000" w:rsidRDefault="00000000">
      <w:pPr>
        <w:tabs>
          <w:tab w:val="clear" w:pos="340"/>
          <w:tab w:val="left" w:pos="1021"/>
          <w:tab w:val="left" w:pos="1361"/>
        </w:tabs>
        <w:ind w:left="1021" w:hanging="1021"/>
        <w:rPr>
          <w:i/>
        </w:rPr>
      </w:pPr>
      <w:r>
        <w:rPr>
          <w:i/>
        </w:rPr>
        <w:tab/>
        <w:t>1)</w:t>
      </w:r>
      <w:r>
        <w:rPr>
          <w:i/>
        </w:rPr>
        <w:tab/>
        <w:t xml:space="preserve">Лицо совершает преступление, квалифицируемое как инцест, если оно, зная, что другое лицо состоит с ним в кровном родстве и является его или ее родителем, ребенком, братом, сестрой, дедом или бабкой, внуком или внучкой, дядей, племянницей, тетей или племянником, в зависимости от конкретного случая, вступает в половые сношения с этим лицом.   </w:t>
      </w:r>
    </w:p>
    <w:p w:rsidR="00000000" w:rsidRDefault="00000000">
      <w:pPr>
        <w:tabs>
          <w:tab w:val="clear" w:pos="340"/>
          <w:tab w:val="left" w:pos="1021"/>
          <w:tab w:val="left" w:pos="1361"/>
        </w:tabs>
        <w:ind w:left="1021" w:hanging="1021"/>
        <w:rPr>
          <w:i/>
        </w:rPr>
      </w:pPr>
      <w:r>
        <w:rPr>
          <w:i/>
        </w:rPr>
        <w:tab/>
        <w:t>2)</w:t>
      </w:r>
      <w:r>
        <w:rPr>
          <w:i/>
        </w:rPr>
        <w:tab/>
        <w:t>Лицо, которое совершает преступление, квалифицируемое как инцест, подлежит наказанию по приговору суда в виде тюремного заключения:</w:t>
      </w:r>
    </w:p>
    <w:p w:rsidR="00000000" w:rsidRDefault="00000000">
      <w:pPr>
        <w:tabs>
          <w:tab w:val="clear" w:pos="340"/>
          <w:tab w:val="left" w:pos="1021"/>
          <w:tab w:val="left" w:pos="1361"/>
        </w:tabs>
        <w:spacing w:after="0"/>
        <w:ind w:left="1361" w:right="680" w:hanging="1361"/>
        <w:rPr>
          <w:i/>
        </w:rPr>
      </w:pPr>
      <w:r>
        <w:rPr>
          <w:i/>
          <w:lang w:val="en-US"/>
        </w:rPr>
        <w:tab/>
      </w:r>
      <w:r>
        <w:rPr>
          <w:i/>
          <w:lang w:val="en-US"/>
        </w:rPr>
        <w:tab/>
        <w:t>a)</w:t>
      </w:r>
      <w:r>
        <w:rPr>
          <w:i/>
          <w:lang w:val="en-US"/>
        </w:rPr>
        <w:tab/>
      </w:r>
      <w:r>
        <w:rPr>
          <w:i/>
        </w:rPr>
        <w:t>если преступление совершено совершеннолетним в отношении лица в возрасте до 14</w:t>
      </w:r>
      <w:r>
        <w:rPr>
          <w:i/>
          <w:lang w:val="en-US"/>
        </w:rPr>
        <w:t> </w:t>
      </w:r>
      <w:r>
        <w:rPr>
          <w:i/>
        </w:rPr>
        <w:t>лет, – к пожизненному заключению;</w:t>
      </w:r>
    </w:p>
    <w:p w:rsidR="00000000" w:rsidRDefault="00000000">
      <w:pPr>
        <w:tabs>
          <w:tab w:val="clear" w:pos="340"/>
          <w:tab w:val="left" w:pos="1021"/>
          <w:tab w:val="left" w:pos="1361"/>
        </w:tabs>
        <w:spacing w:after="0"/>
        <w:ind w:left="1361" w:right="680" w:hanging="1361"/>
        <w:rPr>
          <w:i/>
        </w:rPr>
      </w:pPr>
      <w:r>
        <w:rPr>
          <w:i/>
          <w:lang w:val="en-US"/>
        </w:rPr>
        <w:tab/>
      </w:r>
      <w:r>
        <w:rPr>
          <w:i/>
          <w:lang w:val="en-US"/>
        </w:rPr>
        <w:tab/>
        <w:t>b)</w:t>
      </w:r>
      <w:r>
        <w:rPr>
          <w:i/>
          <w:lang w:val="en-US"/>
        </w:rPr>
        <w:tab/>
      </w:r>
      <w:r>
        <w:rPr>
          <w:i/>
        </w:rPr>
        <w:t>если преступление совершено совершеннолетним в отношении лица в возрасте 14</w:t>
      </w:r>
      <w:r>
        <w:rPr>
          <w:i/>
          <w:lang w:val="en-US"/>
        </w:rPr>
        <w:t> </w:t>
      </w:r>
      <w:r>
        <w:rPr>
          <w:i/>
        </w:rPr>
        <w:t>лет или старше, – к пожизненному заключению;</w:t>
      </w:r>
    </w:p>
    <w:p w:rsidR="00000000" w:rsidRDefault="00000000">
      <w:pPr>
        <w:tabs>
          <w:tab w:val="clear" w:pos="340"/>
          <w:tab w:val="left" w:pos="1021"/>
          <w:tab w:val="left" w:pos="1361"/>
        </w:tabs>
        <w:ind w:left="1361" w:right="680" w:hanging="1361"/>
      </w:pPr>
      <w:r>
        <w:rPr>
          <w:i/>
        </w:rPr>
        <w:tab/>
      </w:r>
      <w:r>
        <w:rPr>
          <w:i/>
        </w:rPr>
        <w:tab/>
        <w:t>с)</w:t>
      </w:r>
      <w:r>
        <w:rPr>
          <w:i/>
        </w:rPr>
        <w:tab/>
        <w:t>если преступление совершено одним несовершеннолетним в возрасте 14</w:t>
      </w:r>
      <w:r>
        <w:rPr>
          <w:i/>
          <w:lang w:val="en-US"/>
        </w:rPr>
        <w:t> </w:t>
      </w:r>
      <w:r>
        <w:rPr>
          <w:i/>
        </w:rPr>
        <w:t>лет или старше в отношении другого несовершеннолетнего такого же возраста,</w:t>
      </w:r>
      <w:r>
        <w:rPr>
          <w:i/>
          <w:lang w:val="en-US"/>
        </w:rPr>
        <w:t> </w:t>
      </w:r>
      <w:r>
        <w:rPr>
          <w:i/>
        </w:rPr>
        <w:t>– к двум годам заключения.</w:t>
      </w:r>
    </w:p>
    <w:p w:rsidR="00000000" w:rsidRDefault="00000000">
      <w:r>
        <w:t>136.</w:t>
      </w:r>
      <w:r>
        <w:tab/>
        <w:t>Кроме того, в пункте 4 статьи указывается, что совершенное преступление квалифицируется как инцест, если лицо, совершившее его, является единокровным или единоутробным братом или сестрой жертвы преступления.</w:t>
      </w:r>
    </w:p>
    <w:p w:rsidR="00000000" w:rsidRDefault="00000000">
      <w:r>
        <w:t>137.</w:t>
      </w:r>
      <w:r>
        <w:tab/>
        <w:t>Что касается этой законодательной нормы, то в статье 8 закона о половых преступлениях (поправка) №</w:t>
      </w:r>
      <w:r>
        <w:rPr>
          <w:lang w:val="en-US"/>
        </w:rPr>
        <w:t> </w:t>
      </w:r>
      <w:r>
        <w:t>31 2000 года теперь говорится, что в случае, если преступление, квалифицируемое как инцест, совершено совершеннолетним в отношении лица в возрасте до 14 лет, то этот совершеннолетний подлежит наказанию по приговору суда в виде пожизненного заключения.</w:t>
      </w:r>
    </w:p>
    <w:p w:rsidR="00000000" w:rsidRDefault="00000000">
      <w:r>
        <w:t>138.</w:t>
      </w:r>
      <w:r>
        <w:tab/>
        <w:t>Что касается вмешательства полиции в семейные конфликты, то существует ограниченное число приютов и других аналогичных мест для женщин, подвергающихся насилию в семье. В Тринидаде и Тобаго имеется 15 убежищ/приютов и 15 соответствующих консультативных центров. В ведении Министерства культуры и гендерных проблем нет ни одного такого приюта, хотя оно направляет дела на рассмотрение существующих убежищ и приютов или представляет дела для рассмотрения в консультативные центры.</w:t>
      </w:r>
    </w:p>
    <w:p w:rsidR="00000000" w:rsidRDefault="00000000">
      <w:r>
        <w:t>139.</w:t>
      </w:r>
      <w:r>
        <w:tab/>
        <w:t>Только один из 15 вышеупомянутых приютов находится на Тобаго. Предприятие по обеспечению занятости и реабилитации женщин Тобаго в целях их самообеспечения (</w:t>
      </w:r>
      <w:r>
        <w:rPr>
          <w:lang w:val="en-US"/>
        </w:rPr>
        <w:t>TOWERS</w:t>
      </w:r>
      <w:r>
        <w:t xml:space="preserve">) имеет три комнаты, в которых живут все нашедшие здесь убежище женщины. Здесь их кормят, а также консультируют два социальных работника, имеющие специальную подготовку. Женщины с детьми (за исключением мальчиков старше 10 лет, относительно пребывания которых женщины должны специально договариваться или которые должны быть отправлены к родственникам или друзьям) могут оставаться в таком приюте до трех месяцев. Срок пребывания может быть продлен, если в положении женщины ничего не меняется или если она не может найти другое подходящее жилье. В настоящее время приют финансируется в недостаточном объеме. Ежемесячно Национальная ассамблея Тобаго ассигнует приюту 2500 долл. ТТ, однако этих денег хватает лишь на покрытие расходов, связанных с уборкой приюта, оплатой арендной платы и выплатой жалованья одному сотруднику, живущему в приюте. Остальные средства, необходимые для оплаты питания, счетов за коммунальные услуги и ремонтных работ (в целях надлежащего содержания помещений приюта), приют получает за счет финансовой деятельности, которая в последнее время доказала свою неэффективность. </w:t>
      </w:r>
    </w:p>
    <w:p w:rsidR="00000000" w:rsidRDefault="00000000">
      <w:r>
        <w:t>140.</w:t>
      </w:r>
      <w:r>
        <w:tab/>
        <w:t>Среднемесячные расходы по содержанию приюта в Тринидаде и Тобаго варьируются от 18 000 до 21 000</w:t>
      </w:r>
      <w:r>
        <w:rPr>
          <w:lang w:val="en-US"/>
        </w:rPr>
        <w:t> </w:t>
      </w:r>
      <w:r>
        <w:t xml:space="preserve">долл. ТТ. Часто они поступают благодаря деятельности по сбору средств и/или пожертвованиям компаний и "доброжелателей". Правительство оказывает финансовую помощь в виде субвенций, а также в форме подготовки руководителей и других категорий служащих, работающих в приюте. Средняя продолжительность пребывания женщин в таких приютах составляет от одного до трех месяцев, при этом срок может быть увеличен до пяти месяцев, если это будет сочтено необходимым. Предусмотрено размещение в приютах и детей, но если девочки допускаются в них независимо от возраста, то мальчики могут находиться в одних приютах, если им еще нет семи лет, а в других – если им нет 10 лет. </w:t>
      </w:r>
    </w:p>
    <w:p w:rsidR="00000000" w:rsidRDefault="00000000">
      <w:r>
        <w:t>141.</w:t>
      </w:r>
      <w:r>
        <w:tab/>
        <w:t xml:space="preserve">В мае 1998 года Отдел по вопросам насилия в семье создал 23 прибежища/информационных центра в различных общинных центрах/комплексах по всей стране. За работу каждого такого центра отвечает многодисциплинарная группа, состоящая из одного социального работника, полицейских, секретарей, руководителей центров и служащего Министерства. Эти центры дают членам общества возможность получать по месту жительства помощь для решения вопросов, касающихся насилия в семье, изнасилования, нападения с целью сексуального насилия и семейных споров. К настоящему моменту эти центры посетили примерно 3000 мужчин, женщин, детей и целых семей. </w:t>
      </w:r>
    </w:p>
    <w:p w:rsidR="00000000" w:rsidRDefault="00000000">
      <w:r>
        <w:t>142.</w:t>
      </w:r>
      <w:r>
        <w:tab/>
        <w:t>Женщины, которые хотели бы уйти из дома, где царит обстановка насилия, сталкиваются со следующими основными препятствиями:</w:t>
      </w:r>
    </w:p>
    <w:p w:rsidR="00000000" w:rsidRDefault="00000000">
      <w:pPr>
        <w:numPr>
          <w:ilvl w:val="0"/>
          <w:numId w:val="499"/>
        </w:numPr>
        <w:tabs>
          <w:tab w:val="clear" w:pos="700"/>
          <w:tab w:val="left" w:pos="680"/>
        </w:tabs>
        <w:spacing w:after="0"/>
      </w:pPr>
      <w:r>
        <w:t>нехватка приютов;</w:t>
      </w:r>
    </w:p>
    <w:p w:rsidR="00000000" w:rsidRDefault="00000000">
      <w:pPr>
        <w:numPr>
          <w:ilvl w:val="0"/>
          <w:numId w:val="499"/>
        </w:numPr>
        <w:tabs>
          <w:tab w:val="clear" w:pos="700"/>
          <w:tab w:val="left" w:pos="680"/>
        </w:tabs>
        <w:spacing w:after="0"/>
      </w:pPr>
      <w:r>
        <w:t>нехватка финансовых ресурсов;</w:t>
      </w:r>
    </w:p>
    <w:p w:rsidR="00000000" w:rsidRDefault="00000000">
      <w:pPr>
        <w:numPr>
          <w:ilvl w:val="0"/>
          <w:numId w:val="499"/>
        </w:numPr>
        <w:tabs>
          <w:tab w:val="clear" w:pos="700"/>
          <w:tab w:val="left" w:pos="680"/>
        </w:tabs>
        <w:spacing w:after="0"/>
      </w:pPr>
      <w:r>
        <w:t>отсутствие эмоциональной поддержки со стороны семьи и друзей;</w:t>
      </w:r>
    </w:p>
    <w:p w:rsidR="00000000" w:rsidRDefault="00000000">
      <w:pPr>
        <w:numPr>
          <w:ilvl w:val="0"/>
          <w:numId w:val="499"/>
        </w:numPr>
        <w:tabs>
          <w:tab w:val="clear" w:pos="700"/>
          <w:tab w:val="left" w:pos="680"/>
        </w:tabs>
        <w:spacing w:after="0"/>
      </w:pPr>
      <w:r>
        <w:t>страх быть убитой;</w:t>
      </w:r>
    </w:p>
    <w:p w:rsidR="00000000" w:rsidRDefault="00000000">
      <w:pPr>
        <w:numPr>
          <w:ilvl w:val="0"/>
          <w:numId w:val="499"/>
        </w:numPr>
        <w:tabs>
          <w:tab w:val="clear" w:pos="700"/>
          <w:tab w:val="left" w:pos="680"/>
        </w:tabs>
        <w:spacing w:after="0"/>
      </w:pPr>
      <w:r>
        <w:t>чувство вины, связанное с тем, что дети не посещают школу и разлучаются с друзьями;</w:t>
      </w:r>
    </w:p>
    <w:p w:rsidR="00000000" w:rsidRDefault="00000000">
      <w:pPr>
        <w:numPr>
          <w:ilvl w:val="0"/>
          <w:numId w:val="499"/>
        </w:numPr>
        <w:tabs>
          <w:tab w:val="clear" w:pos="700"/>
          <w:tab w:val="left" w:pos="680"/>
        </w:tabs>
        <w:spacing w:after="0"/>
      </w:pPr>
      <w:r>
        <w:t>отсутствие временного жилья для женщин, которые покидают приюты (эти женщины, как правило, возвращаются в дом правонарушителя из-за отсутствия альтернативного жилья);</w:t>
      </w:r>
    </w:p>
    <w:p w:rsidR="00000000" w:rsidRDefault="00000000">
      <w:pPr>
        <w:numPr>
          <w:ilvl w:val="0"/>
          <w:numId w:val="499"/>
        </w:numPr>
        <w:tabs>
          <w:tab w:val="clear" w:pos="700"/>
          <w:tab w:val="left" w:pos="680"/>
        </w:tabs>
        <w:spacing w:after="0"/>
      </w:pPr>
      <w:r>
        <w:t>нарушение доверия, которое иногда происходит по вине некоторых организаций по оказанию помощи; и</w:t>
      </w:r>
    </w:p>
    <w:p w:rsidR="00000000" w:rsidRDefault="00000000">
      <w:pPr>
        <w:numPr>
          <w:ilvl w:val="0"/>
          <w:numId w:val="499"/>
        </w:numPr>
        <w:tabs>
          <w:tab w:val="clear" w:pos="700"/>
          <w:tab w:val="left" w:pos="680"/>
        </w:tabs>
      </w:pPr>
      <w:r>
        <w:t>боязнь разбить семью из-за ограничений в отношении детей мужского пола.</w:t>
      </w:r>
    </w:p>
    <w:p w:rsidR="00000000" w:rsidRDefault="00000000">
      <w:r>
        <w:t>143.</w:t>
      </w:r>
      <w:r>
        <w:tab/>
        <w:t>В число некоторых региональных, правительственных, неправительственных и частных организаций, деятельность которых посвящена сокращению случаев насилия и предупреждению насилия в отношении женщин в Тринидаде и Тобаго, входят:</w:t>
      </w:r>
    </w:p>
    <w:p w:rsidR="00000000" w:rsidRDefault="00000000">
      <w:pPr>
        <w:pStyle w:val="Heading2"/>
        <w:spacing w:after="0"/>
      </w:pPr>
      <w:r>
        <w:t>Тринидад:</w:t>
      </w:r>
    </w:p>
    <w:p w:rsidR="00000000" w:rsidRDefault="00000000">
      <w:pPr>
        <w:numPr>
          <w:ilvl w:val="0"/>
          <w:numId w:val="503"/>
        </w:numPr>
        <w:tabs>
          <w:tab w:val="clear" w:pos="340"/>
          <w:tab w:val="left" w:pos="1021"/>
        </w:tabs>
        <w:spacing w:after="0"/>
      </w:pPr>
      <w:r>
        <w:t>Карибская ассоциация феминистских исследований и деятельности (</w:t>
      </w:r>
      <w:r>
        <w:rPr>
          <w:lang w:val="en-US"/>
        </w:rPr>
        <w:t>CAFRA</w:t>
      </w:r>
      <w:r>
        <w:t>), Тунапуна</w:t>
      </w:r>
    </w:p>
    <w:p w:rsidR="00000000" w:rsidRDefault="00000000">
      <w:pPr>
        <w:numPr>
          <w:ilvl w:val="0"/>
          <w:numId w:val="503"/>
        </w:numPr>
        <w:tabs>
          <w:tab w:val="clear" w:pos="340"/>
          <w:tab w:val="left" w:pos="1021"/>
        </w:tabs>
        <w:spacing w:after="0"/>
      </w:pPr>
      <w:r>
        <w:t>Детская консультационная клиника, Маунт-Хоуп</w:t>
      </w:r>
    </w:p>
    <w:p w:rsidR="00000000" w:rsidRDefault="00000000">
      <w:pPr>
        <w:numPr>
          <w:ilvl w:val="0"/>
          <w:numId w:val="503"/>
        </w:numPr>
        <w:tabs>
          <w:tab w:val="clear" w:pos="340"/>
          <w:tab w:val="left" w:pos="1021"/>
        </w:tabs>
        <w:spacing w:after="0"/>
      </w:pPr>
      <w:r>
        <w:t>Общинное полицейское подразделение (Тринидад)</w:t>
      </w:r>
    </w:p>
    <w:p w:rsidR="00000000" w:rsidRDefault="00000000">
      <w:pPr>
        <w:numPr>
          <w:ilvl w:val="0"/>
          <w:numId w:val="503"/>
        </w:numPr>
        <w:tabs>
          <w:tab w:val="clear" w:pos="340"/>
          <w:tab w:val="left" w:pos="1021"/>
        </w:tabs>
        <w:spacing w:after="0"/>
      </w:pPr>
      <w:r>
        <w:t>Центр по вопросам насилия в семье, Порт-оф-Спейн</w:t>
      </w:r>
    </w:p>
    <w:p w:rsidR="00000000" w:rsidRDefault="00000000">
      <w:pPr>
        <w:numPr>
          <w:ilvl w:val="0"/>
          <w:numId w:val="503"/>
        </w:numPr>
        <w:tabs>
          <w:tab w:val="clear" w:pos="340"/>
          <w:tab w:val="left" w:pos="1021"/>
        </w:tabs>
        <w:spacing w:after="0"/>
        <w:rPr>
          <w:lang w:val="en-US"/>
        </w:rPr>
      </w:pPr>
      <w:r>
        <w:t xml:space="preserve">Отдел по вопросам насилия в семье, Министерство культуры и гендерных </w:t>
      </w:r>
      <w:r>
        <w:rPr>
          <w:lang w:val="en-US"/>
        </w:rPr>
        <w:t>проблем</w:t>
      </w:r>
    </w:p>
    <w:p w:rsidR="00000000" w:rsidRDefault="00000000">
      <w:pPr>
        <w:numPr>
          <w:ilvl w:val="0"/>
          <w:numId w:val="503"/>
        </w:numPr>
        <w:tabs>
          <w:tab w:val="clear" w:pos="340"/>
          <w:tab w:val="left" w:pos="1021"/>
        </w:tabs>
        <w:spacing w:after="0"/>
      </w:pPr>
      <w:r>
        <w:t>Община "Вечный огонь", Тунапуна</w:t>
      </w:r>
    </w:p>
    <w:p w:rsidR="00000000" w:rsidRDefault="00000000">
      <w:pPr>
        <w:numPr>
          <w:ilvl w:val="0"/>
          <w:numId w:val="503"/>
        </w:numPr>
        <w:tabs>
          <w:tab w:val="clear" w:pos="340"/>
          <w:tab w:val="left" w:pos="1021"/>
        </w:tabs>
        <w:spacing w:after="0"/>
      </w:pPr>
      <w:r>
        <w:t>"Семьи в действии", Порт-оф-Спейн</w:t>
      </w:r>
    </w:p>
    <w:p w:rsidR="00000000" w:rsidRDefault="00000000">
      <w:pPr>
        <w:numPr>
          <w:ilvl w:val="0"/>
          <w:numId w:val="503"/>
        </w:numPr>
        <w:tabs>
          <w:tab w:val="clear" w:pos="340"/>
          <w:tab w:val="left" w:pos="1021"/>
        </w:tabs>
        <w:spacing w:after="0"/>
      </w:pPr>
      <w:r>
        <w:t>Центр с ограниченной ответственностью "Надежда", Сан-Фернандо</w:t>
      </w:r>
    </w:p>
    <w:p w:rsidR="00000000" w:rsidRDefault="00000000">
      <w:pPr>
        <w:numPr>
          <w:ilvl w:val="0"/>
          <w:numId w:val="503"/>
        </w:numPr>
        <w:tabs>
          <w:tab w:val="clear" w:pos="340"/>
          <w:tab w:val="left" w:pos="1021"/>
        </w:tabs>
        <w:spacing w:after="0"/>
      </w:pPr>
      <w:r>
        <w:t>Приют "Надежда" для женщин, подвергавшихся избиениям, Чагуанас</w:t>
      </w:r>
    </w:p>
    <w:p w:rsidR="00000000" w:rsidRDefault="00000000">
      <w:pPr>
        <w:numPr>
          <w:ilvl w:val="0"/>
          <w:numId w:val="503"/>
        </w:numPr>
        <w:tabs>
          <w:tab w:val="clear" w:pos="340"/>
          <w:tab w:val="left" w:pos="1021"/>
        </w:tabs>
        <w:spacing w:after="0"/>
      </w:pPr>
      <w:r>
        <w:t>Центр юридической помощи, Юридическая школа Хью Вудинга, Сент-Огастин</w:t>
      </w:r>
    </w:p>
    <w:p w:rsidR="00000000" w:rsidRDefault="00000000">
      <w:pPr>
        <w:numPr>
          <w:ilvl w:val="0"/>
          <w:numId w:val="503"/>
        </w:numPr>
        <w:tabs>
          <w:tab w:val="clear" w:pos="340"/>
          <w:tab w:val="left" w:pos="1021"/>
        </w:tabs>
        <w:spacing w:after="0"/>
      </w:pPr>
      <w:r>
        <w:t>"Мужчины против насилия в отношении женщин" (</w:t>
      </w:r>
      <w:r>
        <w:rPr>
          <w:lang w:val="en-US"/>
        </w:rPr>
        <w:t>MAVAW</w:t>
      </w:r>
      <w:r>
        <w:t>), Порт-оф-Спейн</w:t>
      </w:r>
    </w:p>
    <w:p w:rsidR="00000000" w:rsidRDefault="00000000">
      <w:pPr>
        <w:numPr>
          <w:ilvl w:val="0"/>
          <w:numId w:val="503"/>
        </w:numPr>
        <w:tabs>
          <w:tab w:val="clear" w:pos="340"/>
          <w:tab w:val="left" w:pos="1021"/>
        </w:tabs>
        <w:spacing w:after="0"/>
      </w:pPr>
      <w:r>
        <w:t xml:space="preserve">Переходное общежитие </w:t>
      </w:r>
      <w:r>
        <w:rPr>
          <w:lang w:val="en-US"/>
        </w:rPr>
        <w:t>MIZPEH</w:t>
      </w:r>
      <w:r>
        <w:t xml:space="preserve">, зарегистрированное как корпорация, Сангре-Гранде </w:t>
      </w:r>
    </w:p>
    <w:p w:rsidR="00000000" w:rsidRDefault="00000000">
      <w:pPr>
        <w:numPr>
          <w:ilvl w:val="0"/>
          <w:numId w:val="503"/>
        </w:numPr>
        <w:tabs>
          <w:tab w:val="clear" w:pos="340"/>
          <w:tab w:val="left" w:pos="1021"/>
        </w:tabs>
        <w:spacing w:after="0"/>
      </w:pPr>
      <w:r>
        <w:t>Национальная семейная служба, Порт-оф-Спейн</w:t>
      </w:r>
    </w:p>
    <w:p w:rsidR="00000000" w:rsidRDefault="00000000">
      <w:pPr>
        <w:numPr>
          <w:ilvl w:val="0"/>
          <w:numId w:val="503"/>
        </w:numPr>
        <w:tabs>
          <w:tab w:val="clear" w:pos="340"/>
          <w:tab w:val="left" w:pos="1021"/>
        </w:tabs>
        <w:spacing w:after="0"/>
      </w:pPr>
      <w:r>
        <w:t>"Дева Мария", приют Уэйсайда, Порт-оф-Спейн</w:t>
      </w:r>
    </w:p>
    <w:p w:rsidR="00000000" w:rsidRDefault="00000000">
      <w:pPr>
        <w:numPr>
          <w:ilvl w:val="0"/>
          <w:numId w:val="503"/>
        </w:numPr>
        <w:tabs>
          <w:tab w:val="clear" w:pos="340"/>
          <w:tab w:val="left" w:pos="1021"/>
        </w:tabs>
        <w:spacing w:after="0"/>
      </w:pPr>
      <w:r>
        <w:t>Отдел пробации, Порт-оф-Спейн</w:t>
      </w:r>
    </w:p>
    <w:p w:rsidR="00000000" w:rsidRDefault="00000000">
      <w:pPr>
        <w:numPr>
          <w:ilvl w:val="0"/>
          <w:numId w:val="503"/>
        </w:numPr>
        <w:tabs>
          <w:tab w:val="clear" w:pos="340"/>
          <w:tab w:val="left" w:pos="1021"/>
        </w:tabs>
        <w:spacing w:after="0"/>
      </w:pPr>
      <w:r>
        <w:t>Общество по проблемам кризиса, связанного с изнасилованием, Порт-оф-Спейн</w:t>
      </w:r>
    </w:p>
    <w:p w:rsidR="00000000" w:rsidRDefault="00000000">
      <w:pPr>
        <w:numPr>
          <w:ilvl w:val="0"/>
          <w:numId w:val="503"/>
        </w:numPr>
        <w:tabs>
          <w:tab w:val="clear" w:pos="340"/>
          <w:tab w:val="left" w:pos="1021"/>
        </w:tabs>
        <w:spacing w:after="0"/>
      </w:pPr>
      <w:r>
        <w:t>Приют "Самаан", Порт-оф-Спейн</w:t>
      </w:r>
    </w:p>
    <w:p w:rsidR="00000000" w:rsidRDefault="00000000">
      <w:pPr>
        <w:numPr>
          <w:ilvl w:val="0"/>
          <w:numId w:val="503"/>
        </w:numPr>
        <w:tabs>
          <w:tab w:val="clear" w:pos="340"/>
          <w:tab w:val="left" w:pos="1021"/>
        </w:tabs>
        <w:spacing w:after="0"/>
      </w:pPr>
      <w:r>
        <w:t>"Сороптимист интернэшнл оф Сан-Фернандо"</w:t>
      </w:r>
    </w:p>
    <w:p w:rsidR="00000000" w:rsidRDefault="00000000">
      <w:pPr>
        <w:numPr>
          <w:ilvl w:val="0"/>
          <w:numId w:val="503"/>
        </w:numPr>
        <w:tabs>
          <w:tab w:val="clear" w:pos="340"/>
          <w:tab w:val="left" w:pos="1021"/>
        </w:tabs>
        <w:spacing w:after="0"/>
      </w:pPr>
      <w:r>
        <w:t>"Св. Джуда для девочек", Порт-оф-Спейн</w:t>
      </w:r>
    </w:p>
    <w:p w:rsidR="00000000" w:rsidRDefault="00000000">
      <w:pPr>
        <w:numPr>
          <w:ilvl w:val="0"/>
          <w:numId w:val="503"/>
        </w:numPr>
        <w:tabs>
          <w:tab w:val="clear" w:pos="340"/>
          <w:tab w:val="left" w:pos="1021"/>
        </w:tabs>
        <w:spacing w:after="0"/>
      </w:pPr>
      <w:r>
        <w:t>Рэп-Порт, Порт-оф-Спейн</w:t>
      </w:r>
    </w:p>
    <w:p w:rsidR="00000000" w:rsidRDefault="00000000">
      <w:pPr>
        <w:numPr>
          <w:ilvl w:val="0"/>
          <w:numId w:val="503"/>
        </w:numPr>
        <w:tabs>
          <w:tab w:val="clear" w:pos="340"/>
          <w:tab w:val="left" w:pos="1021"/>
        </w:tabs>
        <w:spacing w:after="0"/>
      </w:pPr>
      <w:r>
        <w:t>Коалиция Тринидада и Тобаго против насилия в семье, Порт-оф-Спейн</w:t>
      </w:r>
    </w:p>
    <w:p w:rsidR="00000000" w:rsidRDefault="00000000">
      <w:pPr>
        <w:numPr>
          <w:ilvl w:val="0"/>
          <w:numId w:val="503"/>
        </w:numPr>
        <w:tabs>
          <w:tab w:val="clear" w:pos="340"/>
          <w:tab w:val="left" w:pos="1021"/>
        </w:tabs>
        <w:spacing w:after="0"/>
      </w:pPr>
      <w:r>
        <w:t>"Женщины за социальный прогресс", Тунапуна</w:t>
      </w:r>
    </w:p>
    <w:p w:rsidR="00000000" w:rsidRDefault="00000000">
      <w:pPr>
        <w:numPr>
          <w:ilvl w:val="0"/>
          <w:numId w:val="503"/>
        </w:numPr>
        <w:tabs>
          <w:tab w:val="clear" w:pos="340"/>
          <w:tab w:val="left" w:pos="1021"/>
        </w:tabs>
        <w:spacing w:after="0"/>
      </w:pPr>
      <w:r>
        <w:rPr>
          <w:lang w:val="en-US"/>
        </w:rPr>
        <w:t>YMCA</w:t>
      </w:r>
      <w:r>
        <w:t>, Порт-оф-Спейн</w:t>
      </w:r>
    </w:p>
    <w:p w:rsidR="00000000" w:rsidRDefault="00000000">
      <w:pPr>
        <w:numPr>
          <w:ilvl w:val="0"/>
          <w:numId w:val="503"/>
        </w:numPr>
        <w:tabs>
          <w:tab w:val="clear" w:pos="340"/>
          <w:tab w:val="left" w:pos="1021"/>
        </w:tabs>
      </w:pPr>
      <w:r>
        <w:t>Фонд "Зои", Арима</w:t>
      </w:r>
    </w:p>
    <w:p w:rsidR="00000000" w:rsidRDefault="00000000">
      <w:pPr>
        <w:pStyle w:val="Heading2"/>
        <w:spacing w:after="0"/>
      </w:pPr>
      <w:r>
        <w:t>Тобаго:</w:t>
      </w:r>
    </w:p>
    <w:p w:rsidR="00000000" w:rsidRDefault="00000000">
      <w:pPr>
        <w:numPr>
          <w:ilvl w:val="0"/>
          <w:numId w:val="504"/>
        </w:numPr>
        <w:spacing w:after="0"/>
      </w:pPr>
      <w:r>
        <w:t>Отдел развития общины, Тобаго</w:t>
      </w:r>
    </w:p>
    <w:p w:rsidR="00000000" w:rsidRDefault="00000000">
      <w:pPr>
        <w:numPr>
          <w:ilvl w:val="0"/>
          <w:numId w:val="504"/>
        </w:numPr>
        <w:spacing w:after="0"/>
      </w:pPr>
      <w:r>
        <w:t>Общинное полицейское подразделение, Тобаго</w:t>
      </w:r>
    </w:p>
    <w:p w:rsidR="00000000" w:rsidRDefault="00000000">
      <w:pPr>
        <w:numPr>
          <w:ilvl w:val="0"/>
          <w:numId w:val="504"/>
        </w:numPr>
        <w:spacing w:after="0"/>
      </w:pPr>
      <w:r>
        <w:t>Министерство социального обеспечения, Комплекс общественного здравоохранения, Сигнал-Хилл, Тобаго</w:t>
      </w:r>
    </w:p>
    <w:p w:rsidR="00000000" w:rsidRDefault="00000000">
      <w:pPr>
        <w:numPr>
          <w:ilvl w:val="0"/>
          <w:numId w:val="504"/>
        </w:numPr>
        <w:spacing w:after="0"/>
      </w:pPr>
      <w:r>
        <w:t>Консультативно-правовое управление (Тобаго)</w:t>
      </w:r>
    </w:p>
    <w:p w:rsidR="00000000" w:rsidRDefault="00000000">
      <w:pPr>
        <w:numPr>
          <w:ilvl w:val="0"/>
          <w:numId w:val="504"/>
        </w:numPr>
        <w:spacing w:after="0"/>
      </w:pPr>
      <w:r>
        <w:t>Общество СПИД в Тобаго, комплекс "Фэрфэкс", Скарборо</w:t>
      </w:r>
    </w:p>
    <w:p w:rsidR="00000000" w:rsidRDefault="00000000">
      <w:pPr>
        <w:numPr>
          <w:ilvl w:val="0"/>
          <w:numId w:val="504"/>
        </w:numPr>
        <w:spacing w:after="0"/>
      </w:pPr>
      <w:r>
        <w:t>"Симерас оазис"</w:t>
      </w:r>
    </w:p>
    <w:p w:rsidR="00000000" w:rsidRDefault="00000000">
      <w:pPr>
        <w:numPr>
          <w:ilvl w:val="0"/>
          <w:numId w:val="504"/>
        </w:numPr>
        <w:spacing w:after="0"/>
      </w:pPr>
      <w:r>
        <w:rPr>
          <w:lang w:val="en-US"/>
        </w:rPr>
        <w:t xml:space="preserve">TOWERS </w:t>
      </w:r>
      <w:r>
        <w:t>Маунт-Грейс, Тобаго</w:t>
      </w:r>
    </w:p>
    <w:p w:rsidR="00000000" w:rsidRDefault="00000000">
      <w:pPr>
        <w:numPr>
          <w:ilvl w:val="0"/>
          <w:numId w:val="504"/>
        </w:numPr>
      </w:pPr>
      <w:r>
        <w:t>"Женщины против насилия, жестокого обращения и насильственных действий" (</w:t>
      </w:r>
      <w:r>
        <w:rPr>
          <w:lang w:val="en-US"/>
        </w:rPr>
        <w:t>WAVE</w:t>
      </w:r>
      <w:r>
        <w:t>), Скарборо</w:t>
      </w:r>
    </w:p>
    <w:p w:rsidR="00000000" w:rsidRDefault="00000000">
      <w:r>
        <w:t>144.</w:t>
      </w:r>
      <w:r>
        <w:tab/>
        <w:t>Что касается воспитания и просвещения общества, то Общество по проблемам кризиса, связанного с изнасилованием, ведет активную работу по распространению информации среди населения посредством осуществления различных пропагандистских программ. К сожалению, это Общество не имеет своего отделения на Тобаго. В связи с этим нижеследующее относится только к Тринидаду:</w:t>
      </w:r>
    </w:p>
    <w:p w:rsidR="00000000" w:rsidRDefault="00000000">
      <w:pPr>
        <w:spacing w:after="0"/>
        <w:ind w:left="340"/>
        <w:rPr>
          <w:b/>
        </w:rPr>
      </w:pPr>
      <w:r>
        <w:rPr>
          <w:b/>
        </w:rPr>
        <w:t>Организации, проинспектированные в соответствии с рассматриваемыми проблемами, 1998 год</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737"/>
        <w:gridCol w:w="1077"/>
        <w:gridCol w:w="851"/>
        <w:gridCol w:w="737"/>
        <w:gridCol w:w="964"/>
        <w:gridCol w:w="851"/>
        <w:gridCol w:w="851"/>
        <w:gridCol w:w="1021"/>
      </w:tblGrid>
      <w:tr w:rsidR="00000000">
        <w:tblPrEx>
          <w:tblCellMar>
            <w:top w:w="0" w:type="dxa"/>
            <w:bottom w:w="0" w:type="dxa"/>
          </w:tblCellMar>
        </w:tblPrEx>
        <w:tc>
          <w:tcPr>
            <w:tcW w:w="2268" w:type="dxa"/>
          </w:tcPr>
          <w:p w:rsidR="00000000" w:rsidRDefault="00000000">
            <w:pPr>
              <w:spacing w:before="40" w:after="0" w:line="240" w:lineRule="auto"/>
              <w:jc w:val="center"/>
              <w:rPr>
                <w:rFonts w:ascii="Arial" w:hAnsi="Arial"/>
                <w:sz w:val="14"/>
              </w:rPr>
            </w:pPr>
            <w:r>
              <w:rPr>
                <w:rFonts w:ascii="Arial" w:hAnsi="Arial"/>
                <w:sz w:val="14"/>
              </w:rPr>
              <w:t>ОРГАНИЗАЦИЯ</w:t>
            </w:r>
          </w:p>
        </w:tc>
        <w:tc>
          <w:tcPr>
            <w:tcW w:w="737" w:type="dxa"/>
          </w:tcPr>
          <w:p w:rsidR="00000000" w:rsidRDefault="00000000">
            <w:pPr>
              <w:spacing w:before="40" w:after="0" w:line="240" w:lineRule="auto"/>
              <w:jc w:val="center"/>
              <w:rPr>
                <w:rFonts w:ascii="Arial" w:hAnsi="Arial"/>
                <w:sz w:val="14"/>
              </w:rPr>
            </w:pPr>
            <w:r>
              <w:rPr>
                <w:rFonts w:ascii="Arial" w:hAnsi="Arial"/>
                <w:sz w:val="14"/>
              </w:rPr>
              <w:t>ОБЩЕЕ ЧИСЛО ПОСЕ-ЩЕНИЙ</w:t>
            </w:r>
          </w:p>
        </w:tc>
        <w:tc>
          <w:tcPr>
            <w:tcW w:w="1077" w:type="dxa"/>
          </w:tcPr>
          <w:p w:rsidR="00000000" w:rsidRDefault="00000000">
            <w:pPr>
              <w:spacing w:before="40" w:after="0" w:line="240" w:lineRule="auto"/>
              <w:jc w:val="center"/>
              <w:rPr>
                <w:rFonts w:ascii="Arial" w:hAnsi="Arial"/>
                <w:sz w:val="14"/>
              </w:rPr>
            </w:pPr>
            <w:r>
              <w:rPr>
                <w:rFonts w:ascii="Arial" w:hAnsi="Arial"/>
                <w:sz w:val="14"/>
              </w:rPr>
              <w:t>СОВРАЩЕНИЕ И РАСТЛЕНИЕ ДЕТЕЙ</w:t>
            </w:r>
          </w:p>
        </w:tc>
        <w:tc>
          <w:tcPr>
            <w:tcW w:w="851" w:type="dxa"/>
          </w:tcPr>
          <w:p w:rsidR="00000000" w:rsidRDefault="00000000">
            <w:pPr>
              <w:spacing w:before="40" w:after="0" w:line="240" w:lineRule="auto"/>
              <w:jc w:val="center"/>
              <w:rPr>
                <w:rFonts w:ascii="Arial" w:hAnsi="Arial"/>
                <w:sz w:val="14"/>
              </w:rPr>
            </w:pPr>
            <w:r>
              <w:rPr>
                <w:rFonts w:ascii="Arial" w:hAnsi="Arial"/>
                <w:sz w:val="14"/>
              </w:rPr>
              <w:t>НАСИЛИЕ В СЕМЬЕ</w:t>
            </w:r>
          </w:p>
        </w:tc>
        <w:tc>
          <w:tcPr>
            <w:tcW w:w="737" w:type="dxa"/>
          </w:tcPr>
          <w:p w:rsidR="00000000" w:rsidRDefault="00000000">
            <w:pPr>
              <w:spacing w:before="40" w:after="0" w:line="240" w:lineRule="auto"/>
              <w:jc w:val="center"/>
              <w:rPr>
                <w:rFonts w:ascii="Arial" w:hAnsi="Arial"/>
                <w:sz w:val="14"/>
              </w:rPr>
            </w:pPr>
            <w:r>
              <w:rPr>
                <w:rFonts w:ascii="Arial" w:hAnsi="Arial"/>
                <w:sz w:val="14"/>
              </w:rPr>
              <w:t>ИЗНА-СИЛО-ВАНИЕ</w:t>
            </w:r>
          </w:p>
        </w:tc>
        <w:tc>
          <w:tcPr>
            <w:tcW w:w="964" w:type="dxa"/>
          </w:tcPr>
          <w:p w:rsidR="00000000" w:rsidRDefault="00000000">
            <w:pPr>
              <w:spacing w:before="40" w:after="0" w:line="240" w:lineRule="auto"/>
              <w:jc w:val="center"/>
              <w:rPr>
                <w:rFonts w:ascii="Arial" w:hAnsi="Arial"/>
                <w:sz w:val="14"/>
              </w:rPr>
            </w:pPr>
            <w:r>
              <w:rPr>
                <w:rFonts w:ascii="Arial" w:hAnsi="Arial"/>
                <w:sz w:val="14"/>
              </w:rPr>
              <w:t>ПРОТИВО</w:t>
            </w:r>
            <w:r>
              <w:rPr>
                <w:rFonts w:ascii="Arial" w:hAnsi="Arial"/>
                <w:sz w:val="14"/>
                <w:lang w:val="en-US"/>
              </w:rPr>
              <w:t>-</w:t>
            </w:r>
            <w:r>
              <w:rPr>
                <w:rFonts w:ascii="Arial" w:hAnsi="Arial"/>
                <w:sz w:val="14"/>
                <w:lang w:val="en-US"/>
              </w:rPr>
              <w:br/>
            </w:r>
            <w:r>
              <w:rPr>
                <w:rFonts w:ascii="Arial" w:hAnsi="Arial"/>
                <w:sz w:val="14"/>
              </w:rPr>
              <w:t>ПРАВНОЕ ПОЛОВОЕ СНОШЕНИЕ</w:t>
            </w:r>
          </w:p>
        </w:tc>
        <w:tc>
          <w:tcPr>
            <w:tcW w:w="851" w:type="dxa"/>
          </w:tcPr>
          <w:p w:rsidR="00000000" w:rsidRDefault="00000000">
            <w:pPr>
              <w:spacing w:before="40" w:after="0" w:line="240" w:lineRule="auto"/>
              <w:jc w:val="center"/>
              <w:rPr>
                <w:rFonts w:ascii="Arial" w:hAnsi="Arial"/>
                <w:sz w:val="14"/>
              </w:rPr>
            </w:pPr>
            <w:r>
              <w:rPr>
                <w:rFonts w:ascii="Arial" w:hAnsi="Arial"/>
                <w:sz w:val="14"/>
              </w:rPr>
              <w:t>ПОЛОВАЯ ЖИЗНЬ</w:t>
            </w:r>
          </w:p>
        </w:tc>
        <w:tc>
          <w:tcPr>
            <w:tcW w:w="851" w:type="dxa"/>
          </w:tcPr>
          <w:p w:rsidR="00000000" w:rsidRDefault="00000000">
            <w:pPr>
              <w:spacing w:before="40" w:after="0" w:line="240" w:lineRule="auto"/>
              <w:jc w:val="center"/>
              <w:rPr>
                <w:rFonts w:ascii="Arial" w:hAnsi="Arial"/>
                <w:sz w:val="14"/>
              </w:rPr>
            </w:pPr>
            <w:r>
              <w:rPr>
                <w:rFonts w:ascii="Arial" w:hAnsi="Arial"/>
                <w:sz w:val="14"/>
              </w:rPr>
              <w:t>ОБЩЕСТ</w:t>
            </w:r>
            <w:r>
              <w:rPr>
                <w:rFonts w:ascii="Arial" w:hAnsi="Arial"/>
                <w:sz w:val="14"/>
                <w:lang w:val="en-US"/>
              </w:rPr>
              <w:t>-</w:t>
            </w:r>
            <w:r>
              <w:rPr>
                <w:rFonts w:ascii="Arial" w:hAnsi="Arial"/>
                <w:sz w:val="14"/>
                <w:lang w:val="en-US"/>
              </w:rPr>
              <w:br/>
            </w:r>
            <w:r>
              <w:rPr>
                <w:rFonts w:ascii="Arial" w:hAnsi="Arial"/>
                <w:sz w:val="14"/>
              </w:rPr>
              <w:t>ВЕННЫЕ СЛУЖБЫ</w:t>
            </w:r>
          </w:p>
        </w:tc>
        <w:tc>
          <w:tcPr>
            <w:tcW w:w="1021" w:type="dxa"/>
          </w:tcPr>
          <w:p w:rsidR="00000000" w:rsidRDefault="00000000">
            <w:pPr>
              <w:spacing w:before="40" w:after="0" w:line="240" w:lineRule="auto"/>
              <w:jc w:val="center"/>
              <w:rPr>
                <w:rFonts w:ascii="Arial" w:hAnsi="Arial"/>
                <w:sz w:val="14"/>
              </w:rPr>
            </w:pPr>
            <w:r>
              <w:rPr>
                <w:rFonts w:ascii="Arial" w:hAnsi="Arial"/>
                <w:sz w:val="14"/>
              </w:rPr>
              <w:t>ПОСЕЩЕНИЯ С ДРУГИМИ ЦЕЛЯМИ</w:t>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Начальные школы</w:t>
            </w:r>
          </w:p>
        </w:tc>
        <w:tc>
          <w:tcPr>
            <w:tcW w:w="737" w:type="dxa"/>
          </w:tcPr>
          <w:p w:rsidR="00000000" w:rsidRDefault="00000000">
            <w:pPr>
              <w:spacing w:before="40" w:after="0" w:line="240" w:lineRule="auto"/>
              <w:jc w:val="center"/>
              <w:rPr>
                <w:rFonts w:ascii="Arial" w:hAnsi="Arial"/>
                <w:sz w:val="16"/>
              </w:rPr>
            </w:pPr>
            <w:r>
              <w:rPr>
                <w:rFonts w:ascii="Arial" w:hAnsi="Arial"/>
                <w:sz w:val="16"/>
              </w:rPr>
              <w:t>2</w:t>
            </w:r>
          </w:p>
        </w:tc>
        <w:tc>
          <w:tcPr>
            <w:tcW w:w="107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tcPr>
          <w:p w:rsidR="00000000" w:rsidRDefault="00000000">
            <w:pPr>
              <w:spacing w:before="40" w:after="0" w:line="240" w:lineRule="auto"/>
              <w:jc w:val="center"/>
              <w:rPr>
                <w:rFonts w:ascii="Arial" w:hAnsi="Arial"/>
                <w:sz w:val="16"/>
              </w:rPr>
            </w:pPr>
          </w:p>
        </w:tc>
        <w:tc>
          <w:tcPr>
            <w:tcW w:w="73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1021"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Родительско-учительские ассоциации</w:t>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t>3</w:t>
            </w:r>
          </w:p>
        </w:tc>
        <w:tc>
          <w:tcPr>
            <w:tcW w:w="107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1021" w:type="dxa"/>
            <w:vAlign w:val="bottom"/>
          </w:tcPr>
          <w:p w:rsidR="00000000" w:rsidRDefault="00000000">
            <w:pPr>
              <w:spacing w:before="40" w:after="0" w:line="240" w:lineRule="auto"/>
              <w:jc w:val="center"/>
              <w:rPr>
                <w:rFonts w:ascii="Arial" w:hAnsi="Arial"/>
                <w:sz w:val="16"/>
              </w:rPr>
            </w:pP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Средние школы</w:t>
            </w:r>
          </w:p>
        </w:tc>
        <w:tc>
          <w:tcPr>
            <w:tcW w:w="737" w:type="dxa"/>
          </w:tcPr>
          <w:p w:rsidR="00000000" w:rsidRDefault="00000000">
            <w:pPr>
              <w:spacing w:before="40" w:after="0" w:line="240" w:lineRule="auto"/>
              <w:jc w:val="center"/>
              <w:rPr>
                <w:rFonts w:ascii="Arial" w:hAnsi="Arial"/>
                <w:sz w:val="16"/>
              </w:rPr>
            </w:pPr>
            <w:r>
              <w:rPr>
                <w:rFonts w:ascii="Arial" w:hAnsi="Arial"/>
                <w:sz w:val="16"/>
              </w:rPr>
              <w:t>6</w:t>
            </w:r>
          </w:p>
        </w:tc>
        <w:tc>
          <w:tcPr>
            <w:tcW w:w="107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73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tcPr>
          <w:p w:rsidR="00000000" w:rsidRDefault="00000000">
            <w:pPr>
              <w:spacing w:before="40" w:after="0" w:line="240" w:lineRule="auto"/>
              <w:jc w:val="center"/>
              <w:rPr>
                <w:rFonts w:ascii="Arial" w:hAnsi="Arial"/>
                <w:sz w:val="16"/>
              </w:rPr>
            </w:pPr>
          </w:p>
        </w:tc>
        <w:tc>
          <w:tcPr>
            <w:tcW w:w="1021"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Младшие классы средней школы</w:t>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t>2</w:t>
            </w:r>
          </w:p>
        </w:tc>
        <w:tc>
          <w:tcPr>
            <w:tcW w:w="107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102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Центры подготовки молодежи</w:t>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t>20</w:t>
            </w:r>
          </w:p>
        </w:tc>
        <w:tc>
          <w:tcPr>
            <w:tcW w:w="107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102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Религиозные организации</w:t>
            </w:r>
          </w:p>
        </w:tc>
        <w:tc>
          <w:tcPr>
            <w:tcW w:w="737" w:type="dxa"/>
          </w:tcPr>
          <w:p w:rsidR="00000000" w:rsidRDefault="00000000">
            <w:pPr>
              <w:spacing w:before="40" w:after="0" w:line="240" w:lineRule="auto"/>
              <w:jc w:val="center"/>
              <w:rPr>
                <w:rFonts w:ascii="Arial" w:hAnsi="Arial"/>
                <w:sz w:val="16"/>
              </w:rPr>
            </w:pPr>
            <w:r>
              <w:rPr>
                <w:rFonts w:ascii="Arial" w:hAnsi="Arial"/>
                <w:sz w:val="16"/>
              </w:rPr>
              <w:t>11</w:t>
            </w:r>
          </w:p>
        </w:tc>
        <w:tc>
          <w:tcPr>
            <w:tcW w:w="107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73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1021"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Молодежные группы</w:t>
            </w:r>
          </w:p>
        </w:tc>
        <w:tc>
          <w:tcPr>
            <w:tcW w:w="737" w:type="dxa"/>
          </w:tcPr>
          <w:p w:rsidR="00000000" w:rsidRDefault="00000000">
            <w:pPr>
              <w:spacing w:before="40" w:after="0" w:line="240" w:lineRule="auto"/>
              <w:jc w:val="center"/>
              <w:rPr>
                <w:rFonts w:ascii="Arial" w:hAnsi="Arial"/>
                <w:sz w:val="16"/>
              </w:rPr>
            </w:pPr>
            <w:r>
              <w:rPr>
                <w:rFonts w:ascii="Arial" w:hAnsi="Arial"/>
                <w:sz w:val="16"/>
              </w:rPr>
              <w:t>1</w:t>
            </w:r>
          </w:p>
        </w:tc>
        <w:tc>
          <w:tcPr>
            <w:tcW w:w="107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tcPr>
          <w:p w:rsidR="00000000" w:rsidRDefault="00000000">
            <w:pPr>
              <w:spacing w:before="40" w:after="0" w:line="240" w:lineRule="auto"/>
              <w:jc w:val="center"/>
              <w:rPr>
                <w:rFonts w:ascii="Arial" w:hAnsi="Arial"/>
                <w:sz w:val="16"/>
              </w:rPr>
            </w:pPr>
          </w:p>
        </w:tc>
        <w:tc>
          <w:tcPr>
            <w:tcW w:w="73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1021" w:type="dxa"/>
          </w:tcPr>
          <w:p w:rsidR="00000000" w:rsidRDefault="00000000">
            <w:pPr>
              <w:spacing w:before="40" w:after="0" w:line="240" w:lineRule="auto"/>
              <w:jc w:val="center"/>
              <w:rPr>
                <w:rFonts w:ascii="Arial" w:hAnsi="Arial"/>
                <w:sz w:val="16"/>
              </w:rPr>
            </w:pP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Служба гражданских констеблей</w:t>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t>20</w:t>
            </w:r>
          </w:p>
        </w:tc>
        <w:tc>
          <w:tcPr>
            <w:tcW w:w="107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1021" w:type="dxa"/>
            <w:vAlign w:val="bottom"/>
          </w:tcPr>
          <w:p w:rsidR="00000000" w:rsidRDefault="00000000">
            <w:pPr>
              <w:spacing w:before="40" w:after="0" w:line="240" w:lineRule="auto"/>
              <w:jc w:val="center"/>
              <w:rPr>
                <w:rFonts w:ascii="Arial" w:hAnsi="Arial"/>
                <w:sz w:val="16"/>
              </w:rPr>
            </w:pP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Лига охраны детства</w:t>
            </w:r>
          </w:p>
        </w:tc>
        <w:tc>
          <w:tcPr>
            <w:tcW w:w="737" w:type="dxa"/>
          </w:tcPr>
          <w:p w:rsidR="00000000" w:rsidRDefault="00000000">
            <w:pPr>
              <w:spacing w:before="40" w:after="0" w:line="240" w:lineRule="auto"/>
              <w:jc w:val="center"/>
              <w:rPr>
                <w:rFonts w:ascii="Arial" w:hAnsi="Arial"/>
                <w:sz w:val="16"/>
              </w:rPr>
            </w:pPr>
            <w:r>
              <w:rPr>
                <w:rFonts w:ascii="Arial" w:hAnsi="Arial"/>
                <w:sz w:val="16"/>
              </w:rPr>
              <w:t>1</w:t>
            </w:r>
          </w:p>
        </w:tc>
        <w:tc>
          <w:tcPr>
            <w:tcW w:w="107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tcPr>
          <w:p w:rsidR="00000000" w:rsidRDefault="00000000">
            <w:pPr>
              <w:spacing w:before="40" w:after="0" w:line="240" w:lineRule="auto"/>
              <w:jc w:val="center"/>
              <w:rPr>
                <w:rFonts w:ascii="Arial" w:hAnsi="Arial"/>
                <w:sz w:val="16"/>
              </w:rPr>
            </w:pPr>
          </w:p>
        </w:tc>
        <w:tc>
          <w:tcPr>
            <w:tcW w:w="737" w:type="dxa"/>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851" w:type="dxa"/>
          </w:tcPr>
          <w:p w:rsidR="00000000" w:rsidRDefault="00000000">
            <w:pPr>
              <w:spacing w:before="40" w:after="0" w:line="240" w:lineRule="auto"/>
              <w:jc w:val="center"/>
              <w:rPr>
                <w:rFonts w:ascii="Arial" w:hAnsi="Arial"/>
                <w:sz w:val="16"/>
              </w:rPr>
            </w:pPr>
          </w:p>
        </w:tc>
        <w:tc>
          <w:tcPr>
            <w:tcW w:w="1021" w:type="dxa"/>
          </w:tcPr>
          <w:p w:rsidR="00000000" w:rsidRDefault="00000000">
            <w:pPr>
              <w:spacing w:before="40" w:after="0" w:line="240" w:lineRule="auto"/>
              <w:jc w:val="center"/>
              <w:rPr>
                <w:rFonts w:ascii="Arial" w:hAnsi="Arial"/>
                <w:sz w:val="16"/>
              </w:rPr>
            </w:pP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Вест-Индский университет, школа непрерывного обучения</w:t>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t>2</w:t>
            </w:r>
          </w:p>
        </w:tc>
        <w:tc>
          <w:tcPr>
            <w:tcW w:w="107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102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r>
      <w:tr w:rsidR="00000000">
        <w:tblPrEx>
          <w:tblCellMar>
            <w:top w:w="0" w:type="dxa"/>
            <w:bottom w:w="0" w:type="dxa"/>
          </w:tblCellMar>
        </w:tblPrEx>
        <w:tc>
          <w:tcPr>
            <w:tcW w:w="2268" w:type="dxa"/>
          </w:tcPr>
          <w:p w:rsidR="00000000" w:rsidRDefault="00000000">
            <w:pPr>
              <w:spacing w:before="40" w:after="0" w:line="240" w:lineRule="auto"/>
              <w:jc w:val="left"/>
              <w:rPr>
                <w:rFonts w:ascii="Arial" w:hAnsi="Arial"/>
                <w:sz w:val="16"/>
              </w:rPr>
            </w:pPr>
            <w:r>
              <w:rPr>
                <w:rFonts w:ascii="Arial" w:hAnsi="Arial"/>
                <w:sz w:val="16"/>
              </w:rPr>
              <w:t>Профессиональные организации</w:t>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t>17</w:t>
            </w:r>
          </w:p>
        </w:tc>
        <w:tc>
          <w:tcPr>
            <w:tcW w:w="107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737"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964"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c>
          <w:tcPr>
            <w:tcW w:w="851" w:type="dxa"/>
            <w:vAlign w:val="bottom"/>
          </w:tcPr>
          <w:p w:rsidR="00000000" w:rsidRDefault="00000000">
            <w:pPr>
              <w:spacing w:before="40" w:after="0" w:line="240" w:lineRule="auto"/>
              <w:jc w:val="center"/>
              <w:rPr>
                <w:rFonts w:ascii="Arial" w:hAnsi="Arial"/>
                <w:sz w:val="16"/>
              </w:rPr>
            </w:pPr>
          </w:p>
        </w:tc>
        <w:tc>
          <w:tcPr>
            <w:tcW w:w="851" w:type="dxa"/>
            <w:vAlign w:val="bottom"/>
          </w:tcPr>
          <w:p w:rsidR="00000000" w:rsidRDefault="00000000">
            <w:pPr>
              <w:spacing w:before="40" w:after="0" w:line="240" w:lineRule="auto"/>
              <w:jc w:val="center"/>
              <w:rPr>
                <w:rFonts w:ascii="Arial" w:hAnsi="Arial"/>
                <w:sz w:val="16"/>
              </w:rPr>
            </w:pPr>
          </w:p>
        </w:tc>
        <w:tc>
          <w:tcPr>
            <w:tcW w:w="1021" w:type="dxa"/>
            <w:vAlign w:val="bottom"/>
          </w:tcPr>
          <w:p w:rsidR="00000000" w:rsidRDefault="00000000">
            <w:pPr>
              <w:spacing w:before="40" w:after="0" w:line="240" w:lineRule="auto"/>
              <w:jc w:val="center"/>
              <w:rPr>
                <w:rFonts w:ascii="Arial" w:hAnsi="Arial"/>
                <w:sz w:val="16"/>
              </w:rPr>
            </w:pPr>
            <w:r>
              <w:rPr>
                <w:rFonts w:ascii="Arial" w:hAnsi="Arial"/>
                <w:sz w:val="16"/>
              </w:rPr>
              <w:sym w:font="Wingdings" w:char="F0FC"/>
            </w:r>
          </w:p>
        </w:tc>
      </w:tr>
    </w:tbl>
    <w:p w:rsidR="00000000" w:rsidRDefault="00000000">
      <w:pPr>
        <w:spacing w:after="120"/>
      </w:pPr>
    </w:p>
    <w:p w:rsidR="00000000" w:rsidRDefault="00000000">
      <w:r>
        <w:t>145.</w:t>
      </w:r>
      <w:r>
        <w:tab/>
        <w:t xml:space="preserve">Общество по проблемам кризиса, связанного с изнасилованием, открыло также центр подготовки в области малого бизнеса и приступило к осуществлению проекта переработки сельскохозяйственной продукции; обучение проводится по пяти циклам, каждый из которых ежегодно посещают 15 человек. Выпускники могут работать на предприятиях Общества до тех пор, пока они сами не сумеют содержать себя. Желающие пройти подготовку направляются в основном организациями, в том числе национальными семейными службами, Министерством общественного благосостояния, церковными организациями и Женской федерацией институтов. </w:t>
      </w:r>
    </w:p>
    <w:p w:rsidR="00000000" w:rsidRDefault="00000000">
      <w:r>
        <w:t>146.</w:t>
      </w:r>
      <w:r>
        <w:tab/>
        <w:t>Отдел гендерных проблем Министерства культуры и гендерных проблем также участвует в проведении широкой общественной кампании по повышению осведомленности населения о насилии в отношении женщин. Эти программы адресованы различным группам населения. Две такие программы включают следующие проекты:</w:t>
      </w:r>
    </w:p>
    <w:p w:rsidR="00000000" w:rsidRDefault="00000000">
      <w:pPr>
        <w:spacing w:after="0"/>
        <w:rPr>
          <w:b/>
        </w:rPr>
      </w:pPr>
      <w:r>
        <w:rPr>
          <w:lang w:val="en-US"/>
        </w:rPr>
        <w:tab/>
        <w:t>i)</w:t>
      </w:r>
      <w:r>
        <w:rPr>
          <w:lang w:val="en-US"/>
        </w:rPr>
        <w:tab/>
      </w:r>
      <w:r>
        <w:rPr>
          <w:b/>
        </w:rPr>
        <w:t>Сбор данных о молодежи</w:t>
      </w:r>
    </w:p>
    <w:p w:rsidR="00000000" w:rsidRDefault="00000000">
      <w:pPr>
        <w:ind w:left="680" w:hanging="680"/>
      </w:pPr>
      <w:r>
        <w:tab/>
      </w:r>
      <w:r>
        <w:tab/>
        <w:t xml:space="preserve">Этот проект способствовал использованию ряда механизмов изучения различных проблем, связанных с насилием в семье. Проект также осуществлялся в школах, и участие учащихся в исследовании различных форм жестокого обращения в семье всемерно поощрялось. Результатом проведенных исследований стали выпуск телевизионной передачи, адресованной молодежи страны, и подготовка рукописи, предназначенной для выпуска сборника текстов для чтения. </w:t>
      </w:r>
    </w:p>
    <w:p w:rsidR="00000000" w:rsidRDefault="00000000">
      <w:pPr>
        <w:spacing w:after="0"/>
        <w:rPr>
          <w:b/>
        </w:rPr>
      </w:pPr>
      <w:r>
        <w:rPr>
          <w:lang w:val="en-US"/>
        </w:rPr>
        <w:tab/>
        <w:t>ii)</w:t>
      </w:r>
      <w:r>
        <w:rPr>
          <w:lang w:val="en-US"/>
        </w:rPr>
        <w:tab/>
      </w:r>
      <w:r>
        <w:rPr>
          <w:b/>
        </w:rPr>
        <w:t>Другие инициативы/программы</w:t>
      </w:r>
    </w:p>
    <w:p w:rsidR="00000000" w:rsidRDefault="00000000">
      <w:pPr>
        <w:ind w:left="680" w:hanging="680"/>
      </w:pPr>
      <w:r>
        <w:tab/>
      </w:r>
      <w:r>
        <w:tab/>
        <w:t>Чтобы заострить внимание населения на проблеме насилия в семье, проводились уличные демонстрации, практикумы, использовались возможности народного театра, организовывались семинары, лекции, развешивались рекламные плакаты, выпускались брошюры, информационные буклеты, газетные приложения, радио- и телепрограммы. Все они ориентированы как на мужчин, так и женщин различных возрастов. При изучении гендерных проблем в ходе проведения всех этих мероприятий с участием активной аудитории были предприняты согласованные усилия по изменению установочных и поведенческих стереотипов мужчин.</w:t>
      </w:r>
    </w:p>
    <w:p w:rsidR="00000000" w:rsidRDefault="00000000">
      <w:r>
        <w:t>147.</w:t>
      </w:r>
      <w:r>
        <w:tab/>
        <w:t>Также осуществлялись программы информирования общества в целях просвещения женщин в вопросах их прав. Однако они носят довольно общий характер и не обязательно посвящены проблеме насилия в семье.</w:t>
      </w:r>
    </w:p>
    <w:p w:rsidR="00000000" w:rsidRDefault="00000000">
      <w:r>
        <w:t>148.</w:t>
      </w:r>
      <w:r>
        <w:tab/>
        <w:t xml:space="preserve">Вклад средств массовой информации в проведение программ повышения осведомленности общества носит, как правило, спорадический характер и обычно приурочивается к празднованию определенных событий, таких как Международный день за прекращение насилия в отношении женщин, или выражается в оперативном освещении средствами массовой информации акта насилия, совершенного в обществе. </w:t>
      </w:r>
    </w:p>
    <w:p w:rsidR="00000000" w:rsidRDefault="00000000">
      <w:r>
        <w:t>149.</w:t>
      </w:r>
      <w:r>
        <w:tab/>
        <w:t xml:space="preserve">Что касается системы образования, то учебным планом начальной школы предусматривается изучение проблемы урегулирования конфликтов ненасильственным путем в рамках учебного курса под названием "Основополагающие принципы предлагаемого учебного плана для системы начального образования", направленного на формирование ответственного поведения, характеризующегося самосовершенствованием, а также отношения и ценностей, призванных воспрепятствовать преступности и насилию. </w:t>
      </w:r>
    </w:p>
    <w:p w:rsidR="00000000" w:rsidRDefault="00000000">
      <w:r>
        <w:t>150.</w:t>
      </w:r>
      <w:r>
        <w:tab/>
        <w:t>Наконец, ряд неправительственных организаций, таких как "Работающие женщины за социальный прогресс", научные сотрудники Карибского института феминистских исследований и деятельности (</w:t>
      </w:r>
      <w:r>
        <w:rPr>
          <w:lang w:val="en-US"/>
        </w:rPr>
        <w:t>CAFRA</w:t>
      </w:r>
      <w:r>
        <w:t xml:space="preserve">) и Коалиция Тринидада и Тобаго против насилия в семье, провели ряд семинаров по проблеме насилия в семье, предназначенных для общинных групп и широкой общественности по всей стране. </w:t>
      </w:r>
    </w:p>
    <w:p w:rsidR="00000000" w:rsidRDefault="00000000">
      <w:r>
        <w:t>151.</w:t>
      </w:r>
      <w:r>
        <w:tab/>
        <w:t>Дополнительная информация о насилии в отношении женщин в Тринидаде и Тобаго приводится, в соответствии со статьей 3, в пунктах 94–96 и 101 данного периодического доклада.</w:t>
      </w:r>
    </w:p>
    <w:p w:rsidR="00000000" w:rsidRDefault="00000000">
      <w:r>
        <w:t>152.</w:t>
      </w:r>
      <w:r>
        <w:tab/>
        <w:t>Несмотря на инициативы, предпринимаемые в целях разрешения проблемы насилия в семье в Тринидаде и Тобаго, насилие, тем не менее, по-прежнему широко распространено. Существующие препятствия структурного и институционального характера служат преградой для включения гендерного аспекта в основные направления политики и программы. Эти препятствия связаны с выделением финансовых и людских ресурсов на цели создания институциональных механизмов, призванных содействовать развитию женщин в Тринидаде и Тобаго. Хотя стало выделяться больше персонала, оборудования и финансовых средств на деятельность, связанную с развитием женщин, их требуется еще больше, чтобы процесс развития приобрел необходимую устойчивость. Несмотря на то что в отчетный период в стране отмечается экономический рост, по-прежнему проводится трезвая финансовая политика, призванная обеспечить рациональное использование ресурсов и устойчивое долговременное развитие. В связи с этим растут расходы на социальный сектор, но незначительно.</w:t>
      </w:r>
    </w:p>
    <w:p w:rsidR="00000000" w:rsidRDefault="00000000">
      <w:pPr>
        <w:spacing w:after="0"/>
        <w:ind w:left="340"/>
      </w:pPr>
      <w:r>
        <w:rPr>
          <w:b/>
        </w:rPr>
        <w:t>Общая сумма расходов на отдельные министерства, 1995–1998 годы</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2"/>
        <w:gridCol w:w="1474"/>
        <w:gridCol w:w="1474"/>
        <w:gridCol w:w="1474"/>
        <w:gridCol w:w="1474"/>
      </w:tblGrid>
      <w:tr w:rsidR="00000000">
        <w:tblPrEx>
          <w:tblCellMar>
            <w:top w:w="0" w:type="dxa"/>
            <w:bottom w:w="0" w:type="dxa"/>
          </w:tblCellMar>
        </w:tblPrEx>
        <w:trPr>
          <w:cantSplit/>
        </w:trPr>
        <w:tc>
          <w:tcPr>
            <w:tcW w:w="3402" w:type="dxa"/>
            <w:tcBorders>
              <w:bottom w:val="nil"/>
            </w:tcBorders>
          </w:tcPr>
          <w:p w:rsidR="00000000" w:rsidRDefault="00000000">
            <w:pPr>
              <w:spacing w:before="60" w:after="0" w:line="240" w:lineRule="auto"/>
              <w:rPr>
                <w:rFonts w:ascii="Arial" w:hAnsi="Arial"/>
                <w:sz w:val="16"/>
              </w:rPr>
            </w:pPr>
            <w:r>
              <w:rPr>
                <w:rFonts w:ascii="Arial" w:hAnsi="Arial"/>
                <w:sz w:val="16"/>
              </w:rPr>
              <w:t>Министерство</w:t>
            </w:r>
          </w:p>
        </w:tc>
        <w:tc>
          <w:tcPr>
            <w:tcW w:w="5896" w:type="dxa"/>
            <w:gridSpan w:val="4"/>
          </w:tcPr>
          <w:p w:rsidR="00000000" w:rsidRDefault="00000000">
            <w:pPr>
              <w:spacing w:before="60" w:after="0" w:line="240" w:lineRule="auto"/>
              <w:jc w:val="center"/>
              <w:rPr>
                <w:rFonts w:ascii="Arial" w:hAnsi="Arial"/>
                <w:sz w:val="16"/>
              </w:rPr>
            </w:pPr>
            <w:r>
              <w:rPr>
                <w:rFonts w:ascii="Arial" w:hAnsi="Arial"/>
                <w:sz w:val="16"/>
              </w:rPr>
              <w:t>ВСЕГО</w:t>
            </w:r>
          </w:p>
        </w:tc>
      </w:tr>
      <w:tr w:rsidR="00000000">
        <w:tblPrEx>
          <w:tblCellMar>
            <w:top w:w="0" w:type="dxa"/>
            <w:bottom w:w="0" w:type="dxa"/>
          </w:tblCellMar>
        </w:tblPrEx>
        <w:tc>
          <w:tcPr>
            <w:tcW w:w="3402" w:type="dxa"/>
            <w:tcBorders>
              <w:top w:val="nil"/>
            </w:tcBorders>
          </w:tcPr>
          <w:p w:rsidR="00000000" w:rsidRDefault="00000000">
            <w:pPr>
              <w:spacing w:before="60" w:after="0" w:line="240" w:lineRule="auto"/>
              <w:jc w:val="center"/>
              <w:rPr>
                <w:rFonts w:ascii="Arial" w:hAnsi="Arial"/>
                <w:sz w:val="16"/>
              </w:rPr>
            </w:pPr>
          </w:p>
        </w:tc>
        <w:tc>
          <w:tcPr>
            <w:tcW w:w="1474" w:type="dxa"/>
          </w:tcPr>
          <w:p w:rsidR="00000000" w:rsidRDefault="00000000">
            <w:pPr>
              <w:spacing w:before="60" w:after="0" w:line="240" w:lineRule="auto"/>
              <w:jc w:val="center"/>
              <w:rPr>
                <w:rFonts w:ascii="Arial" w:hAnsi="Arial"/>
                <w:sz w:val="16"/>
              </w:rPr>
            </w:pPr>
            <w:r>
              <w:rPr>
                <w:rFonts w:ascii="Arial" w:hAnsi="Arial"/>
                <w:sz w:val="16"/>
              </w:rPr>
              <w:t>1995 год (</w:t>
            </w:r>
            <w:r>
              <w:rPr>
                <w:rFonts w:ascii="Arial" w:hAnsi="Arial"/>
                <w:sz w:val="16"/>
                <w:lang w:val="en-US"/>
              </w:rPr>
              <w:t>$</w:t>
            </w:r>
            <w:r>
              <w:rPr>
                <w:rFonts w:ascii="Arial" w:hAnsi="Arial"/>
                <w:sz w:val="16"/>
              </w:rPr>
              <w:t>)</w:t>
            </w:r>
          </w:p>
        </w:tc>
        <w:tc>
          <w:tcPr>
            <w:tcW w:w="1474" w:type="dxa"/>
          </w:tcPr>
          <w:p w:rsidR="00000000" w:rsidRDefault="00000000">
            <w:pPr>
              <w:spacing w:before="60" w:after="0" w:line="240" w:lineRule="auto"/>
              <w:jc w:val="center"/>
              <w:rPr>
                <w:rFonts w:ascii="Arial" w:hAnsi="Arial"/>
                <w:sz w:val="16"/>
              </w:rPr>
            </w:pPr>
            <w:r>
              <w:rPr>
                <w:rFonts w:ascii="Arial" w:hAnsi="Arial"/>
                <w:sz w:val="16"/>
              </w:rPr>
              <w:t>1996 год (</w:t>
            </w:r>
            <w:r>
              <w:rPr>
                <w:rFonts w:ascii="Arial" w:hAnsi="Arial"/>
                <w:sz w:val="16"/>
                <w:lang w:val="en-US"/>
              </w:rPr>
              <w:t>$</w:t>
            </w:r>
            <w:r>
              <w:rPr>
                <w:rFonts w:ascii="Arial" w:hAnsi="Arial"/>
                <w:sz w:val="16"/>
              </w:rPr>
              <w:t>)</w:t>
            </w:r>
          </w:p>
        </w:tc>
        <w:tc>
          <w:tcPr>
            <w:tcW w:w="1474" w:type="dxa"/>
          </w:tcPr>
          <w:p w:rsidR="00000000" w:rsidRDefault="00000000">
            <w:pPr>
              <w:spacing w:before="60" w:after="0" w:line="240" w:lineRule="auto"/>
              <w:jc w:val="center"/>
              <w:rPr>
                <w:rFonts w:ascii="Arial" w:hAnsi="Arial"/>
                <w:sz w:val="16"/>
              </w:rPr>
            </w:pPr>
            <w:r>
              <w:rPr>
                <w:rFonts w:ascii="Arial" w:hAnsi="Arial"/>
                <w:sz w:val="16"/>
              </w:rPr>
              <w:t>1997 год (</w:t>
            </w:r>
            <w:r>
              <w:rPr>
                <w:rFonts w:ascii="Arial" w:hAnsi="Arial"/>
                <w:sz w:val="16"/>
                <w:lang w:val="en-US"/>
              </w:rPr>
              <w:t>$</w:t>
            </w:r>
            <w:r>
              <w:rPr>
                <w:rFonts w:ascii="Arial" w:hAnsi="Arial"/>
                <w:sz w:val="16"/>
              </w:rPr>
              <w:t>)</w:t>
            </w:r>
          </w:p>
        </w:tc>
        <w:tc>
          <w:tcPr>
            <w:tcW w:w="1474" w:type="dxa"/>
          </w:tcPr>
          <w:p w:rsidR="00000000" w:rsidRDefault="00000000">
            <w:pPr>
              <w:spacing w:before="60" w:after="0" w:line="240" w:lineRule="auto"/>
              <w:jc w:val="center"/>
              <w:rPr>
                <w:rFonts w:ascii="Arial" w:hAnsi="Arial"/>
                <w:sz w:val="16"/>
              </w:rPr>
            </w:pPr>
            <w:r>
              <w:rPr>
                <w:rFonts w:ascii="Arial" w:hAnsi="Arial"/>
                <w:sz w:val="16"/>
              </w:rPr>
              <w:t>1998 год* (</w:t>
            </w:r>
            <w:r>
              <w:rPr>
                <w:rFonts w:ascii="Arial" w:hAnsi="Arial"/>
                <w:sz w:val="16"/>
                <w:lang w:val="en-US"/>
              </w:rPr>
              <w:t>$</w:t>
            </w:r>
            <w:r>
              <w:rPr>
                <w:rFonts w:ascii="Arial" w:hAnsi="Arial"/>
                <w:sz w:val="16"/>
              </w:rPr>
              <w:t>)</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Образования</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1 127 957 927</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1 123 639 097</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1 192 775 316</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1 685 567 800</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Иностранных дел</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110 058 178</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106 612 610</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111 020 488</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119 594 700</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Здравоохранения</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673 847 649</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641 712 067</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663 218 305</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806 466 000</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Социального развития**</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436 792 918</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426 403 252</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По делам спорта и молодежи</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31 209 000</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46 853 245</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41 529 807</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Социального и общинного  развития**</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479 655 471</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600 434 835</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Общинного развития</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85 939 850</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70 436 551</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Культуры/по вопросам женщин**</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r>
      <w:tr w:rsidR="00000000">
        <w:tblPrEx>
          <w:tblCellMar>
            <w:top w:w="0" w:type="dxa"/>
            <w:bottom w:w="0" w:type="dxa"/>
          </w:tblCellMar>
        </w:tblPrEx>
        <w:tc>
          <w:tcPr>
            <w:tcW w:w="3402" w:type="dxa"/>
          </w:tcPr>
          <w:p w:rsidR="00000000" w:rsidRDefault="00000000">
            <w:pPr>
              <w:spacing w:before="60" w:after="0" w:line="240" w:lineRule="auto"/>
              <w:rPr>
                <w:rFonts w:ascii="Arial" w:hAnsi="Arial"/>
                <w:sz w:val="16"/>
              </w:rPr>
            </w:pPr>
            <w:r>
              <w:rPr>
                <w:rFonts w:ascii="Arial" w:hAnsi="Arial"/>
                <w:sz w:val="16"/>
              </w:rPr>
              <w:t>Культуры/гендерных проблем**</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61 802 186</w:t>
            </w:r>
          </w:p>
        </w:tc>
        <w:tc>
          <w:tcPr>
            <w:tcW w:w="1474" w:type="dxa"/>
          </w:tcPr>
          <w:p w:rsidR="00000000" w:rsidRDefault="00000000">
            <w:pPr>
              <w:tabs>
                <w:tab w:val="clear" w:pos="340"/>
                <w:tab w:val="clear" w:pos="680"/>
              </w:tabs>
              <w:spacing w:before="60" w:after="0" w:line="240" w:lineRule="auto"/>
              <w:ind w:right="227"/>
              <w:jc w:val="right"/>
              <w:rPr>
                <w:rFonts w:ascii="Arial" w:hAnsi="Arial"/>
                <w:sz w:val="16"/>
              </w:rPr>
            </w:pPr>
            <w:r>
              <w:rPr>
                <w:rFonts w:ascii="Arial" w:hAnsi="Arial"/>
                <w:sz w:val="16"/>
              </w:rPr>
              <w:t>79 010 700</w:t>
            </w:r>
          </w:p>
        </w:tc>
      </w:tr>
    </w:tbl>
    <w:p w:rsidR="00000000" w:rsidRDefault="00000000">
      <w:pPr>
        <w:spacing w:after="0" w:line="240" w:lineRule="auto"/>
        <w:ind w:left="680" w:hanging="680"/>
        <w:rPr>
          <w:sz w:val="16"/>
        </w:rPr>
      </w:pPr>
      <w:r>
        <w:rPr>
          <w:sz w:val="16"/>
          <w:lang w:val="en-US"/>
        </w:rPr>
        <w:tab/>
      </w:r>
      <w:r>
        <w:rPr>
          <w:sz w:val="16"/>
        </w:rPr>
        <w:t>*</w:t>
      </w:r>
      <w:r>
        <w:rPr>
          <w:sz w:val="16"/>
        </w:rPr>
        <w:tab/>
        <w:t>Предварительная оценка.</w:t>
      </w:r>
    </w:p>
    <w:p w:rsidR="00000000" w:rsidRDefault="00000000">
      <w:pPr>
        <w:spacing w:after="0" w:line="240" w:lineRule="auto"/>
        <w:ind w:left="680" w:hanging="680"/>
        <w:rPr>
          <w:sz w:val="16"/>
        </w:rPr>
      </w:pPr>
      <w:r>
        <w:rPr>
          <w:sz w:val="16"/>
          <w:lang w:val="en-US"/>
        </w:rPr>
        <w:tab/>
      </w:r>
      <w:r>
        <w:rPr>
          <w:sz w:val="16"/>
        </w:rPr>
        <w:t>**</w:t>
      </w:r>
      <w:r>
        <w:rPr>
          <w:sz w:val="16"/>
        </w:rPr>
        <w:tab/>
        <w:t>Примечание: расходы в 1995 и 1996 годах по пункту 41 включают Министерство общинного развития, культуры и по вопросам женщин;</w:t>
      </w:r>
    </w:p>
    <w:p w:rsidR="00000000" w:rsidRDefault="00000000">
      <w:pPr>
        <w:spacing w:after="0" w:line="240" w:lineRule="auto"/>
        <w:ind w:left="680" w:hanging="680"/>
        <w:rPr>
          <w:sz w:val="16"/>
        </w:rPr>
      </w:pPr>
      <w:r>
        <w:rPr>
          <w:sz w:val="16"/>
        </w:rPr>
        <w:tab/>
        <w:t>расходы в 1997 и 1998 годах по пункту 41 включают Министерство культуры и гендерных проблем;</w:t>
      </w:r>
    </w:p>
    <w:p w:rsidR="00000000" w:rsidRDefault="00000000">
      <w:pPr>
        <w:spacing w:after="0" w:line="240" w:lineRule="auto"/>
        <w:ind w:left="680" w:hanging="680"/>
        <w:rPr>
          <w:sz w:val="16"/>
        </w:rPr>
      </w:pPr>
      <w:r>
        <w:rPr>
          <w:sz w:val="16"/>
        </w:rPr>
        <w:tab/>
        <w:t>расходы в 1995 и 1998 годах по пункту 45 включают Министерство социального развития;</w:t>
      </w:r>
    </w:p>
    <w:p w:rsidR="00000000" w:rsidRDefault="00000000">
      <w:pPr>
        <w:spacing w:line="240" w:lineRule="auto"/>
        <w:ind w:left="680" w:hanging="680"/>
        <w:rPr>
          <w:sz w:val="16"/>
        </w:rPr>
      </w:pPr>
      <w:r>
        <w:rPr>
          <w:sz w:val="16"/>
        </w:rPr>
        <w:tab/>
        <w:t>расходы в 1997 и 1998 годах по пункту 45 включают Министерство социального и общинного развития.</w:t>
      </w:r>
    </w:p>
    <w:p w:rsidR="00000000" w:rsidRDefault="00000000">
      <w:r>
        <w:t>153.</w:t>
      </w:r>
      <w:r>
        <w:tab/>
        <w:t>Бюджет (повторяющиеся расходы) Отдела гендерных проблем Министерства культуры и гендерных проблем (который пополняется за счет субсидий и финансовой поддержки, поступающих от местных и международных организаций на специальные проекты, предназначенные для женщин и решения задач развития) составлял 1 234 500 долл. ТТ, или 0,0089 процента годового бюджета страны, который равнялся 13 721 290 576 долл. ТТ в 1998/99 финансовом году, что представляет собой увеличение по сравнению с бюджетом 1996 года, равное 1 043 900 долл. ТТ. Бюджет Отдела гендерных проблем на 1999/2000 финансовый год значительно увеличился за счет денежных средств, специально выделенных на согласованные с Кабинетом министров проекты, осуществляемые Отделом. В текущем финансовом году бюджет Отдела составил 4</w:t>
      </w:r>
      <w:r>
        <w:rPr>
          <w:lang w:val="en-US"/>
        </w:rPr>
        <w:t> </w:t>
      </w:r>
      <w:r>
        <w:t>276</w:t>
      </w:r>
      <w:r>
        <w:rPr>
          <w:lang w:val="en-US"/>
        </w:rPr>
        <w:t> </w:t>
      </w:r>
      <w:r>
        <w:t>000</w:t>
      </w:r>
      <w:r>
        <w:rPr>
          <w:lang w:val="en-US"/>
        </w:rPr>
        <w:t> </w:t>
      </w:r>
      <w:r>
        <w:t xml:space="preserve">долл. ТТ, что на 3 269 300 долл. ТТ больше бюджета за предыдущий год. </w:t>
      </w:r>
    </w:p>
    <w:p w:rsidR="00000000" w:rsidRDefault="00000000">
      <w:r>
        <w:t>154.</w:t>
      </w:r>
      <w:r>
        <w:tab/>
        <w:t>В дополнение к бюджетным ассигнованиям, выделяемым правительством Отделу, оно осуществляет специальное финансирование неправительственных организаций, которые содействуют экономическому развитию женщин путем предоставления субвенций. Эти организации также получают финансовую поддержку от корпораций и международных организаций. Кроме того, правительство производит выплаты финансовым учреждениям на реализацию специальных проектов, цель которых – оказание помощи работающим женщинам с низкими доходами и женщинам, занимающимся микропредпринимательством.</w:t>
      </w:r>
    </w:p>
    <w:p w:rsidR="00000000" w:rsidRDefault="00000000">
      <w:r>
        <w:t>155.</w:t>
      </w:r>
      <w:r>
        <w:tab/>
        <w:t>Отдел гендерных проблем получил средства для укрепления своих институциональных возможностей в том, что касается планирования и руководства, контроля и оценки, оформления публикаций, подготовки кадров с учетом гендерного фактора и их умения ориентироваться в данном вопросе, управленческих и информационных систем. Эта инициатива возникла в результате заключения технического соглашения между Межамериканским банком развития и правительством Тринидада и Тобаго. В рамках данной инициативы проводится подготовка персонала и членов Межминистерского комитета.</w:t>
      </w:r>
    </w:p>
    <w:p w:rsidR="00000000" w:rsidRDefault="00000000">
      <w:r>
        <w:t>156.</w:t>
      </w:r>
      <w:r>
        <w:tab/>
        <w:t xml:space="preserve">В настоящее время в Тринидаде и Тобаго нет закона о сексуальном домогательстве. Однако Министерство культуры и гендерных проблем приступило к сведению воедино норм, подлежащих включению в законопроект о сексуальном домогательстве, а Отдел гендерных проблем совместно с различными неправительственными организациями и профсоюзами проводит семинары и занятия, призванные заострить внимание на проблеме сексуального домогательства и заставить население задуматься над ней. </w:t>
      </w:r>
    </w:p>
    <w:p w:rsidR="00000000" w:rsidRDefault="00000000">
      <w:r>
        <w:t>157.</w:t>
      </w:r>
      <w:r>
        <w:tab/>
        <w:t>Недавно Министерство труда и кооперативов разработало законопроект об основных условиях труда 2000 года. Скоро он должен быть представлен в парламент. С принятием этого законопроекта будет запрещено сексуальное домогательство со стороны работодателей, лиц, облеченных властью, и сослуживцев. Статьей 44 (1) законопроекта предусматривается следующее:</w:t>
      </w:r>
    </w:p>
    <w:p w:rsidR="00000000" w:rsidRDefault="00000000">
      <w:pPr>
        <w:ind w:left="680" w:right="680" w:hanging="680"/>
        <w:rPr>
          <w:i/>
        </w:rPr>
      </w:pPr>
      <w:r>
        <w:tab/>
      </w:r>
      <w:r>
        <w:rPr>
          <w:lang w:val="en-US"/>
        </w:rPr>
        <w:tab/>
      </w:r>
      <w:r>
        <w:rPr>
          <w:i/>
        </w:rPr>
        <w:t>Работодатель или сослуживец не может сексуально домогаться своего сослуживца в процессе работы или на любом рабочем месте.</w:t>
      </w:r>
    </w:p>
    <w:p w:rsidR="00000000" w:rsidRDefault="00000000">
      <w:pPr>
        <w:spacing w:after="120"/>
      </w:pPr>
      <w:r>
        <w:t>158.</w:t>
      </w:r>
      <w:r>
        <w:tab/>
        <w:t xml:space="preserve">Ряд граждан, представляющих корпорации, рассмотрели относящийся к данной проблеме вопрос и сочли, что любая форма сексуального домогательства служит основанием для увольнения. Суды Тринидада и Тобаго, несмотря на пробелы в законодательстве, также принимают к рассмотрению иски о сексуальном домогательстве. Дело </w:t>
      </w:r>
      <w:r>
        <w:rPr>
          <w:i/>
        </w:rPr>
        <w:t xml:space="preserve">Союза банковских служащих </w:t>
      </w:r>
      <w:r>
        <w:t xml:space="preserve">против </w:t>
      </w:r>
      <w:r>
        <w:rPr>
          <w:i/>
        </w:rPr>
        <w:t>Республиканского</w:t>
      </w:r>
      <w:r>
        <w:t xml:space="preserve"> </w:t>
      </w:r>
      <w:r>
        <w:rPr>
          <w:i/>
        </w:rPr>
        <w:t>банка с ограниченной ответственностью</w:t>
      </w:r>
      <w:r>
        <w:t xml:space="preserve"> Министерства финансов № 17 1995 года было возбуждено по иску, поданному в соответствии с главой 88:01 закона о трудовых отношениях в промышленности против работодателя за увольнение в грубой и деспотической форме. Вопрос о сексуальном домогательстве по данному делу был судом всесторонне рассмотрен, так как причиной увольнения стало поведение, квалифицированное как сексуальное домогательство, как это было установлено работодателем. Ввиду отсутствия соответствующего законодательства в качестве прецедента были использованы различные дела из судебной практики Канады. Дело касалось служащего (мужчины), который, как утверждалось, ухаживал за своей коллегой, домогаясь физической близости с ней. Он проработал в компании 25 лет, в течение которых против него ни разу не выдвигались обвинения в сексуальном домогательстве. Суд пришел к выводу, что, основываясь на этих фактах, он должен принять решение по двум вопросам:  </w:t>
      </w:r>
    </w:p>
    <w:p w:rsidR="00000000" w:rsidRDefault="00000000">
      <w:pPr>
        <w:spacing w:after="120"/>
        <w:ind w:left="680" w:hanging="680"/>
      </w:pPr>
      <w:r>
        <w:rPr>
          <w:lang w:val="en-US"/>
        </w:rPr>
        <w:tab/>
        <w:t>i)</w:t>
      </w:r>
      <w:r>
        <w:rPr>
          <w:lang w:val="en-US"/>
        </w:rPr>
        <w:tab/>
      </w:r>
      <w:r>
        <w:t>было ли поведение правонарушителя в такой степени сексуально оскорбительным, что оно может быть квалифицировано как сексуальное домогательство; и</w:t>
      </w:r>
    </w:p>
    <w:p w:rsidR="00000000" w:rsidRDefault="00000000">
      <w:pPr>
        <w:ind w:left="680" w:hanging="680"/>
      </w:pPr>
      <w:r>
        <w:rPr>
          <w:lang w:val="en-US"/>
        </w:rPr>
        <w:tab/>
        <w:t>ii)</w:t>
      </w:r>
      <w:r>
        <w:rPr>
          <w:lang w:val="en-US"/>
        </w:rPr>
        <w:tab/>
      </w:r>
      <w:r>
        <w:t>соответствует ли правонарушению наказание, если установлено, что поведение правонарушителя действительно расценивается как сексуальное домогательство?</w:t>
      </w:r>
    </w:p>
    <w:p w:rsidR="00000000" w:rsidRDefault="00000000">
      <w:r>
        <w:t>В своем решении от 25 марта 1996 года суд признал в отношении первого вопроса, что поведение нарушителя было сексуально оскорбительным и квалифицируется как сексуальное домогательство. В отношении второго вопроса суд решил, что правонарушитель "не был уволен в грубой и деспотической форме или в нарушение принципов юридически обоснованной практики трудовых отношений". По этой причине ходатайство профсоюза о восстановлении правонарушителя на работе было отклонено. Это дело создало правовой прецедент в судебной практике по вопросу о сексуальном домогательстве, и в своем решении суд признал следующее:</w:t>
      </w:r>
    </w:p>
    <w:p w:rsidR="00000000" w:rsidRDefault="00000000">
      <w:pPr>
        <w:ind w:left="680" w:right="680" w:hanging="680"/>
      </w:pPr>
      <w:r>
        <w:rPr>
          <w:i/>
          <w:lang w:val="en-US"/>
        </w:rPr>
        <w:tab/>
      </w:r>
      <w:r>
        <w:rPr>
          <w:i/>
          <w:lang w:val="en-US"/>
        </w:rPr>
        <w:tab/>
      </w:r>
      <w:r>
        <w:rPr>
          <w:i/>
        </w:rPr>
        <w:t>В юрисдикции некоторых стран, например Канады, действует закон, который объявляет дискриминацию по полу вне закона. Суды и трибуналы в таких юрисдикциях (приводим в качестве примера опять же Канаду) толкуют свои законы таким образом, чтобы сексуальное домогательство было приравнено по смыслу к дискриминации по признаку пола. К сожалению, в Тринидаде и Тобаго мы не имеем соответствующего закона. Поэтому работодатели в значительной степени вправе устанавливать приемлемые рамки для решения проблем, связанных с сексуальным домогательством на рабочем месте. Профсоюзы также имеют обязательства перед своими членами содействовать искоренению этих проблем. Остается надеяться, что, пока парламент не примет закон, стороны должны изыскать возможность для сотрудничества в выработке соответствующей политики по этому вопросу</w:t>
      </w:r>
      <w:r>
        <w:t>.</w:t>
      </w:r>
    </w:p>
    <w:p w:rsidR="00000000" w:rsidRDefault="00000000">
      <w:r>
        <w:t>159.</w:t>
      </w:r>
      <w:r>
        <w:tab/>
        <w:t xml:space="preserve">Поскольку внутреннее законодательство прямо не запрещает сексуальное домогательство, невозможно провести сравнение статистических данных о его распространении. Однако Общество по проблемам кризиса, связанного с изнасилованием, сообщило, что в 1994 году оно провело консультации по двум таким случаям. Но с тех пор на их рассмотрение не поступало ни одного аналогичного дела. </w:t>
      </w:r>
    </w:p>
    <w:p w:rsidR="00000000" w:rsidRDefault="00000000">
      <w:r>
        <w:t>160.</w:t>
      </w:r>
      <w:r>
        <w:tab/>
        <w:t>Ответственность за воспитание ребенка в равной степени несут оба родителя. Это предусматривается пунктом 4 (1) закона о семье (опека несовершеннолетних, постоянное местожительство и содержание), глава</w:t>
      </w:r>
      <w:r>
        <w:rPr>
          <w:lang w:val="en-US"/>
        </w:rPr>
        <w:t> </w:t>
      </w:r>
      <w:r>
        <w:t>46:08:</w:t>
      </w:r>
    </w:p>
    <w:p w:rsidR="00000000" w:rsidRDefault="00000000">
      <w:pPr>
        <w:ind w:left="680" w:right="680" w:hanging="680"/>
        <w:rPr>
          <w:i/>
        </w:rPr>
      </w:pPr>
      <w:r>
        <w:rPr>
          <w:i/>
        </w:rPr>
        <w:tab/>
      </w:r>
      <w:r>
        <w:rPr>
          <w:i/>
          <w:lang w:val="en-US"/>
        </w:rPr>
        <w:tab/>
      </w:r>
      <w:r>
        <w:rPr>
          <w:i/>
        </w:rPr>
        <w:t>4.</w:t>
      </w:r>
      <w:r>
        <w:rPr>
          <w:i/>
          <w:lang w:val="en-US"/>
        </w:rPr>
        <w:t xml:space="preserve"> </w:t>
      </w:r>
      <w:r>
        <w:rPr>
          <w:i/>
        </w:rPr>
        <w:t>(1) Что касается опеки или воспитания несовершеннолетнего, а также управления любой собственностью, которая принадлежит несовершеннолетнему или которой распоряжаются на началах доверительной собственности в его интересах, или использования дохода от любой такой собственности, то мать имеет такие же права и полномочия, которыми закон наделяет отца, и права и полномочия матери и отца равны и могут быть осуществлены каждым из них без участия другого</w:t>
      </w:r>
      <w:r>
        <w:t>.</w:t>
      </w:r>
      <w:r>
        <w:rPr>
          <w:i/>
        </w:rPr>
        <w:t xml:space="preserve"> </w:t>
      </w:r>
    </w:p>
    <w:p w:rsidR="00000000" w:rsidRDefault="00000000">
      <w:r>
        <w:t>161.</w:t>
      </w:r>
      <w:r>
        <w:tab/>
        <w:t xml:space="preserve">Отсутствует достаточная информация, которая могла бы подтвердить или опровергнуть мнение о том, что между родителями в семьях, живущих в сельской местности, существует традиционное разделение обязанностей по воспитанию детей. Однако в 1995–1996 годах студентами университета было проведено экспериментальное исследование (на основании курса "Гендерные вопросы в области сельского хозяйства", который читается на факультете сельского хозяйства Вест-Индского университета, Сент-Огастин), призванное, в частности, дать представление о разделении труда (по всему сектору) между мужчинами и женщинами среди выбранных с этой целью овощеводов и животноводов на Тринидаде. Результаты этого исследования показали, что обязанности по ведению домашнего хозяйства и воспитанию детей в семье лежат главным образом на женщине. </w:t>
      </w:r>
    </w:p>
    <w:p w:rsidR="00000000" w:rsidRDefault="00000000">
      <w:r>
        <w:t>162.</w:t>
      </w:r>
      <w:r>
        <w:tab/>
        <w:t>В соответствии с предлагаемым законопроектом об основных условиях труда 2000</w:t>
      </w:r>
      <w:r>
        <w:rPr>
          <w:lang w:val="en-US"/>
        </w:rPr>
        <w:t> </w:t>
      </w:r>
      <w:r>
        <w:t xml:space="preserve">года предусматривается "отпуск по семейным обстоятельствам". Законопроект требует предоставления оплачиваемого отпуска на определенный срок для служащих после рождения ребенка, в случае болезни ребенка работника и в случае смерти члена семьи работника. </w:t>
      </w:r>
    </w:p>
    <w:p w:rsidR="00000000" w:rsidRDefault="00000000">
      <w:r>
        <w:t>163.</w:t>
      </w:r>
      <w:r>
        <w:tab/>
        <w:t xml:space="preserve">В Тринидаде и Тобаго женщины, занятые в средствах массовой информации, работают преимущественно на нижнем уровне этой сферы деятельности – в качестве репортеров, журналистов, фотографов и ведущих. Должности на уровне руководства и принятия решений заняты главным образом мужчинами. К настоящему моменту на три крупные ежедневные газеты приходятся всего лишь одна женщина, занимающая должность главного исполнительного директора, и одна женщина, возглавляющая отдел новостей. </w:t>
      </w:r>
    </w:p>
    <w:p w:rsidR="00000000" w:rsidRDefault="00000000">
      <w:r>
        <w:t>164.</w:t>
      </w:r>
      <w:r>
        <w:tab/>
        <w:t xml:space="preserve">Отделом гендерных проблем Министерства культуры и гендерных проблем организуется учебный семинар по гендерным вопросам для представителей средств массовой информации. Значительную помощь в подготовке этих семинаров оказал опытный консультант, специализирующийся на изучении проблем Карибского региона. Кроме того, ряд неправительственных организаций, выступающих за развитие женщин, обязался содействовать более широкому представительству женщин в средствах массовой информации и приданию сообщениям, которые доводятся до сведения публики, гендерной направленности. Одной из таких неправительственных организаций является Сеть НПО. </w:t>
      </w:r>
    </w:p>
    <w:p w:rsidR="00000000" w:rsidRDefault="00000000">
      <w:r>
        <w:t>165.</w:t>
      </w:r>
      <w:r>
        <w:tab/>
        <w:t>В последние годы средства массовой информации в целом стали значительно шире практиковать выпуск программ, призванных повышать осведомленность общества по вопросу о гендерном равенстве. Примечательно, что деятельность средств массовой информации привязывается к празднованию Международного женского дня в марте и Международного дня за прекращение насилия в отношении женщин в ноябре. Кроме того, в 1997 году по радио и телевидению всесторонне обсуждалась тема "Семейное партнерство".</w:t>
      </w:r>
    </w:p>
    <w:p w:rsidR="00000000" w:rsidRDefault="00000000">
      <w:r>
        <w:t>166.</w:t>
      </w:r>
      <w:r>
        <w:tab/>
        <w:t xml:space="preserve">Информационный центр Организации Объединенных Наций в сотрудничестве с Министерством культуры и гендерных проблем и различными неправительственными организациями отметил празднование Международного женского дня 8 марта 2000 года проведением ряда мероприятий. Некоторые из них включали подготовку газетных статей, радио- и телеинтервью, региональных телевизионных передач, передач общественного вещания по радио и телевидению, а также трансляцию всех карнавальных представлений и сообщений, специально подготовленных для различных групп населения, включая детей, мужчин, инвалидов и женщин. Кульминационным моментом празднования стало уличное шествие, в котором приняли участие от 1500 до 2000 женщин, мужчин и детей. </w:t>
      </w:r>
    </w:p>
    <w:p w:rsidR="00000000" w:rsidRDefault="00000000">
      <w:r>
        <w:t>167.</w:t>
      </w:r>
      <w:r>
        <w:tab/>
        <w:t>Информационный отдел канцелярии премьер-министра подготовил и выпустил в эфир несколько телепередач и радиопрограмм, призванных разъяснять и акцентировать внимание на общих принципах Конвенции. Особое внимание уделялось, в частности, таким проблемам, как женщины и занятость, женщины и СПИД, насилие в семье, а также женщины и старение. Отдел в сотрудничестве со средствами массовой информации передавал также информацию для женщин по вопросам здоровья, обеспеченности жильем и образования. Кроме того, Отдел регулярно передает обращения Генерального секретаря Организации Объединенных Наций и руководителей других учреждений системы Организации Объединенных Наций, а также программы, важное место в которых занимают интервью женщин с ответственными работниками Министерства культуры и гендерных проблем, посвященные правам человека. Эти меры были приняты в целях преодоления и искоренения традиционных установок, которые могут способствовать дискриминации в отношении женщин.</w:t>
      </w:r>
    </w:p>
    <w:p w:rsidR="00000000" w:rsidRDefault="00000000">
      <w:r>
        <w:t>168.</w:t>
      </w:r>
      <w:r>
        <w:tab/>
        <w:t xml:space="preserve">Что касается международного сотрудничества в области представления, обмена и распространения информации и материалов общественной и культурной значимости, способствующих развитию женщин и более эффективному соблюдению их прав человека, то Отдел информации публиковал и распространял сведения о международных соглашениях, государством-участником которых является Тринидад и Тобаго, используя возможности государственного телевидения и радиоканалов, а также подготавливая пресс-релизы, которые рассылаются по местным информационным компаниям для их публикации. </w:t>
      </w:r>
    </w:p>
    <w:p w:rsidR="00000000" w:rsidRDefault="00000000">
      <w:r>
        <w:t>169.</w:t>
      </w:r>
      <w:r>
        <w:tab/>
        <w:t>Государство также предоставило в распоряжение Отдела информации все необходимые ресурсы в целях содействия инициативам, предпринимаемым средствами массовой информации для распространения сообщений и материалов, направленных на защиту женщин от информации, которая подстрекает к насилию, разжиганию ненависти, дискриминации, или от информации, которая может побудить женщин или девочек к занятию незаконной или умаляющей их достоинство и права сексуальной деятельностью.</w:t>
      </w:r>
    </w:p>
    <w:p w:rsidR="00000000" w:rsidRDefault="00000000">
      <w:r>
        <w:t>170.</w:t>
      </w:r>
      <w:r>
        <w:tab/>
        <w:t xml:space="preserve">Несмотря на отсутствие действующего законодательства, которое регулировало бы поведение профессионалов, включая журналистов, редакторов и актеров, обеспечивая, чтобы они следовали основополагающим ценностям Конвенции при представлении, обмене и распространении информации среди широкой публики, в стране стало правилом, что поведение этих профессионалов отражает основные ценности Конвенции. </w:t>
      </w:r>
    </w:p>
    <w:p w:rsidR="00000000" w:rsidRDefault="00000000">
      <w:pPr>
        <w:pStyle w:val="Heading3"/>
      </w:pPr>
      <w:r>
        <w:t>Статья 6</w:t>
      </w:r>
    </w:p>
    <w:p w:rsidR="00000000" w:rsidRDefault="00000000">
      <w:r>
        <w:t>171.</w:t>
      </w:r>
      <w:r>
        <w:tab/>
        <w:t>Хотя занятие проституцией в Тринидаде и Тобаго не рассматривается в качестве преступления по закону, жизнь на доходы от проституции – преступление, преследуемое в соответствии с законом о половых преступлениях № 27 1986 года. Этот закон касается половых преступлений, сводничества, похищения и вовлечения в проституцию лиц, а также родственных преступлений. Статьями 23 и 24 предусматривается следующее:</w:t>
      </w:r>
    </w:p>
    <w:p w:rsidR="00000000" w:rsidRDefault="00000000">
      <w:pPr>
        <w:tabs>
          <w:tab w:val="clear" w:pos="340"/>
        </w:tabs>
        <w:rPr>
          <w:i/>
        </w:rPr>
      </w:pPr>
      <w:r>
        <w:rPr>
          <w:i/>
        </w:rPr>
        <w:tab/>
        <w:t>23. 1) Лицо, которое</w:t>
      </w:r>
    </w:p>
    <w:p w:rsidR="00000000" w:rsidRDefault="00000000">
      <w:pPr>
        <w:tabs>
          <w:tab w:val="clear" w:pos="340"/>
          <w:tab w:val="clear" w:pos="680"/>
          <w:tab w:val="left" w:pos="1361"/>
          <w:tab w:val="left" w:pos="1701"/>
        </w:tabs>
        <w:spacing w:after="0"/>
        <w:ind w:right="680"/>
        <w:rPr>
          <w:i/>
        </w:rPr>
      </w:pPr>
      <w:r>
        <w:rPr>
          <w:i/>
        </w:rPr>
        <w:tab/>
        <w:t>а)</w:t>
      </w:r>
      <w:r>
        <w:rPr>
          <w:i/>
        </w:rPr>
        <w:tab/>
        <w:t>сознательно живет исключительно или частично на доходы от проституции; или</w:t>
      </w:r>
    </w:p>
    <w:p w:rsidR="00000000" w:rsidRDefault="00000000">
      <w:pPr>
        <w:tabs>
          <w:tab w:val="clear" w:pos="340"/>
          <w:tab w:val="clear" w:pos="680"/>
          <w:tab w:val="left" w:pos="1361"/>
          <w:tab w:val="left" w:pos="1701"/>
        </w:tabs>
        <w:ind w:right="680"/>
      </w:pPr>
      <w:r>
        <w:rPr>
          <w:i/>
        </w:rPr>
        <w:tab/>
      </w:r>
      <w:r>
        <w:rPr>
          <w:i/>
          <w:lang w:val="en-US"/>
        </w:rPr>
        <w:t>b</w:t>
      </w:r>
      <w:r>
        <w:rPr>
          <w:i/>
        </w:rPr>
        <w:t>)</w:t>
      </w:r>
      <w:r>
        <w:rPr>
          <w:i/>
        </w:rPr>
        <w:tab/>
        <w:t>в любом месте занимается подстрекательством в аморальных целях,</w:t>
      </w:r>
    </w:p>
    <w:p w:rsidR="00000000" w:rsidRDefault="00000000">
      <w:pPr>
        <w:tabs>
          <w:tab w:val="clear" w:pos="340"/>
        </w:tabs>
        <w:ind w:left="680" w:right="680" w:hanging="680"/>
        <w:rPr>
          <w:i/>
        </w:rPr>
      </w:pPr>
      <w:r>
        <w:tab/>
      </w:r>
      <w:r>
        <w:rPr>
          <w:i/>
        </w:rPr>
        <w:t>виновно в совершении преступления и подлежит наказанию по приговору суда к тюремному заключению сроком на пять лет.</w:t>
      </w:r>
    </w:p>
    <w:p w:rsidR="00000000" w:rsidRDefault="00000000">
      <w:pPr>
        <w:tabs>
          <w:tab w:val="clear" w:pos="340"/>
          <w:tab w:val="left" w:pos="851"/>
        </w:tabs>
        <w:ind w:left="680" w:right="680" w:hanging="680"/>
        <w:rPr>
          <w:i/>
        </w:rPr>
      </w:pPr>
      <w:r>
        <w:rPr>
          <w:i/>
        </w:rPr>
        <w:tab/>
      </w:r>
      <w:r>
        <w:rPr>
          <w:i/>
          <w:lang w:val="en-US"/>
        </w:rPr>
        <w:tab/>
      </w:r>
      <w:r>
        <w:rPr>
          <w:i/>
        </w:rPr>
        <w:t>2)</w:t>
      </w:r>
      <w:r>
        <w:rPr>
          <w:i/>
          <w:lang w:val="en-US"/>
        </w:rPr>
        <w:t xml:space="preserve"> </w:t>
      </w:r>
      <w:r>
        <w:rPr>
          <w:i/>
        </w:rPr>
        <w:t xml:space="preserve">Если любой магистрат или судья выясняет из жалобы, поданной под присягой, что есть основание подозревать, что какое-то помещение используется для целей проституции и что любое лицо, проживающее в нем или посещающее его, живет исключительно или частично на доходы от проституции, то этот магистрат или судья может выдать ордер, разрешающий любому констеблю войти (если необходимо, то с применением силы) и провести обыск помещения и арестовать данное лицо. </w:t>
      </w:r>
    </w:p>
    <w:p w:rsidR="00000000" w:rsidRDefault="00000000">
      <w:pPr>
        <w:tabs>
          <w:tab w:val="clear" w:pos="340"/>
          <w:tab w:val="left" w:pos="851"/>
        </w:tabs>
        <w:ind w:left="680" w:right="680" w:hanging="680"/>
        <w:rPr>
          <w:i/>
        </w:rPr>
      </w:pPr>
      <w:r>
        <w:rPr>
          <w:i/>
        </w:rPr>
        <w:tab/>
      </w:r>
      <w:r>
        <w:rPr>
          <w:i/>
          <w:lang w:val="en-US"/>
        </w:rPr>
        <w:tab/>
      </w:r>
      <w:r>
        <w:rPr>
          <w:i/>
        </w:rPr>
        <w:t>3)</w:t>
      </w:r>
      <w:r>
        <w:rPr>
          <w:i/>
          <w:lang w:val="en-US"/>
        </w:rPr>
        <w:t xml:space="preserve"> </w:t>
      </w:r>
      <w:r>
        <w:rPr>
          <w:i/>
        </w:rPr>
        <w:t>В тех случаях, когда доказано, что какое-либо лицо живет с проституткой или что его обычно видят в ее обществе, либо доказано, что оно контролирует, руководит или направляет действия проститутки таким образом, что это свидетельствует о том, что данное лицо содействует, подстрекает или принуждает к занятию проституцией с любым другим лицом или вообще занимается проституцией, то надлежит считать, что данное лицо сознательно живет на доходы от проституции, если только им не будет доказано обратное.</w:t>
      </w:r>
    </w:p>
    <w:p w:rsidR="00000000" w:rsidRDefault="00000000">
      <w:pPr>
        <w:tabs>
          <w:tab w:val="clear" w:pos="340"/>
        </w:tabs>
        <w:ind w:left="680" w:right="680" w:hanging="680"/>
        <w:rPr>
          <w:i/>
        </w:rPr>
      </w:pPr>
      <w:r>
        <w:rPr>
          <w:i/>
        </w:rPr>
        <w:tab/>
        <w:t>24. Лицо, которое в целях наживы контролирует, руководит и направляет действия проститутки таким образом, что это свидетельствует о том, что данное лицо содействует, подстрекает или принуждает к занятию проституцией, виновно в совершении преступления и подлежит наказанию по приговору суда к тюремному заключению сроком на пять лет.</w:t>
      </w:r>
    </w:p>
    <w:p w:rsidR="00000000" w:rsidRDefault="00000000">
      <w:r>
        <w:t>172.</w:t>
      </w:r>
      <w:r>
        <w:tab/>
        <w:t xml:space="preserve">В соответствии со статьей 2 закона о половых преступлениях № 27 1986 года проституция определяется как "предложение тела лица любого пола в целях возбуждения или удовлетворения полового влечения другого лица в обмен на плату". </w:t>
      </w:r>
    </w:p>
    <w:p w:rsidR="00000000" w:rsidRDefault="00000000">
      <w:r>
        <w:t>173.</w:t>
      </w:r>
      <w:r>
        <w:tab/>
        <w:t>Несмотря на отсутствие закона, который бы специально объявлял незаконной эксплуатацию проституток, закон о половых преступлениях № 27 1986 года (с поправками, внесенными законом №</w:t>
      </w:r>
      <w:r>
        <w:rPr>
          <w:lang w:val="en-US"/>
        </w:rPr>
        <w:t> </w:t>
      </w:r>
      <w:r>
        <w:t>31 2000</w:t>
      </w:r>
      <w:r>
        <w:rPr>
          <w:lang w:val="en-US"/>
        </w:rPr>
        <w:t> </w:t>
      </w:r>
      <w:r>
        <w:t>года) содержит положения, которые запрещают сексуальную эксплуатацию как мужчин, так и женщин. В законе не делается различий в отношении того, является ли то или иное лицо проституткой или нет. Ниже приводятся соответствующие положения:</w:t>
      </w:r>
    </w:p>
    <w:p w:rsidR="00000000" w:rsidRDefault="00000000">
      <w:pPr>
        <w:tabs>
          <w:tab w:val="clear" w:pos="340"/>
          <w:tab w:val="left" w:pos="1021"/>
          <w:tab w:val="left" w:pos="1361"/>
          <w:tab w:val="left" w:pos="1701"/>
        </w:tabs>
        <w:ind w:left="680" w:right="680" w:hanging="680"/>
        <w:rPr>
          <w:i/>
        </w:rPr>
      </w:pPr>
      <w:r>
        <w:rPr>
          <w:i/>
        </w:rPr>
        <w:tab/>
        <w:t>4. 1) Согласно подпункту 2) лицо ("обвиняемый") совершает преступление, квалифицируемое как изнасилование, когда оно вступает в половые сношения с другим лицом ("потерпевшим")</w:t>
      </w:r>
    </w:p>
    <w:p w:rsidR="00000000" w:rsidRDefault="00000000">
      <w:pPr>
        <w:tabs>
          <w:tab w:val="clear" w:pos="340"/>
          <w:tab w:val="left" w:pos="1021"/>
          <w:tab w:val="left" w:pos="1361"/>
          <w:tab w:val="left" w:pos="1701"/>
        </w:tabs>
        <w:spacing w:after="0"/>
        <w:ind w:left="1361" w:right="680" w:hanging="1361"/>
        <w:rPr>
          <w:i/>
        </w:rPr>
      </w:pPr>
      <w:r>
        <w:rPr>
          <w:i/>
        </w:rPr>
        <w:tab/>
      </w:r>
      <w:r>
        <w:rPr>
          <w:i/>
        </w:rPr>
        <w:tab/>
        <w:t>а)</w:t>
      </w:r>
      <w:r>
        <w:rPr>
          <w:i/>
        </w:rPr>
        <w:tab/>
        <w:t>без согласия потерпевшего, когда оно знает, что потерпевший не согласен на такие сношения, или когда оно не обращает внимания на то, согласен потерпевший или нет; или</w:t>
      </w:r>
    </w:p>
    <w:p w:rsidR="00000000" w:rsidRDefault="00000000">
      <w:pPr>
        <w:tabs>
          <w:tab w:val="clear" w:pos="340"/>
          <w:tab w:val="left" w:pos="1021"/>
          <w:tab w:val="left" w:pos="1361"/>
          <w:tab w:val="left" w:pos="1701"/>
        </w:tabs>
        <w:spacing w:after="0"/>
        <w:ind w:right="680"/>
      </w:pPr>
      <w:r>
        <w:rPr>
          <w:i/>
        </w:rPr>
        <w:tab/>
      </w:r>
      <w:r>
        <w:rPr>
          <w:i/>
        </w:rPr>
        <w:tab/>
      </w:r>
      <w:r>
        <w:rPr>
          <w:i/>
          <w:lang w:val="en-US"/>
        </w:rPr>
        <w:t>b)</w:t>
      </w:r>
      <w:r>
        <w:rPr>
          <w:i/>
          <w:lang w:val="en-US"/>
        </w:rPr>
        <w:tab/>
      </w:r>
      <w:r>
        <w:rPr>
          <w:i/>
        </w:rPr>
        <w:t>с согласия потерпевшего, когда это согласие:</w:t>
      </w:r>
    </w:p>
    <w:p w:rsidR="00000000" w:rsidRDefault="00000000">
      <w:pPr>
        <w:tabs>
          <w:tab w:val="clear" w:pos="340"/>
          <w:tab w:val="left" w:pos="1021"/>
          <w:tab w:val="left" w:pos="1361"/>
          <w:tab w:val="left" w:pos="1928"/>
          <w:tab w:val="left" w:pos="2495"/>
        </w:tabs>
        <w:spacing w:after="0"/>
        <w:ind w:left="2495" w:right="680" w:hanging="2495"/>
        <w:rPr>
          <w:i/>
        </w:rPr>
      </w:pPr>
      <w:r>
        <w:rPr>
          <w:i/>
        </w:rPr>
        <w:tab/>
      </w:r>
      <w:r>
        <w:rPr>
          <w:i/>
        </w:rPr>
        <w:tab/>
      </w:r>
      <w:r>
        <w:rPr>
          <w:i/>
        </w:rPr>
        <w:tab/>
      </w:r>
      <w:r>
        <w:rPr>
          <w:i/>
          <w:lang w:val="en-US"/>
        </w:rPr>
        <w:tab/>
        <w:t>i</w:t>
      </w:r>
      <w:r>
        <w:rPr>
          <w:i/>
        </w:rPr>
        <w:t>)</w:t>
      </w:r>
      <w:r>
        <w:rPr>
          <w:i/>
        </w:rPr>
        <w:tab/>
        <w:t>получено путем принуждения под угрозой или под страхом причинения телесных повреждений пострадавшему или другому лицу;</w:t>
      </w:r>
    </w:p>
    <w:p w:rsidR="00000000" w:rsidRDefault="00000000">
      <w:pPr>
        <w:tabs>
          <w:tab w:val="clear" w:pos="340"/>
          <w:tab w:val="left" w:pos="1021"/>
          <w:tab w:val="left" w:pos="1361"/>
          <w:tab w:val="left" w:pos="1928"/>
          <w:tab w:val="left" w:pos="2495"/>
        </w:tabs>
        <w:spacing w:after="0"/>
        <w:ind w:left="2495" w:right="680" w:hanging="2495"/>
        <w:rPr>
          <w:i/>
        </w:rPr>
      </w:pPr>
      <w:r>
        <w:rPr>
          <w:i/>
        </w:rPr>
        <w:tab/>
      </w:r>
      <w:r>
        <w:rPr>
          <w:i/>
        </w:rPr>
        <w:tab/>
      </w:r>
      <w:r>
        <w:rPr>
          <w:i/>
          <w:lang w:val="en-US"/>
        </w:rPr>
        <w:tab/>
      </w:r>
      <w:r>
        <w:rPr>
          <w:i/>
        </w:rPr>
        <w:tab/>
      </w:r>
      <w:r>
        <w:rPr>
          <w:i/>
          <w:lang w:val="en-US"/>
        </w:rPr>
        <w:t>ii</w:t>
      </w:r>
      <w:r>
        <w:rPr>
          <w:i/>
        </w:rPr>
        <w:t>)</w:t>
      </w:r>
      <w:r>
        <w:rPr>
          <w:i/>
        </w:rPr>
        <w:tab/>
        <w:t>получено под видом другого лица;</w:t>
      </w:r>
    </w:p>
    <w:p w:rsidR="00000000" w:rsidRDefault="00000000">
      <w:pPr>
        <w:tabs>
          <w:tab w:val="clear" w:pos="340"/>
          <w:tab w:val="left" w:pos="1021"/>
          <w:tab w:val="left" w:pos="1361"/>
          <w:tab w:val="left" w:pos="1928"/>
          <w:tab w:val="left" w:pos="2495"/>
        </w:tabs>
        <w:spacing w:after="0"/>
        <w:ind w:left="2495" w:right="680" w:hanging="2495"/>
        <w:rPr>
          <w:i/>
        </w:rPr>
      </w:pPr>
      <w:r>
        <w:rPr>
          <w:i/>
        </w:rPr>
        <w:tab/>
      </w:r>
      <w:r>
        <w:rPr>
          <w:i/>
        </w:rPr>
        <w:tab/>
      </w:r>
      <w:r>
        <w:rPr>
          <w:i/>
        </w:rPr>
        <w:tab/>
      </w:r>
      <w:r>
        <w:rPr>
          <w:i/>
          <w:lang w:val="en-US"/>
        </w:rPr>
        <w:tab/>
        <w:t>iii</w:t>
      </w:r>
      <w:r>
        <w:rPr>
          <w:i/>
        </w:rPr>
        <w:t>)</w:t>
      </w:r>
      <w:r>
        <w:rPr>
          <w:i/>
        </w:rPr>
        <w:tab/>
        <w:t>получено путем умышленного введения в заблуждение или обмана относительно характера взаимоотношений; или</w:t>
      </w:r>
    </w:p>
    <w:p w:rsidR="00000000" w:rsidRDefault="00000000">
      <w:pPr>
        <w:tabs>
          <w:tab w:val="clear" w:pos="340"/>
          <w:tab w:val="left" w:pos="1021"/>
          <w:tab w:val="left" w:pos="1361"/>
          <w:tab w:val="left" w:pos="1928"/>
          <w:tab w:val="left" w:pos="2495"/>
        </w:tabs>
        <w:ind w:right="680"/>
      </w:pPr>
      <w:r>
        <w:rPr>
          <w:i/>
        </w:rPr>
        <w:tab/>
      </w:r>
      <w:r>
        <w:rPr>
          <w:i/>
        </w:rPr>
        <w:tab/>
      </w:r>
      <w:r>
        <w:rPr>
          <w:i/>
        </w:rPr>
        <w:tab/>
      </w:r>
      <w:r>
        <w:rPr>
          <w:i/>
          <w:lang w:val="en-US"/>
        </w:rPr>
        <w:tab/>
        <w:t>iv</w:t>
      </w:r>
      <w:r>
        <w:rPr>
          <w:i/>
        </w:rPr>
        <w:t>)</w:t>
      </w:r>
      <w:r>
        <w:rPr>
          <w:i/>
        </w:rPr>
        <w:tab/>
        <w:t>получено в результате незаконного удержания пострадавшего.</w:t>
      </w:r>
    </w:p>
    <w:p w:rsidR="00000000" w:rsidRDefault="00000000">
      <w:pPr>
        <w:tabs>
          <w:tab w:val="clear" w:pos="340"/>
          <w:tab w:val="left" w:pos="1021"/>
          <w:tab w:val="left" w:pos="1361"/>
          <w:tab w:val="left" w:pos="1701"/>
        </w:tabs>
        <w:ind w:left="680" w:right="680" w:hanging="680"/>
      </w:pPr>
      <w:r>
        <w:rPr>
          <w:i/>
        </w:rPr>
        <w:tab/>
        <w:t>2) Лицо, которое совершает преступление, квалифицируемое как изнасилование, подлежит наказанию по приговору суда в виде пожизненного заключения или на него может быть наложено</w:t>
      </w:r>
      <w:r>
        <w:t xml:space="preserve"> </w:t>
      </w:r>
      <w:r>
        <w:rPr>
          <w:i/>
        </w:rPr>
        <w:t>любое другое наказание в соответствии с законом, за исключением случаев, когда</w:t>
      </w:r>
    </w:p>
    <w:p w:rsidR="00000000" w:rsidRDefault="00000000">
      <w:pPr>
        <w:tabs>
          <w:tab w:val="clear" w:pos="340"/>
          <w:tab w:val="left" w:pos="1021"/>
          <w:tab w:val="left" w:pos="1361"/>
          <w:tab w:val="left" w:pos="1701"/>
        </w:tabs>
        <w:spacing w:after="0"/>
        <w:ind w:left="1361" w:right="680" w:hanging="1361"/>
        <w:rPr>
          <w:i/>
        </w:rPr>
      </w:pPr>
      <w:r>
        <w:rPr>
          <w:i/>
        </w:rPr>
        <w:tab/>
      </w:r>
      <w:r>
        <w:rPr>
          <w:i/>
        </w:rPr>
        <w:tab/>
        <w:t>а)</w:t>
      </w:r>
      <w:r>
        <w:rPr>
          <w:i/>
        </w:rPr>
        <w:tab/>
        <w:t>пострадавший не достиг 12-летнего возраста;</w:t>
      </w:r>
    </w:p>
    <w:p w:rsidR="00000000" w:rsidRDefault="00000000">
      <w:pPr>
        <w:tabs>
          <w:tab w:val="clear" w:pos="340"/>
          <w:tab w:val="left" w:pos="1021"/>
          <w:tab w:val="left" w:pos="1361"/>
          <w:tab w:val="left" w:pos="1701"/>
        </w:tabs>
        <w:spacing w:after="0"/>
        <w:ind w:left="1361" w:right="680" w:hanging="1361"/>
        <w:rPr>
          <w:i/>
        </w:rPr>
      </w:pPr>
      <w:r>
        <w:rPr>
          <w:i/>
        </w:rPr>
        <w:tab/>
      </w:r>
      <w:r>
        <w:rPr>
          <w:i/>
        </w:rPr>
        <w:tab/>
      </w:r>
      <w:r>
        <w:rPr>
          <w:i/>
          <w:lang w:val="en-US"/>
        </w:rPr>
        <w:t>b</w:t>
      </w:r>
      <w:r>
        <w:rPr>
          <w:i/>
        </w:rPr>
        <w:t>)</w:t>
      </w:r>
      <w:r>
        <w:rPr>
          <w:i/>
        </w:rPr>
        <w:tab/>
        <w:t>преступление совершается двумя или более лицами, действующими по сговору или при содействии либо в присутствии третьего лица;</w:t>
      </w:r>
    </w:p>
    <w:p w:rsidR="00000000" w:rsidRDefault="00000000">
      <w:pPr>
        <w:tabs>
          <w:tab w:val="clear" w:pos="340"/>
          <w:tab w:val="left" w:pos="1021"/>
          <w:tab w:val="left" w:pos="1361"/>
          <w:tab w:val="left" w:pos="1701"/>
        </w:tabs>
        <w:spacing w:after="0"/>
        <w:ind w:left="1361" w:right="680" w:hanging="1361"/>
        <w:rPr>
          <w:i/>
        </w:rPr>
      </w:pPr>
      <w:r>
        <w:rPr>
          <w:i/>
        </w:rPr>
        <w:tab/>
      </w:r>
      <w:r>
        <w:rPr>
          <w:i/>
        </w:rPr>
        <w:tab/>
        <w:t>с)</w:t>
      </w:r>
      <w:r>
        <w:rPr>
          <w:i/>
        </w:rPr>
        <w:tab/>
        <w:t>преступление совершается в особо отягощающих вину обстоятельствах;</w:t>
      </w:r>
    </w:p>
    <w:p w:rsidR="00000000" w:rsidRDefault="00000000">
      <w:pPr>
        <w:tabs>
          <w:tab w:val="clear" w:pos="340"/>
          <w:tab w:val="left" w:pos="1021"/>
          <w:tab w:val="left" w:pos="1361"/>
          <w:tab w:val="left" w:pos="1701"/>
        </w:tabs>
        <w:spacing w:after="0"/>
        <w:ind w:left="1361" w:right="680" w:hanging="1361"/>
        <w:rPr>
          <w:i/>
        </w:rPr>
      </w:pPr>
      <w:r>
        <w:rPr>
          <w:i/>
        </w:rPr>
        <w:tab/>
      </w:r>
      <w:r>
        <w:rPr>
          <w:i/>
        </w:rPr>
        <w:tab/>
      </w:r>
      <w:r>
        <w:rPr>
          <w:i/>
          <w:lang w:val="en-US"/>
        </w:rPr>
        <w:t>d</w:t>
      </w:r>
      <w:r>
        <w:rPr>
          <w:i/>
        </w:rPr>
        <w:t>)</w:t>
      </w:r>
      <w:r>
        <w:rPr>
          <w:i/>
        </w:rPr>
        <w:tab/>
        <w:t>пострадавшая была беременна в момент совершения преступления, и обвиняемый знал, что пострадавшая беременна; или</w:t>
      </w:r>
    </w:p>
    <w:p w:rsidR="00000000" w:rsidRDefault="00000000">
      <w:pPr>
        <w:tabs>
          <w:tab w:val="clear" w:pos="340"/>
          <w:tab w:val="left" w:pos="1021"/>
          <w:tab w:val="left" w:pos="1361"/>
          <w:tab w:val="left" w:pos="1701"/>
        </w:tabs>
        <w:ind w:left="1361" w:right="680" w:hanging="1361"/>
        <w:rPr>
          <w:i/>
        </w:rPr>
      </w:pPr>
      <w:r>
        <w:rPr>
          <w:i/>
        </w:rPr>
        <w:tab/>
      </w:r>
      <w:r>
        <w:rPr>
          <w:i/>
        </w:rPr>
        <w:tab/>
        <w:t>е)</w:t>
      </w:r>
      <w:r>
        <w:rPr>
          <w:i/>
        </w:rPr>
        <w:tab/>
        <w:t>обвиняемый ранее имел судимость за преступление, квалифицируемое как изнасилование,</w:t>
      </w:r>
    </w:p>
    <w:p w:rsidR="00000000" w:rsidRDefault="00000000">
      <w:pPr>
        <w:tabs>
          <w:tab w:val="clear" w:pos="340"/>
          <w:tab w:val="left" w:pos="1021"/>
          <w:tab w:val="left" w:pos="1361"/>
          <w:tab w:val="left" w:pos="1701"/>
        </w:tabs>
        <w:ind w:right="680"/>
      </w:pPr>
      <w:r>
        <w:rPr>
          <w:i/>
        </w:rPr>
        <w:tab/>
        <w:t>оно подлежит тюремному заключению до конца жизни вплоть до естественной смерти.</w:t>
      </w:r>
    </w:p>
    <w:p w:rsidR="00000000" w:rsidRDefault="00000000">
      <w:pPr>
        <w:tabs>
          <w:tab w:val="clear" w:pos="340"/>
          <w:tab w:val="left" w:pos="1021"/>
          <w:tab w:val="left" w:pos="1361"/>
          <w:tab w:val="left" w:pos="1701"/>
        </w:tabs>
        <w:spacing w:after="120"/>
        <w:ind w:left="680" w:right="680" w:hanging="680"/>
        <w:rPr>
          <w:i/>
        </w:rPr>
      </w:pPr>
      <w:r>
        <w:rPr>
          <w:i/>
        </w:rPr>
        <w:tab/>
        <w:t>3) Суд или судебный орган может потребовать, чтобы лицо, осужденное за преступление на основании этого Закона, выплачивало пострадавшему соответствующую компенсацию, что влечет за собой обременение имущества лица, осужденного за такое преступление.</w:t>
      </w:r>
    </w:p>
    <w:p w:rsidR="00000000" w:rsidRDefault="00000000">
      <w:pPr>
        <w:tabs>
          <w:tab w:val="clear" w:pos="340"/>
          <w:tab w:val="left" w:pos="1021"/>
          <w:tab w:val="left" w:pos="1361"/>
          <w:tab w:val="left" w:pos="1701"/>
        </w:tabs>
        <w:spacing w:after="120"/>
        <w:ind w:left="680" w:right="680" w:hanging="680"/>
        <w:rPr>
          <w:i/>
        </w:rPr>
      </w:pPr>
      <w:r>
        <w:rPr>
          <w:i/>
        </w:rPr>
        <w:tab/>
        <w:t>…</w:t>
      </w:r>
    </w:p>
    <w:p w:rsidR="00000000" w:rsidRDefault="00000000">
      <w:pPr>
        <w:tabs>
          <w:tab w:val="clear" w:pos="340"/>
          <w:tab w:val="left" w:pos="1021"/>
          <w:tab w:val="left" w:pos="1361"/>
          <w:tab w:val="left" w:pos="1701"/>
        </w:tabs>
        <w:spacing w:after="0"/>
        <w:ind w:left="680" w:right="680" w:hanging="680"/>
        <w:rPr>
          <w:i/>
        </w:rPr>
      </w:pPr>
      <w:r>
        <w:rPr>
          <w:i/>
        </w:rPr>
        <w:tab/>
        <w:t>5) Данный пункт также относится к мужу в том, что касается совершения преступления, квалифицируемого как изнасилование им своей жены.</w:t>
      </w:r>
    </w:p>
    <w:p w:rsidR="00000000" w:rsidRDefault="00000000">
      <w:pPr>
        <w:tabs>
          <w:tab w:val="clear" w:pos="340"/>
          <w:tab w:val="left" w:pos="1021"/>
          <w:tab w:val="left" w:pos="1361"/>
          <w:tab w:val="left" w:pos="1701"/>
        </w:tabs>
        <w:ind w:left="680" w:right="680" w:hanging="680"/>
      </w:pPr>
      <w:r>
        <w:rPr>
          <w:i/>
        </w:rPr>
        <w:tab/>
        <w:t>6) В подпункте 5) понятие "муж" или "жена" охватывает также, по смыслу Закона о совместном проживании 1998 года, совместно проживающих лиц.</w:t>
      </w:r>
    </w:p>
    <w:p w:rsidR="00000000" w:rsidRDefault="00000000">
      <w:pPr>
        <w:tabs>
          <w:tab w:val="clear" w:pos="340"/>
          <w:tab w:val="left" w:pos="1021"/>
          <w:tab w:val="left" w:pos="1361"/>
          <w:tab w:val="left" w:pos="1701"/>
        </w:tabs>
        <w:spacing w:after="160"/>
        <w:ind w:right="680"/>
        <w:rPr>
          <w:i/>
        </w:rPr>
      </w:pPr>
      <w:r>
        <w:rPr>
          <w:i/>
        </w:rPr>
        <w:tab/>
        <w:t>17. Лицо, которое</w:t>
      </w:r>
    </w:p>
    <w:p w:rsidR="00000000" w:rsidRDefault="00000000">
      <w:pPr>
        <w:tabs>
          <w:tab w:val="clear" w:pos="340"/>
          <w:tab w:val="clear" w:pos="680"/>
          <w:tab w:val="left" w:pos="1021"/>
          <w:tab w:val="left" w:pos="1361"/>
          <w:tab w:val="left" w:pos="1701"/>
        </w:tabs>
        <w:spacing w:after="0"/>
        <w:ind w:left="1701" w:right="680" w:hanging="1701"/>
        <w:rPr>
          <w:i/>
        </w:rPr>
      </w:pPr>
      <w:r>
        <w:rPr>
          <w:i/>
        </w:rPr>
        <w:tab/>
      </w:r>
      <w:r>
        <w:rPr>
          <w:i/>
        </w:rPr>
        <w:tab/>
        <w:t>а)</w:t>
      </w:r>
      <w:r>
        <w:rPr>
          <w:i/>
        </w:rPr>
        <w:tab/>
        <w:t>склоняет несовершеннолетнего в возрасте до 16 лет к вступлению в половую связь с любым лицом в Тринидаде и Тобаго или в любом другом месте; или</w:t>
      </w:r>
    </w:p>
    <w:p w:rsidR="00000000" w:rsidRDefault="00000000">
      <w:pPr>
        <w:tabs>
          <w:tab w:val="clear" w:pos="340"/>
          <w:tab w:val="clear" w:pos="680"/>
          <w:tab w:val="left" w:pos="1021"/>
          <w:tab w:val="left" w:pos="1361"/>
          <w:tab w:val="left" w:pos="1701"/>
        </w:tabs>
        <w:spacing w:after="0"/>
        <w:ind w:left="1701" w:right="680" w:hanging="1701"/>
        <w:rPr>
          <w:i/>
        </w:rPr>
      </w:pPr>
      <w:r>
        <w:rPr>
          <w:i/>
        </w:rPr>
        <w:tab/>
      </w:r>
      <w:r>
        <w:rPr>
          <w:i/>
        </w:rPr>
        <w:tab/>
      </w:r>
      <w:r>
        <w:rPr>
          <w:i/>
          <w:lang w:val="en-US"/>
        </w:rPr>
        <w:t>b</w:t>
      </w:r>
      <w:r>
        <w:rPr>
          <w:i/>
        </w:rPr>
        <w:t>)</w:t>
      </w:r>
      <w:r>
        <w:rPr>
          <w:i/>
        </w:rPr>
        <w:tab/>
        <w:t>склоняет другое лицо к занятию проституцией независимо от того, является ли принуждаемое лицо проституткой в Тринидаде и Тобаго или в любом другом месте; или</w:t>
      </w:r>
    </w:p>
    <w:p w:rsidR="00000000" w:rsidRDefault="00000000">
      <w:pPr>
        <w:tabs>
          <w:tab w:val="clear" w:pos="340"/>
          <w:tab w:val="clear" w:pos="680"/>
          <w:tab w:val="left" w:pos="1021"/>
          <w:tab w:val="left" w:pos="1361"/>
          <w:tab w:val="left" w:pos="1701"/>
        </w:tabs>
        <w:ind w:left="1701" w:right="680" w:hanging="1701"/>
        <w:rPr>
          <w:i/>
        </w:rPr>
      </w:pPr>
      <w:r>
        <w:rPr>
          <w:i/>
        </w:rPr>
        <w:tab/>
      </w:r>
      <w:r>
        <w:rPr>
          <w:i/>
        </w:rPr>
        <w:tab/>
        <w:t>с)</w:t>
      </w:r>
      <w:r>
        <w:rPr>
          <w:i/>
        </w:rPr>
        <w:tab/>
        <w:t xml:space="preserve">добивается принудительного содержания другого лица в публичном доме независимо от того, работает ли принуждаемое лицо в публичном доме, или склоняет к посещению публичного дома в Тринидаде и Тобаго или в любом другом месте, </w:t>
      </w:r>
    </w:p>
    <w:p w:rsidR="00000000" w:rsidRDefault="00000000">
      <w:pPr>
        <w:tabs>
          <w:tab w:val="clear" w:pos="340"/>
          <w:tab w:val="left" w:pos="1021"/>
          <w:tab w:val="left" w:pos="1361"/>
          <w:tab w:val="left" w:pos="1701"/>
        </w:tabs>
        <w:ind w:left="680" w:right="680" w:hanging="680"/>
        <w:rPr>
          <w:lang w:val="en-US"/>
        </w:rPr>
      </w:pPr>
      <w:r>
        <w:rPr>
          <w:i/>
        </w:rPr>
        <w:tab/>
        <w:t>виновно в совершении преступления и подлежит осуждению по приговору суда к тюремному заключению сроком на 15 лет.</w:t>
      </w:r>
    </w:p>
    <w:p w:rsidR="00000000" w:rsidRDefault="00000000">
      <w:pPr>
        <w:tabs>
          <w:tab w:val="clear" w:pos="340"/>
          <w:tab w:val="left" w:pos="1021"/>
          <w:tab w:val="left" w:pos="1361"/>
          <w:tab w:val="left" w:pos="1701"/>
        </w:tabs>
        <w:spacing w:after="160"/>
        <w:ind w:right="680"/>
        <w:rPr>
          <w:i/>
        </w:rPr>
      </w:pPr>
      <w:r>
        <w:rPr>
          <w:i/>
        </w:rPr>
        <w:tab/>
        <w:t>18. Лицо, которое</w:t>
      </w:r>
    </w:p>
    <w:p w:rsidR="00000000" w:rsidRDefault="00000000">
      <w:pPr>
        <w:tabs>
          <w:tab w:val="clear" w:pos="340"/>
          <w:tab w:val="left" w:pos="1021"/>
          <w:tab w:val="left" w:pos="1361"/>
          <w:tab w:val="left" w:pos="1701"/>
        </w:tabs>
        <w:spacing w:after="0"/>
        <w:ind w:left="1701" w:right="680" w:hanging="1701"/>
        <w:rPr>
          <w:i/>
        </w:rPr>
      </w:pPr>
      <w:r>
        <w:rPr>
          <w:i/>
          <w:lang w:val="en-US"/>
        </w:rPr>
        <w:tab/>
      </w:r>
      <w:r>
        <w:rPr>
          <w:i/>
          <w:lang w:val="en-US"/>
        </w:rPr>
        <w:tab/>
      </w:r>
      <w:r>
        <w:rPr>
          <w:i/>
          <w:lang w:val="en-US"/>
        </w:rPr>
        <w:tab/>
      </w:r>
      <w:r>
        <w:rPr>
          <w:i/>
        </w:rPr>
        <w:t>а)</w:t>
      </w:r>
      <w:r>
        <w:rPr>
          <w:i/>
          <w:lang w:val="en-US"/>
        </w:rPr>
        <w:tab/>
      </w:r>
      <w:r>
        <w:rPr>
          <w:i/>
        </w:rPr>
        <w:t>путем угроз или запугивания склоняет другое лицо к вступлению в половую связь с любым другим лицом в Тринидаде и Тобаго либо в любом другом месте; или</w:t>
      </w:r>
    </w:p>
    <w:p w:rsidR="00000000" w:rsidRDefault="00000000">
      <w:pPr>
        <w:tabs>
          <w:tab w:val="clear" w:pos="340"/>
          <w:tab w:val="left" w:pos="1021"/>
          <w:tab w:val="left" w:pos="1361"/>
          <w:tab w:val="left" w:pos="1701"/>
        </w:tabs>
        <w:spacing w:after="0"/>
        <w:ind w:left="1701" w:right="680" w:hanging="1701"/>
        <w:rPr>
          <w:i/>
        </w:rPr>
      </w:pPr>
      <w:r>
        <w:rPr>
          <w:i/>
        </w:rPr>
        <w:tab/>
      </w:r>
      <w:r>
        <w:rPr>
          <w:i/>
        </w:rPr>
        <w:tab/>
      </w:r>
      <w:r>
        <w:rPr>
          <w:i/>
        </w:rPr>
        <w:tab/>
      </w:r>
      <w:r>
        <w:rPr>
          <w:i/>
          <w:lang w:val="en-US"/>
        </w:rPr>
        <w:t>b</w:t>
      </w:r>
      <w:r>
        <w:rPr>
          <w:i/>
        </w:rPr>
        <w:t>)</w:t>
      </w:r>
      <w:r>
        <w:rPr>
          <w:i/>
        </w:rPr>
        <w:tab/>
        <w:t>путем обмана склоняет другое лицо к вступлению в половую связь с любым другим лицом в Тринидаде и Тобаго или любом другом месте; или</w:t>
      </w:r>
    </w:p>
    <w:p w:rsidR="00000000" w:rsidRDefault="00000000">
      <w:pPr>
        <w:tabs>
          <w:tab w:val="clear" w:pos="340"/>
          <w:tab w:val="left" w:pos="1021"/>
          <w:tab w:val="left" w:pos="1361"/>
          <w:tab w:val="left" w:pos="1701"/>
        </w:tabs>
        <w:ind w:left="1701" w:right="680" w:hanging="1701"/>
        <w:rPr>
          <w:i/>
        </w:rPr>
      </w:pPr>
      <w:r>
        <w:rPr>
          <w:i/>
        </w:rPr>
        <w:tab/>
      </w:r>
      <w:r>
        <w:rPr>
          <w:i/>
        </w:rPr>
        <w:tab/>
      </w:r>
      <w:r>
        <w:rPr>
          <w:i/>
        </w:rPr>
        <w:tab/>
        <w:t>с)</w:t>
      </w:r>
      <w:r>
        <w:rPr>
          <w:i/>
        </w:rPr>
        <w:tab/>
        <w:t>применяет, дает или заставляет принять любое лицо любое лекарственное средство, вещество или что бы то ни было с намерением одурманить или возбудить это лицо, с тем чтобы таким образом любое другое лицо вступило в половые отношения с вышеупомянутым лицом,</w:t>
      </w:r>
    </w:p>
    <w:p w:rsidR="00000000" w:rsidRDefault="00000000">
      <w:pPr>
        <w:tabs>
          <w:tab w:val="clear" w:pos="340"/>
          <w:tab w:val="left" w:pos="1021"/>
          <w:tab w:val="left" w:pos="1361"/>
          <w:tab w:val="left" w:pos="1701"/>
        </w:tabs>
        <w:ind w:left="680" w:right="680" w:hanging="680"/>
      </w:pPr>
      <w:r>
        <w:rPr>
          <w:i/>
        </w:rPr>
        <w:tab/>
        <w:t xml:space="preserve">виновно в совершении преступления и подлежит осуждению по приговору суда к тюремному заключению сроком на 15 лет. </w:t>
      </w:r>
    </w:p>
    <w:p w:rsidR="00000000" w:rsidRDefault="00000000">
      <w:pPr>
        <w:tabs>
          <w:tab w:val="clear" w:pos="340"/>
          <w:tab w:val="left" w:pos="1021"/>
          <w:tab w:val="left" w:pos="1361"/>
          <w:tab w:val="left" w:pos="1701"/>
        </w:tabs>
        <w:spacing w:after="160"/>
        <w:ind w:right="680"/>
        <w:rPr>
          <w:i/>
        </w:rPr>
      </w:pPr>
      <w:r>
        <w:rPr>
          <w:i/>
        </w:rPr>
        <w:tab/>
        <w:t>19. 1) Лицо, которое удерживает другое лицо против его воли</w:t>
      </w:r>
    </w:p>
    <w:p w:rsidR="00000000" w:rsidRDefault="00000000">
      <w:pPr>
        <w:tabs>
          <w:tab w:val="clear" w:pos="340"/>
          <w:tab w:val="left" w:pos="1021"/>
          <w:tab w:val="left" w:pos="1361"/>
          <w:tab w:val="left" w:pos="1701"/>
        </w:tabs>
        <w:spacing w:after="0"/>
        <w:ind w:left="1361" w:right="680" w:hanging="1361"/>
        <w:rPr>
          <w:i/>
        </w:rPr>
      </w:pPr>
      <w:r>
        <w:rPr>
          <w:i/>
        </w:rPr>
        <w:tab/>
      </w:r>
      <w:r>
        <w:rPr>
          <w:i/>
        </w:rPr>
        <w:tab/>
        <w:t>а)</w:t>
      </w:r>
      <w:r>
        <w:rPr>
          <w:i/>
        </w:rPr>
        <w:tab/>
        <w:t>в каком-либо помещении или с намерением доставить его в это помещение, с тем чтобы это удерживаемое лицо могло вступить в половую связь с любым другим лицом; или</w:t>
      </w:r>
    </w:p>
    <w:p w:rsidR="00000000" w:rsidRDefault="00000000">
      <w:pPr>
        <w:tabs>
          <w:tab w:val="clear" w:pos="340"/>
          <w:tab w:val="left" w:pos="1021"/>
          <w:tab w:val="left" w:pos="1361"/>
          <w:tab w:val="left" w:pos="1701"/>
        </w:tabs>
        <w:ind w:left="1361" w:right="680" w:hanging="1361"/>
        <w:rPr>
          <w:i/>
        </w:rPr>
      </w:pPr>
      <w:r>
        <w:rPr>
          <w:i/>
        </w:rPr>
        <w:tab/>
      </w:r>
      <w:r>
        <w:rPr>
          <w:i/>
        </w:rPr>
        <w:tab/>
      </w:r>
      <w:r>
        <w:rPr>
          <w:i/>
          <w:lang w:val="en-US"/>
        </w:rPr>
        <w:t>b</w:t>
      </w:r>
      <w:r>
        <w:rPr>
          <w:i/>
        </w:rPr>
        <w:t>)</w:t>
      </w:r>
      <w:r>
        <w:rPr>
          <w:i/>
        </w:rPr>
        <w:tab/>
        <w:t>в каком-либо публичном доме,</w:t>
      </w:r>
    </w:p>
    <w:p w:rsidR="00000000" w:rsidRDefault="00000000">
      <w:pPr>
        <w:tabs>
          <w:tab w:val="clear" w:pos="340"/>
          <w:tab w:val="left" w:pos="1021"/>
          <w:tab w:val="left" w:pos="1361"/>
          <w:tab w:val="left" w:pos="1701"/>
        </w:tabs>
        <w:ind w:left="680" w:right="680" w:hanging="680"/>
      </w:pPr>
      <w:r>
        <w:rPr>
          <w:i/>
        </w:rPr>
        <w:tab/>
        <w:t xml:space="preserve">виновно в совершении преступления и подлежит осуждению по приговору суда к тюремному заключению сроком на 10 лет. </w:t>
      </w:r>
    </w:p>
    <w:p w:rsidR="00000000" w:rsidRDefault="00000000">
      <w:pPr>
        <w:tabs>
          <w:tab w:val="clear" w:pos="340"/>
          <w:tab w:val="left" w:pos="1021"/>
          <w:tab w:val="left" w:pos="1361"/>
          <w:tab w:val="left" w:pos="1701"/>
        </w:tabs>
        <w:spacing w:after="160"/>
        <w:ind w:left="680" w:right="680" w:hanging="680"/>
        <w:rPr>
          <w:i/>
        </w:rPr>
      </w:pPr>
      <w:r>
        <w:rPr>
          <w:i/>
        </w:rPr>
        <w:tab/>
        <w:t>20. Лицо, которое похищает или удерживает лицо женского пола против его воли с намерением</w:t>
      </w:r>
    </w:p>
    <w:p w:rsidR="00000000" w:rsidRDefault="00000000">
      <w:pPr>
        <w:tabs>
          <w:tab w:val="clear" w:pos="340"/>
          <w:tab w:val="left" w:pos="1021"/>
          <w:tab w:val="left" w:pos="1361"/>
          <w:tab w:val="left" w:pos="1701"/>
        </w:tabs>
        <w:spacing w:after="0"/>
        <w:ind w:right="680"/>
        <w:rPr>
          <w:i/>
        </w:rPr>
      </w:pPr>
      <w:r>
        <w:rPr>
          <w:i/>
        </w:rPr>
        <w:tab/>
      </w:r>
      <w:r>
        <w:rPr>
          <w:i/>
        </w:rPr>
        <w:tab/>
        <w:t>а)</w:t>
      </w:r>
      <w:r>
        <w:rPr>
          <w:i/>
        </w:rPr>
        <w:tab/>
        <w:t>жениться на ней или вступить с ней в половую связь; или</w:t>
      </w:r>
    </w:p>
    <w:p w:rsidR="00000000" w:rsidRDefault="00000000">
      <w:pPr>
        <w:tabs>
          <w:tab w:val="clear" w:pos="340"/>
          <w:tab w:val="left" w:pos="1021"/>
          <w:tab w:val="left" w:pos="1361"/>
          <w:tab w:val="left" w:pos="1701"/>
        </w:tabs>
        <w:ind w:right="680"/>
        <w:rPr>
          <w:i/>
        </w:rPr>
      </w:pPr>
      <w:r>
        <w:rPr>
          <w:i/>
        </w:rPr>
        <w:tab/>
      </w:r>
      <w:r>
        <w:rPr>
          <w:i/>
        </w:rPr>
        <w:tab/>
      </w:r>
      <w:r>
        <w:rPr>
          <w:i/>
          <w:lang w:val="en-US"/>
        </w:rPr>
        <w:t>b</w:t>
      </w:r>
      <w:r>
        <w:rPr>
          <w:i/>
        </w:rPr>
        <w:t>)</w:t>
      </w:r>
      <w:r>
        <w:rPr>
          <w:i/>
        </w:rPr>
        <w:tab/>
        <w:t>принудить ее к вступлению в брак или половую связь с лицом мужского пола,</w:t>
      </w:r>
    </w:p>
    <w:p w:rsidR="00000000" w:rsidRDefault="00000000">
      <w:pPr>
        <w:tabs>
          <w:tab w:val="clear" w:pos="340"/>
          <w:tab w:val="left" w:pos="1021"/>
          <w:tab w:val="left" w:pos="1361"/>
          <w:tab w:val="left" w:pos="1701"/>
        </w:tabs>
        <w:ind w:left="680" w:right="680" w:hanging="680"/>
      </w:pPr>
      <w:r>
        <w:rPr>
          <w:i/>
        </w:rPr>
        <w:tab/>
        <w:t>виновно в совершении преступления и подлежит осуждению по приговору суда к тюремному заключению сроком на 10 лет.</w:t>
      </w:r>
    </w:p>
    <w:p w:rsidR="00000000" w:rsidRDefault="00000000">
      <w:r>
        <w:t>174.</w:t>
      </w:r>
      <w:r>
        <w:tab/>
        <w:t>В соответствии с законом о половых преступлениях № 21 1986 года жалобы, касающиеся сексуальной эксплуатации, могут подаваться как мужчинами, так и женщинами, включая проституток. В разделе 30 закона рассматривается порядок представления доказательств, касающихся сексуальной деятельности и сексуальной репутации пострадавших:</w:t>
      </w:r>
    </w:p>
    <w:p w:rsidR="00000000" w:rsidRDefault="00000000">
      <w:pPr>
        <w:tabs>
          <w:tab w:val="clear" w:pos="340"/>
        </w:tabs>
        <w:ind w:left="680" w:hanging="680"/>
        <w:rPr>
          <w:i/>
        </w:rPr>
      </w:pPr>
      <w:r>
        <w:rPr>
          <w:i/>
        </w:rPr>
        <w:tab/>
        <w:t xml:space="preserve">30. 1) В ходе судебного разбирательства преступления в соответствии с данным Законом судом не принимаются никакие доказательства, представляемые обвиняемым или от его имени и касающиеся сексуальных отношений пострадавшего с любым другим лицом, кроме самого обвиняемого, за исключением случаев, когда суд по ходатайству самого обвиняемого или от его имени считает необходимым, в отсутствие присяжных, принять такие доказательства в целях обеспечения справедливого суда над обвиняемым. </w:t>
      </w:r>
    </w:p>
    <w:p w:rsidR="00000000" w:rsidRDefault="00000000">
      <w:pPr>
        <w:tabs>
          <w:tab w:val="clear" w:pos="340"/>
          <w:tab w:val="left" w:pos="1021"/>
        </w:tabs>
        <w:ind w:left="680" w:hanging="680"/>
      </w:pPr>
      <w:r>
        <w:rPr>
          <w:i/>
        </w:rPr>
        <w:tab/>
      </w:r>
      <w:r>
        <w:rPr>
          <w:i/>
        </w:rPr>
        <w:tab/>
        <w:t>2) За исключением случаев, предусмотренных в подпункте 1), никакие показания о сексуальной репутации не могут быть приняты в качестве доказательств в целях опровержения или подтверждения достоверности показаний истца.</w:t>
      </w:r>
    </w:p>
    <w:p w:rsidR="00000000" w:rsidRDefault="00000000">
      <w:r>
        <w:t>175.</w:t>
      </w:r>
      <w:r>
        <w:tab/>
        <w:t xml:space="preserve">В Тринидаде и Тобаго не ведется сбор статистических данных о распространении проституции, поэтому ее масштабы неизвестны. Проводившиеся отдельные исследования подтверждают, что в стране действительно имеют место проституция (включая проституцию с коммерческими целями) и производство порнографических материалов, однако случаи торговли детьми и женщинами выявлены не были. </w:t>
      </w:r>
    </w:p>
    <w:p w:rsidR="00000000" w:rsidRDefault="00000000">
      <w:r>
        <w:t>176.</w:t>
      </w:r>
      <w:r>
        <w:tab/>
        <w:t>В ходе исследования, проведенного в 1996 году по линии Министерства социального и общинного развития, основное, но не исключительное внимание в котором было уделено проблемам проституции и содействия занятию проституцией несовершеннолетними, была получена следующая информация:</w:t>
      </w:r>
    </w:p>
    <w:p w:rsidR="00000000" w:rsidRDefault="00000000">
      <w:pPr>
        <w:numPr>
          <w:ilvl w:val="0"/>
          <w:numId w:val="505"/>
        </w:numPr>
        <w:tabs>
          <w:tab w:val="clear" w:pos="700"/>
          <w:tab w:val="left" w:pos="680"/>
        </w:tabs>
        <w:spacing w:after="0"/>
      </w:pPr>
      <w:r>
        <w:t>некоторые дети и подростки в Тринидаде и Тобаго вовлечены в проституцию и порнографию, однако масштабы их участия в этой деятельности неизвестны;</w:t>
      </w:r>
    </w:p>
    <w:p w:rsidR="00000000" w:rsidRDefault="00000000">
      <w:pPr>
        <w:numPr>
          <w:ilvl w:val="0"/>
          <w:numId w:val="505"/>
        </w:numPr>
        <w:tabs>
          <w:tab w:val="clear" w:pos="700"/>
          <w:tab w:val="left" w:pos="680"/>
        </w:tabs>
        <w:spacing w:after="0"/>
      </w:pPr>
      <w:r>
        <w:t>проституция в большей степени распространена среди женщин, чем среди мужчин;</w:t>
      </w:r>
    </w:p>
    <w:p w:rsidR="00000000" w:rsidRDefault="00000000">
      <w:pPr>
        <w:numPr>
          <w:ilvl w:val="0"/>
          <w:numId w:val="505"/>
        </w:numPr>
        <w:tabs>
          <w:tab w:val="clear" w:pos="700"/>
          <w:tab w:val="left" w:pos="680"/>
        </w:tabs>
        <w:spacing w:after="0"/>
      </w:pPr>
      <w:r>
        <w:t>проституция больше распространена среди лиц, принадлежащих к низшим социально-экономическим слоям населения;</w:t>
      </w:r>
    </w:p>
    <w:p w:rsidR="00000000" w:rsidRDefault="00000000">
      <w:pPr>
        <w:numPr>
          <w:ilvl w:val="0"/>
          <w:numId w:val="505"/>
        </w:numPr>
        <w:tabs>
          <w:tab w:val="clear" w:pos="700"/>
          <w:tab w:val="left" w:pos="680"/>
        </w:tabs>
        <w:spacing w:after="0"/>
      </w:pPr>
      <w:r>
        <w:t>существует определенная степень организации сексуальной эксплуатации женщин в коммерческих целях в сети, включающей дома моделей, ночные клубы, службы свиданий и услуги сопровождения;</w:t>
      </w:r>
    </w:p>
    <w:p w:rsidR="00000000" w:rsidRDefault="00000000">
      <w:pPr>
        <w:numPr>
          <w:ilvl w:val="0"/>
          <w:numId w:val="505"/>
        </w:numPr>
        <w:tabs>
          <w:tab w:val="clear" w:pos="700"/>
          <w:tab w:val="left" w:pos="680"/>
        </w:tabs>
        <w:spacing w:after="0"/>
      </w:pPr>
      <w:r>
        <w:t>производство порнографических материалов носит ограниченный характер и, возможно, связано с этой сетью;</w:t>
      </w:r>
    </w:p>
    <w:p w:rsidR="00000000" w:rsidRDefault="00000000">
      <w:pPr>
        <w:numPr>
          <w:ilvl w:val="0"/>
          <w:numId w:val="505"/>
        </w:numPr>
        <w:tabs>
          <w:tab w:val="clear" w:pos="700"/>
          <w:tab w:val="left" w:pos="680"/>
        </w:tabs>
        <w:spacing w:after="0"/>
      </w:pPr>
      <w:r>
        <w:t>существует рынок клиентов из числа бизнесменов и туристов для проституток подросткового возраста;</w:t>
      </w:r>
    </w:p>
    <w:p w:rsidR="00000000" w:rsidRDefault="00000000">
      <w:pPr>
        <w:numPr>
          <w:ilvl w:val="0"/>
          <w:numId w:val="505"/>
        </w:numPr>
        <w:tabs>
          <w:tab w:val="clear" w:pos="700"/>
          <w:tab w:val="left" w:pos="680"/>
        </w:tabs>
        <w:spacing w:after="0"/>
      </w:pPr>
      <w:r>
        <w:t>сексуальная эксплуатация в коммерческих целях детей и подростков в Тобаго, по-видимому, связана главным образом с индустрией туризма;</w:t>
      </w:r>
    </w:p>
    <w:p w:rsidR="00000000" w:rsidRDefault="00000000">
      <w:pPr>
        <w:numPr>
          <w:ilvl w:val="0"/>
          <w:numId w:val="505"/>
        </w:numPr>
        <w:tabs>
          <w:tab w:val="clear" w:pos="700"/>
          <w:tab w:val="left" w:pos="680"/>
        </w:tabs>
        <w:spacing w:after="0"/>
      </w:pPr>
      <w:r>
        <w:t>было установлено, что исполнение эротических танцев и эротические выступления на сцене женщин в ночных клубах являются повсеместно распространенной практикой;</w:t>
      </w:r>
    </w:p>
    <w:p w:rsidR="00000000" w:rsidRDefault="00000000">
      <w:pPr>
        <w:numPr>
          <w:ilvl w:val="0"/>
          <w:numId w:val="505"/>
        </w:numPr>
        <w:tabs>
          <w:tab w:val="clear" w:pos="700"/>
          <w:tab w:val="left" w:pos="680"/>
        </w:tabs>
        <w:spacing w:after="0"/>
      </w:pPr>
      <w:r>
        <w:t>в Тринидаде и Тобаго имеют место выступления женщин в частном порядке, как правило, на холостяцких вечеринках, что зачастую приводит к оказанию сексуальных услуг, включая в некоторых случаях вступление в половую связь; и</w:t>
      </w:r>
    </w:p>
    <w:p w:rsidR="00000000" w:rsidRDefault="00000000">
      <w:pPr>
        <w:numPr>
          <w:ilvl w:val="0"/>
          <w:numId w:val="505"/>
        </w:numPr>
        <w:tabs>
          <w:tab w:val="clear" w:pos="700"/>
          <w:tab w:val="left" w:pos="680"/>
        </w:tabs>
      </w:pPr>
      <w:r>
        <w:t>несмотря на отсутствие доказательств, подтверждающих какую-либо связь проституции с торговлей наркотиками, употребление наркотиков является одним из факторов, оказывающих влияние на детскую проституцию.</w:t>
      </w:r>
    </w:p>
    <w:p w:rsidR="00000000" w:rsidRDefault="00000000">
      <w:r>
        <w:t>177.</w:t>
      </w:r>
      <w:r>
        <w:tab/>
        <w:t>Кроме этого исследования не было осуществлено ни одного другого проекта, направленного на получение качественной информации о распространении проституции в Тринидаде и Тобаго. Поэтому имеющаяся информация недостаточна, чтобы на ее основании можно было дать точную картину масштабов этой деятельности в стране. В настоящее время ведомство Генерального прокурора и правовых вопросов готовит закон, призванный запретить производство, выпуск и хранение продукции непристойного характера, в котором предусмотрено специальное положение, касающееся детской порнографии и связанных с ней вопросов. Проект этого закона уже подготовлен, и в настоящее время в него вносятся поправки, прежде чем он будет внесен в парламент.</w:t>
      </w:r>
    </w:p>
    <w:p w:rsidR="00000000" w:rsidRDefault="00000000">
      <w:r>
        <w:t>178.</w:t>
      </w:r>
      <w:r>
        <w:tab/>
        <w:t>Помимо тех мер, которые были приняты в целях борьбы с нищетой, неграмотностью и безработицей среди широких слоев населения, не было принято никаких мер, специально направленных на предупреждение проституции или конкретное воздействие на проституток. Служба управления процессом перемен Министерства социального и общинного развития содействует принятию мер с целью обеспечить расширение рамок занятости в производственной сфере, бóльшую социальную интеграцию, искоренение нищеты и достижение справедливости в целях устойчивого развития. Создание Секретариата социальной помощи и программ реабилитации (</w:t>
      </w:r>
      <w:r>
        <w:rPr>
          <w:lang w:val="en-US"/>
        </w:rPr>
        <w:t>SHARE</w:t>
      </w:r>
      <w:r>
        <w:t xml:space="preserve">) стало экстренной мерой, принимаемой с целью облегчить положение новой бедноты. Компоненты развития и реабилитации </w:t>
      </w:r>
      <w:r>
        <w:rPr>
          <w:lang w:val="en-US"/>
        </w:rPr>
        <w:t>SHARE</w:t>
      </w:r>
      <w:r>
        <w:t xml:space="preserve"> призваны обеспечить самостоятельные рост и развитие; оказывается поддержка лицам, пытающимся заняться предпринимательством или возвратиться на оплачиваемую работу. Кроме того, Отдел общинного развития Министерства социального и общинного развития организует профессиональное обучение женщин, а Отдел социального обеспечения Министерства оказывает финансовую помощь нуждающимся семьям.</w:t>
      </w:r>
    </w:p>
    <w:p w:rsidR="00000000" w:rsidRDefault="00000000">
      <w:r>
        <w:t>179.</w:t>
      </w:r>
      <w:r>
        <w:tab/>
        <w:t xml:space="preserve">В настоящее время не принимается каких-либо профилактических или реабилитационных мер по защите женщин, занимающихся проституцией. Аналогичным образом не осуществляется никаких программ по реинтеграции проституток в общество. </w:t>
      </w:r>
    </w:p>
    <w:p w:rsidR="00000000" w:rsidRDefault="00000000">
      <w:r>
        <w:t>180.</w:t>
      </w:r>
      <w:r>
        <w:tab/>
        <w:t>Отсутствует медицинское обслуживание, связанное со СПИДом, специально предназначенное для проституток. Однако имеющиеся медицинские услуги, касающиеся СПИДа, в равной степени предоставляются всем, включая проституток.</w:t>
      </w:r>
    </w:p>
    <w:p w:rsidR="00000000" w:rsidRDefault="00000000">
      <w:r>
        <w:t>181.</w:t>
      </w:r>
      <w:r>
        <w:tab/>
        <w:t>Исполнение экзотических танцев в Тринидаде и Тобаго запрещено положением о театрах и танцевальных залах, раздел 21:03:</w:t>
      </w:r>
    </w:p>
    <w:p w:rsidR="00000000" w:rsidRDefault="00000000">
      <w:pPr>
        <w:tabs>
          <w:tab w:val="clear" w:pos="340"/>
        </w:tabs>
        <w:spacing w:after="120"/>
        <w:ind w:left="680" w:hanging="680"/>
        <w:rPr>
          <w:i/>
        </w:rPr>
      </w:pPr>
      <w:r>
        <w:rPr>
          <w:i/>
        </w:rPr>
        <w:tab/>
        <w:t>5. Следующие условия подлежат строгому соблюдению в любом театре или танцевальном зале во время показа или исполнения любой сценической постановки или танца:</w:t>
      </w:r>
    </w:p>
    <w:p w:rsidR="00000000" w:rsidRDefault="00000000">
      <w:pPr>
        <w:tabs>
          <w:tab w:val="clear" w:pos="340"/>
          <w:tab w:val="left" w:pos="1021"/>
        </w:tabs>
        <w:spacing w:after="120"/>
        <w:ind w:left="680" w:hanging="680"/>
        <w:rPr>
          <w:i/>
        </w:rPr>
      </w:pPr>
      <w:r>
        <w:rPr>
          <w:i/>
        </w:rPr>
        <w:tab/>
      </w:r>
      <w:r>
        <w:rPr>
          <w:i/>
        </w:rPr>
        <w:tab/>
        <w:t>…</w:t>
      </w:r>
    </w:p>
    <w:p w:rsidR="00000000" w:rsidRDefault="00000000">
      <w:pPr>
        <w:tabs>
          <w:tab w:val="clear" w:pos="340"/>
          <w:tab w:val="clear" w:pos="680"/>
          <w:tab w:val="left" w:pos="1021"/>
        </w:tabs>
        <w:spacing w:after="0"/>
        <w:rPr>
          <w:i/>
        </w:rPr>
      </w:pPr>
      <w:r>
        <w:rPr>
          <w:i/>
        </w:rPr>
        <w:tab/>
      </w:r>
      <w:r>
        <w:rPr>
          <w:i/>
          <w:lang w:val="en-US"/>
        </w:rPr>
        <w:t>d</w:t>
      </w:r>
      <w:r>
        <w:rPr>
          <w:i/>
        </w:rPr>
        <w:t>)</w:t>
      </w:r>
      <w:r>
        <w:rPr>
          <w:i/>
          <w:lang w:val="en-US"/>
        </w:rPr>
        <w:t xml:space="preserve"> </w:t>
      </w:r>
      <w:r>
        <w:rPr>
          <w:i/>
        </w:rPr>
        <w:t xml:space="preserve"> запрещается исполнение непристойных или неприличных танцев…</w:t>
      </w:r>
    </w:p>
    <w:p w:rsidR="00000000" w:rsidRDefault="00000000">
      <w:pPr>
        <w:tabs>
          <w:tab w:val="clear" w:pos="340"/>
          <w:tab w:val="clear" w:pos="680"/>
          <w:tab w:val="left" w:pos="1021"/>
        </w:tabs>
      </w:pPr>
      <w:r>
        <w:rPr>
          <w:i/>
        </w:rPr>
        <w:tab/>
        <w:t xml:space="preserve">е) </w:t>
      </w:r>
      <w:r>
        <w:rPr>
          <w:i/>
          <w:lang w:val="en-US"/>
        </w:rPr>
        <w:t xml:space="preserve"> </w:t>
      </w:r>
      <w:r>
        <w:rPr>
          <w:i/>
        </w:rPr>
        <w:t>все исполнители и танцоры должны быть пристойно одеты.</w:t>
      </w:r>
    </w:p>
    <w:p w:rsidR="00000000" w:rsidRDefault="00000000">
      <w:r>
        <w:t>182.</w:t>
      </w:r>
      <w:r>
        <w:tab/>
        <w:t>В настоящее время не принимается никаких особых мер, направленных на борьбу с сексуальным туризмом или порнографией, помимо связанных с применением соответствующего законодательства полицией и сотрудниками других правоохранительных органов. В стране не установлено распространение практики вербовки рабочих из числа мигрантов и беженок из развивающихся стран для работы в развитых странах и организации браков с представителями развивающихся стран и иностранными гражданами.</w:t>
      </w:r>
    </w:p>
    <w:p w:rsidR="00000000" w:rsidRDefault="00000000">
      <w:pPr>
        <w:pStyle w:val="Heading3"/>
      </w:pPr>
      <w:r>
        <w:t>Статья 7</w:t>
      </w:r>
    </w:p>
    <w:p w:rsidR="00000000" w:rsidRDefault="00000000">
      <w:r>
        <w:t>183.</w:t>
      </w:r>
      <w:r>
        <w:tab/>
        <w:t>Конституция гарантирует основное право человека "на участие в политических партиях и выражение политических взглядов". Эта гарантия обеспечивает всем гражданам, независимо от их расовой принадлежности, происхождения, цвета кожи, вероисповедания или пола, право на занятие общественными делами, непосредственно или через свободно избранных представителей. Это право предусматривает, в частности, участие в голосовании и членство в легислатуре (при условии соблюдения определенных требований недискриминационного характера). В случае парламентских выборов существует лишь одно ограничение, связанное с тем, что избиратель должен быть гражданином Тринидада и Тобаго или подданным Содружества, проживающим в стране не менее одного года. В случае выборов в местные органы власти лицам, не являющимся подданными Содружества, разрешается голосовать при условии их непрерывного проживания в Тринидаде и Тобаго в течение пятилетнего периода, предшествующего дате проведения выборов. В соответствии с пунктом 15 главы 1:02 закона о представительстве народа ни одно лицо не имеет права быть зарегистрированным или остаться зарегистрированным в качестве избирателя, если оно страдает психическим заболеванием, приговорено к смертной казни или отбывает по приговору суда тюремное заключение сроком более 12 месяцев.</w:t>
      </w:r>
    </w:p>
    <w:p w:rsidR="00000000" w:rsidRDefault="00000000">
      <w:r>
        <w:t>184.</w:t>
      </w:r>
      <w:r>
        <w:tab/>
        <w:t xml:space="preserve">Не существует явных препятствий для полного участия женщин в политическом процессе или процессе принятия решений. Хотя не проводится сопоставления статистических данных об участии в выборах с учетом гендерного фактора, женщины, как утверждается, принимают широкое участие в политическом процессе в качестве электората в рамках избирательной структуры и исключительно активно ведут себя в ходе сбора средств и в проведении предвыборных кампаний. Однако на деле лишь немногие женщины занимают должности во властных структурах и пользуются авторитетом в политических, профсоюзных и других официальных влиятельных организациях. Женщины по-прежнему недостаточно представлены на уровне принятия решений в политике и различных секторах страны. Однако такое положение неуклонно меняется, и отмечен постепенный рост участия женщин в этих областях. В настоящее время в составе 36 избранных членов парламента четыре женщины – на одну женщину меньше по сравнению с числом женщин – членов парламента при предыдущей администрации. Одна из этих женщин является министром правительства, а другие – членами оппозиции. Из 31 назначенного члена сената 9 – женщины, одна из которых также является министром, – на две женщины больше, чем при последней администрации. </w:t>
      </w:r>
    </w:p>
    <w:p w:rsidR="00000000" w:rsidRDefault="00000000">
      <w:r>
        <w:t>185.</w:t>
      </w:r>
      <w:r>
        <w:tab/>
        <w:t xml:space="preserve">Обзор участия женщин за последние три срока правления трех различных правительств в Тринидаде и Тобаго не выявил сколько-нибудь существенных изменений в представительстве женщин и их назначении на министерские посты. Примечательно, что традиционно женщинам-министрам отводятся такие сферы ответственности, как общинное развитие, информация, образование, женские вопросы, спорт и культура, дела молодежи, социальное обслуживание и вопросы потребительского рынка. Что касается ныне действующей администрации, то в ней женщина занимает пост Генерального прокурора, а недавно еще одна женщина была назначена исполняющей обязанности премьер-министра на период отсутствия в стране премьер-министра. </w:t>
      </w:r>
    </w:p>
    <w:p w:rsidR="00000000" w:rsidRDefault="00000000">
      <w:r>
        <w:t>186.</w:t>
      </w:r>
      <w:r>
        <w:tab/>
        <w:t>Что касается уровня местного самоуправления, то период, охватывающий 1990–1998 годы, был отмечен увеличением числа женщин, занимающих должности в местных органах власти. Число женщин-советников возросло с 24 (в общей сложности из 128 должностей) до 41 (в общей сложности из 124 должностей). Из этих 41 женщины-советника 28 были избраны при 13 назначенных. На 14 региональных корпораций приходится одна женщина – президент корпорации и две женщины занимают должности вице-президентов. Наконец, женщины, занимающие должности заместителя мэра, возглавляют два из пяти городов, представленных в парламенте.</w:t>
      </w:r>
    </w:p>
    <w:p w:rsidR="00000000" w:rsidRDefault="00000000">
      <w:r>
        <w:t>187.</w:t>
      </w:r>
      <w:r>
        <w:tab/>
        <w:t xml:space="preserve">Что касается Тобаго, то Национальная ассамблея Тобаго (НАТ) является органом государственной власти, который отвечает за выработку и осуществление политики по защите интересов Тобаго, в то время как исполнительный совет законодательного собрания отвечает за выполнение функций ассамблеи. Национальная ассамблея состоит из 16 членов, а ее исполнительный комитет – из семи членов. В настоящее время в ассамблее пять женщин-членов, а в ее исполкоме – две женщины-члена. </w:t>
      </w:r>
    </w:p>
    <w:p w:rsidR="00000000" w:rsidRDefault="00000000">
      <w:r>
        <w:t>188.</w:t>
      </w:r>
      <w:r>
        <w:tab/>
        <w:t>Сеть НПО определила три основных препятствия, сдерживающих участие женщин в политике, включая следующие:</w:t>
      </w:r>
    </w:p>
    <w:p w:rsidR="00000000" w:rsidRDefault="00000000">
      <w:pPr>
        <w:numPr>
          <w:ilvl w:val="0"/>
          <w:numId w:val="506"/>
        </w:numPr>
        <w:spacing w:after="0"/>
      </w:pPr>
      <w:r>
        <w:t>политический процесс и структура не поощряют женщин к выдвижению своих кандидатур;</w:t>
      </w:r>
    </w:p>
    <w:p w:rsidR="00000000" w:rsidRDefault="00000000">
      <w:pPr>
        <w:numPr>
          <w:ilvl w:val="0"/>
          <w:numId w:val="506"/>
        </w:numPr>
        <w:spacing w:after="0"/>
      </w:pPr>
      <w:r>
        <w:t>домашние обязанности; и</w:t>
      </w:r>
    </w:p>
    <w:p w:rsidR="00000000" w:rsidRDefault="00000000">
      <w:pPr>
        <w:numPr>
          <w:ilvl w:val="0"/>
          <w:numId w:val="506"/>
        </w:numPr>
      </w:pPr>
      <w:r>
        <w:t>институциональные и структурные механизмы сдерживают участие женщин.</w:t>
      </w:r>
    </w:p>
    <w:p w:rsidR="00000000" w:rsidRDefault="00000000">
      <w:r>
        <w:t>189.</w:t>
      </w:r>
      <w:r>
        <w:tab/>
        <w:t>В свете фактического существования структурных и культурных препятствий, действительно сдерживающих полное и равноправное участие женщин в политической жизни, а также наличия гендерных стереотипов и дискриминационных установок, которые создают серьезные препятствия для участия женщин в политической деятельности, Министерство культуры и гендерных проблем создало в 1998 году в экспериментальном порядке Институт подготовки и повышения квалификации женщин-руководителей. Институт содействует продвижению женщин-руководителей на общинном, предпринимательском и политическом уровнях путем их подготовки в области гендерного и личностного развития, а также в вопросах руководства, создания команды, коммуникации, умения держать себя и вести переговоры, с тем чтобы укрепить их уверенность в себе, чувство собственного достоинства и развить способности, которые необходимы для выполнения функций, связанных с руководством и принятием решений. С момента создания в 1998 году Институт осуществил более шести программ как в городских, так и сельских общинах. Поддающиеся проверке показатели свидетельствуют о достижении некоторых успехов.</w:t>
      </w:r>
    </w:p>
    <w:p w:rsidR="00000000" w:rsidRDefault="00000000">
      <w:r>
        <w:t>190.</w:t>
      </w:r>
      <w:r>
        <w:tab/>
        <w:t xml:space="preserve">Сеть НПО за развитие женщин недавно выступила с политической платформой на беспартийной основе для обсуждения проблем женщин в рамках политического форума. Была организована подготовка женщин – кандидатов от всех партий для их участия в выборах в местные органы власти 1999 года. На политические партии было оказано воздействие в целях увеличения числа кандидатов, выдвигаемых для участия в выборах в местные органы власти, что привело в конечном счете к увеличению числа женщин, избранных на должности советников и назначенных олдерменами. В итоге был создан Женский избирательный фонд для поддержки женщин, которые решили выставить свои кандидатуры на занятие политических постов. Сеть НПО также начала кампанию, добиваясь 30-процентного представительства женщин в кабинете министров к 2003 году (на первом этапе) и 50-процентного их представительства к 2005 году. </w:t>
      </w:r>
    </w:p>
    <w:p w:rsidR="00000000" w:rsidRDefault="00000000">
      <w:r>
        <w:t>191.</w:t>
      </w:r>
      <w:r>
        <w:tab/>
        <w:t>В государственном секторе 45,5 процента должностей постоянных заместителей министров занимают женщины. В 1996 году женщины составляли 41,7 процента ответственных должностных лиц – законодателей и менеджеров, 39,6 процента служащих-профессионалов, 53 процента специалистов и адъюнкт-профессоров, 47,5</w:t>
      </w:r>
      <w:r>
        <w:rPr>
          <w:lang w:val="en-US"/>
        </w:rPr>
        <w:t> </w:t>
      </w:r>
      <w:r>
        <w:t>процента работников сферы обслуживания, 12,6 процента работников сельского хозяйства, лесного хозяйства и рыбного хозяйства, 12,7 процента представителей кустарных промыслов и связанных с ними ремесел, 12,9 процента рабочих-станочников и сборщиков и 33</w:t>
      </w:r>
      <w:r>
        <w:rPr>
          <w:lang w:val="en-US"/>
        </w:rPr>
        <w:t> </w:t>
      </w:r>
      <w:r>
        <w:t>процента представителей неквалифици-</w:t>
      </w:r>
      <w:r>
        <w:br/>
        <w:t xml:space="preserve">рованного труда. </w:t>
      </w:r>
    </w:p>
    <w:p w:rsidR="00000000" w:rsidRDefault="00000000">
      <w:r>
        <w:t>192.</w:t>
      </w:r>
      <w:r>
        <w:tab/>
        <w:t xml:space="preserve">Что касается военной службы, то всего одна женщина дослужилась до звания майора, чего не удавалось ни одной женщине в армии. </w:t>
      </w:r>
    </w:p>
    <w:p w:rsidR="00000000" w:rsidRDefault="00000000">
      <w:r>
        <w:t>193.</w:t>
      </w:r>
      <w:r>
        <w:tab/>
        <w:t>Что же касается судебной власти, то в настоящее время 33 процента судей апелляционных судов, 14</w:t>
      </w:r>
      <w:r>
        <w:rPr>
          <w:lang w:val="en-US"/>
        </w:rPr>
        <w:t> </w:t>
      </w:r>
      <w:r>
        <w:t>процентов судей высоких судов, 67</w:t>
      </w:r>
      <w:r>
        <w:rPr>
          <w:lang w:val="en-US"/>
        </w:rPr>
        <w:t> </w:t>
      </w:r>
      <w:r>
        <w:t>процентов судебных распорядителей высоких судов, 47</w:t>
      </w:r>
      <w:r>
        <w:rPr>
          <w:lang w:val="en-US"/>
        </w:rPr>
        <w:t> </w:t>
      </w:r>
      <w:r>
        <w:t xml:space="preserve">процентов старших магистратов и 77 процентов магистратов составляют женщины. </w:t>
      </w:r>
    </w:p>
    <w:p w:rsidR="00000000" w:rsidRDefault="00000000">
      <w:r>
        <w:t>194.</w:t>
      </w:r>
      <w:r>
        <w:tab/>
        <w:t xml:space="preserve">Недостаточное представительство женщин на уровнях руководства и принятия решений также очевидно и в частном секторе. В 1997 году, например, женщины занимали 9,1 процента мест членов совета директоров одного из крупнейших банков Тринидада и Тобаго. Подобная система сохраняется и в других банках и крупных частных предприятиях страны. </w:t>
      </w:r>
    </w:p>
    <w:p w:rsidR="00000000" w:rsidRDefault="00000000">
      <w:r>
        <w:t>195.</w:t>
      </w:r>
      <w:r>
        <w:tab/>
        <w:t xml:space="preserve">Женщины могут свободно вступать в профсоюзы, но они, как правило, непропорционально представлены на уровне руководства профсоюзами, даже когда большинство их членов составляют женщины. Обзор, проведенный в 1990 году Министерством труда и кооперативов, выявил, что женщины составляли 26 770, или 44 процента, из 61 345 членов 28 профсоюзов. На тот момент женщины занимали 15 руководящих должностей в восьми профсоюзах, что составило 7,6 процента от общего числа руководящих должностей. В настоящее время женщина возглавляет Ассоциацию государственной службы – профсоюз, представляющий интересы государственных служащих. Женщина впервые заняла такой пост. Вице-президентом Объединенной учительской ассоциации Тринидада и Тобаго также является женщина. Последние статистические данные о составе членов профсоюзов и информация о представительстве женщин в руководстве профсоюзов отсутствуют. Министерство труда и кооперативов предприняло усилия по  сопоставлению последней соответствующей информации относительно профсоюзов путем проведения обзоров и опросов, однако Министерству не удалось получить надлежащие ответы.   </w:t>
      </w:r>
    </w:p>
    <w:p w:rsidR="00000000" w:rsidRDefault="00000000">
      <w:pPr>
        <w:pStyle w:val="Heading3"/>
      </w:pPr>
      <w:r>
        <w:t>Статья 8</w:t>
      </w:r>
    </w:p>
    <w:p w:rsidR="00000000" w:rsidRDefault="00000000">
      <w:r>
        <w:t>196.</w:t>
      </w:r>
      <w:r>
        <w:tab/>
        <w:t>Назначение на дипломатические и другие связанные с этой службой международные посты регулируется законом о гражданской службе, глава 23:01, законом о привилегиях и иммунитетах (дипломатические, консульские и международные организации), глава 17:01, и законом о пенсиях по выходе в отставку (дипломатическая служба), глава 17:04. В данных законах не проводится различия между мужчинами и женщинами в том, что касается применения законодательных положений, за исключением статьи</w:t>
      </w:r>
      <w:r>
        <w:rPr>
          <w:lang w:val="en-US"/>
        </w:rPr>
        <w:t> </w:t>
      </w:r>
      <w:r>
        <w:t>14 главы</w:t>
      </w:r>
      <w:r>
        <w:rPr>
          <w:lang w:val="en-US"/>
        </w:rPr>
        <w:t> </w:t>
      </w:r>
      <w:r>
        <w:t>23:01 закона о гражданской службе, в которой говорится следующее:</w:t>
      </w:r>
    </w:p>
    <w:p w:rsidR="00000000" w:rsidRDefault="00000000">
      <w:pPr>
        <w:tabs>
          <w:tab w:val="clear" w:pos="340"/>
        </w:tabs>
        <w:ind w:left="680" w:right="680" w:hanging="680"/>
        <w:rPr>
          <w:i/>
        </w:rPr>
      </w:pPr>
      <w:r>
        <w:rPr>
          <w:i/>
        </w:rPr>
        <w:tab/>
        <w:t>14. 1) Замужние женщины могут быть приняты на государственную гражданскую службу на постоянной основе, а состоящие на гражданской государственной службе женщины не могут быть принуждены к уходу в отставку после их вступления в брак.</w:t>
      </w:r>
    </w:p>
    <w:p w:rsidR="00000000" w:rsidRDefault="00000000">
      <w:pPr>
        <w:tabs>
          <w:tab w:val="clear" w:pos="340"/>
          <w:tab w:val="left" w:pos="1021"/>
        </w:tabs>
        <w:ind w:left="680" w:right="680" w:hanging="680"/>
      </w:pPr>
      <w:r>
        <w:tab/>
      </w:r>
      <w:r>
        <w:rPr>
          <w:lang w:val="en-US"/>
        </w:rPr>
        <w:tab/>
      </w:r>
      <w:r>
        <w:rPr>
          <w:i/>
        </w:rPr>
        <w:t>2) Женщина-служащая, которая вступает в брак, сообщает о факте своего замужества Комиссии государственной службы через постоянного заместителя министра или руководителя департамента, который назначал ее на должность</w:t>
      </w:r>
      <w:r>
        <w:t>.</w:t>
      </w:r>
    </w:p>
    <w:p w:rsidR="00000000" w:rsidRDefault="00000000">
      <w:r>
        <w:t>197.</w:t>
      </w:r>
      <w:r>
        <w:tab/>
        <w:t>Женщины имеют юридически равный с мужчинами доступ к дипломатическим и международным постам. Несмотря на отсутствие закона, в котором прямо предусматривалось бы это, назначение на дипломатические и международные посты должно осуществляться в соответствии с Конституцией, которая запрещает дискриминацию по гендерному признаку.</w:t>
      </w:r>
    </w:p>
    <w:p w:rsidR="00000000" w:rsidRDefault="00000000">
      <w:pPr>
        <w:spacing w:after="0"/>
      </w:pPr>
      <w:r>
        <w:t>198.</w:t>
      </w:r>
      <w:r>
        <w:tab/>
      </w:r>
      <w:r>
        <w:rPr>
          <w:b/>
        </w:rPr>
        <w:t>Сменяемость персонала за период с января 1999 года по октябрь 2000 года</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2"/>
        <w:gridCol w:w="907"/>
        <w:gridCol w:w="851"/>
        <w:gridCol w:w="1021"/>
        <w:gridCol w:w="851"/>
        <w:gridCol w:w="1021"/>
        <w:gridCol w:w="907"/>
      </w:tblGrid>
      <w:tr w:rsidR="00000000">
        <w:tblPrEx>
          <w:tblCellMar>
            <w:top w:w="0" w:type="dxa"/>
            <w:bottom w:w="0" w:type="dxa"/>
          </w:tblCellMar>
        </w:tblPrEx>
        <w:trPr>
          <w:cantSplit/>
        </w:trPr>
        <w:tc>
          <w:tcPr>
            <w:tcW w:w="3402" w:type="dxa"/>
            <w:vMerge w:val="restart"/>
          </w:tcPr>
          <w:p w:rsidR="00000000" w:rsidRDefault="00000000">
            <w:pPr>
              <w:spacing w:before="60" w:after="20" w:line="240" w:lineRule="auto"/>
              <w:jc w:val="center"/>
              <w:rPr>
                <w:rFonts w:ascii="Arial" w:hAnsi="Arial"/>
                <w:b/>
                <w:sz w:val="16"/>
              </w:rPr>
            </w:pPr>
            <w:r>
              <w:rPr>
                <w:rFonts w:ascii="Arial" w:hAnsi="Arial"/>
                <w:b/>
                <w:sz w:val="16"/>
              </w:rPr>
              <w:t>РУКОВОДЯЩИЕ И ОТВЕТСТВЕННЫЕ ПОСТЫ НА ДИПЛОМАТИЧЕСКОЙ СЛУЖБЕ</w:t>
            </w:r>
          </w:p>
        </w:tc>
        <w:tc>
          <w:tcPr>
            <w:tcW w:w="1758" w:type="dxa"/>
            <w:gridSpan w:val="2"/>
          </w:tcPr>
          <w:p w:rsidR="00000000" w:rsidRDefault="00000000">
            <w:pPr>
              <w:spacing w:before="60" w:after="20" w:line="240" w:lineRule="auto"/>
              <w:jc w:val="center"/>
              <w:rPr>
                <w:rFonts w:ascii="Arial" w:hAnsi="Arial"/>
                <w:b/>
                <w:sz w:val="16"/>
              </w:rPr>
            </w:pPr>
            <w:r>
              <w:rPr>
                <w:rFonts w:ascii="Arial" w:hAnsi="Arial"/>
                <w:b/>
                <w:sz w:val="16"/>
              </w:rPr>
              <w:t>ВСЕГО ПОСТОВ</w:t>
            </w:r>
          </w:p>
        </w:tc>
        <w:tc>
          <w:tcPr>
            <w:tcW w:w="1872" w:type="dxa"/>
            <w:gridSpan w:val="2"/>
          </w:tcPr>
          <w:p w:rsidR="00000000" w:rsidRDefault="00000000">
            <w:pPr>
              <w:spacing w:before="60" w:after="20" w:line="240" w:lineRule="auto"/>
              <w:jc w:val="center"/>
              <w:rPr>
                <w:rFonts w:ascii="Arial" w:hAnsi="Arial"/>
                <w:b/>
                <w:sz w:val="16"/>
              </w:rPr>
            </w:pPr>
            <w:r>
              <w:rPr>
                <w:rFonts w:ascii="Arial" w:hAnsi="Arial"/>
                <w:b/>
                <w:sz w:val="16"/>
              </w:rPr>
              <w:t>ВСЕГО ПОСТОВ, ЗАНИМАЕМЫХ ЖЕНЩИНАМИ</w:t>
            </w:r>
          </w:p>
        </w:tc>
        <w:tc>
          <w:tcPr>
            <w:tcW w:w="1928" w:type="dxa"/>
            <w:gridSpan w:val="2"/>
          </w:tcPr>
          <w:p w:rsidR="00000000" w:rsidRDefault="00000000">
            <w:pPr>
              <w:spacing w:before="60" w:after="20" w:line="240" w:lineRule="auto"/>
              <w:jc w:val="center"/>
              <w:rPr>
                <w:rFonts w:ascii="Arial" w:hAnsi="Arial"/>
                <w:b/>
                <w:sz w:val="16"/>
              </w:rPr>
            </w:pPr>
            <w:r>
              <w:rPr>
                <w:rFonts w:ascii="Arial" w:hAnsi="Arial"/>
                <w:b/>
                <w:sz w:val="16"/>
              </w:rPr>
              <w:t>ПРОЦЕНТ ОТ ОБЩЕГО ЧИСЛА ПОСТОВ</w:t>
            </w:r>
          </w:p>
        </w:tc>
      </w:tr>
      <w:tr w:rsidR="00000000">
        <w:tblPrEx>
          <w:tblCellMar>
            <w:top w:w="0" w:type="dxa"/>
            <w:bottom w:w="0" w:type="dxa"/>
          </w:tblCellMar>
        </w:tblPrEx>
        <w:trPr>
          <w:cantSplit/>
        </w:trPr>
        <w:tc>
          <w:tcPr>
            <w:tcW w:w="3402" w:type="dxa"/>
            <w:vMerge/>
          </w:tcPr>
          <w:p w:rsidR="00000000" w:rsidRDefault="00000000">
            <w:pPr>
              <w:spacing w:before="60" w:after="20" w:line="240" w:lineRule="auto"/>
              <w:jc w:val="center"/>
              <w:rPr>
                <w:rFonts w:ascii="Arial" w:hAnsi="Arial"/>
                <w:sz w:val="16"/>
              </w:rPr>
            </w:pPr>
          </w:p>
        </w:tc>
        <w:tc>
          <w:tcPr>
            <w:tcW w:w="907" w:type="dxa"/>
          </w:tcPr>
          <w:p w:rsidR="00000000" w:rsidRDefault="00000000">
            <w:pPr>
              <w:spacing w:before="60" w:after="20" w:line="240" w:lineRule="auto"/>
              <w:jc w:val="center"/>
              <w:rPr>
                <w:rFonts w:ascii="Arial" w:hAnsi="Arial"/>
                <w:sz w:val="16"/>
              </w:rPr>
            </w:pPr>
            <w:r>
              <w:rPr>
                <w:rFonts w:ascii="Arial" w:hAnsi="Arial"/>
                <w:sz w:val="16"/>
              </w:rPr>
              <w:t>1999 год</w:t>
            </w:r>
          </w:p>
        </w:tc>
        <w:tc>
          <w:tcPr>
            <w:tcW w:w="851" w:type="dxa"/>
          </w:tcPr>
          <w:p w:rsidR="00000000" w:rsidRDefault="00000000">
            <w:pPr>
              <w:spacing w:before="60" w:after="20" w:line="240" w:lineRule="auto"/>
              <w:jc w:val="center"/>
              <w:rPr>
                <w:rFonts w:ascii="Arial" w:hAnsi="Arial"/>
                <w:sz w:val="16"/>
              </w:rPr>
            </w:pPr>
            <w:r>
              <w:rPr>
                <w:rFonts w:ascii="Arial" w:hAnsi="Arial"/>
                <w:sz w:val="16"/>
              </w:rPr>
              <w:t>2000 год</w:t>
            </w:r>
          </w:p>
        </w:tc>
        <w:tc>
          <w:tcPr>
            <w:tcW w:w="1021" w:type="dxa"/>
          </w:tcPr>
          <w:p w:rsidR="00000000" w:rsidRDefault="00000000">
            <w:pPr>
              <w:spacing w:before="60" w:after="20" w:line="240" w:lineRule="auto"/>
              <w:jc w:val="center"/>
              <w:rPr>
                <w:rFonts w:ascii="Arial" w:hAnsi="Arial"/>
                <w:sz w:val="16"/>
              </w:rPr>
            </w:pPr>
            <w:r>
              <w:rPr>
                <w:rFonts w:ascii="Arial" w:hAnsi="Arial"/>
                <w:sz w:val="16"/>
              </w:rPr>
              <w:t>1999 год</w:t>
            </w:r>
          </w:p>
        </w:tc>
        <w:tc>
          <w:tcPr>
            <w:tcW w:w="851" w:type="dxa"/>
          </w:tcPr>
          <w:p w:rsidR="00000000" w:rsidRDefault="00000000">
            <w:pPr>
              <w:spacing w:before="60" w:after="20" w:line="240" w:lineRule="auto"/>
              <w:jc w:val="center"/>
              <w:rPr>
                <w:rFonts w:ascii="Arial" w:hAnsi="Arial"/>
                <w:sz w:val="16"/>
              </w:rPr>
            </w:pPr>
            <w:r>
              <w:rPr>
                <w:rFonts w:ascii="Arial" w:hAnsi="Arial"/>
                <w:sz w:val="16"/>
              </w:rPr>
              <w:t>2000 год</w:t>
            </w:r>
          </w:p>
        </w:tc>
        <w:tc>
          <w:tcPr>
            <w:tcW w:w="1021" w:type="dxa"/>
          </w:tcPr>
          <w:p w:rsidR="00000000" w:rsidRDefault="00000000">
            <w:pPr>
              <w:spacing w:before="60" w:after="20" w:line="240" w:lineRule="auto"/>
              <w:jc w:val="center"/>
              <w:rPr>
                <w:rFonts w:ascii="Arial" w:hAnsi="Arial"/>
                <w:sz w:val="16"/>
              </w:rPr>
            </w:pPr>
            <w:r>
              <w:rPr>
                <w:rFonts w:ascii="Arial" w:hAnsi="Arial"/>
                <w:sz w:val="16"/>
              </w:rPr>
              <w:t>1999 год</w:t>
            </w:r>
          </w:p>
        </w:tc>
        <w:tc>
          <w:tcPr>
            <w:tcW w:w="907" w:type="dxa"/>
          </w:tcPr>
          <w:p w:rsidR="00000000" w:rsidRDefault="00000000">
            <w:pPr>
              <w:spacing w:before="60" w:after="20" w:line="240" w:lineRule="auto"/>
              <w:jc w:val="center"/>
              <w:rPr>
                <w:rFonts w:ascii="Arial" w:hAnsi="Arial"/>
                <w:sz w:val="16"/>
              </w:rPr>
            </w:pPr>
            <w:r>
              <w:rPr>
                <w:rFonts w:ascii="Arial" w:hAnsi="Arial"/>
                <w:sz w:val="16"/>
              </w:rPr>
              <w:t>2000 год</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Постоянный заместитель министра</w:t>
            </w:r>
            <w:r>
              <w:rPr>
                <w:rFonts w:ascii="Arial" w:hAnsi="Arial"/>
                <w:sz w:val="16"/>
              </w:rPr>
              <w:br/>
              <w:t>(глава дипломатической службы)</w:t>
            </w:r>
          </w:p>
        </w:tc>
        <w:tc>
          <w:tcPr>
            <w:tcW w:w="907"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w:t>
            </w:r>
          </w:p>
        </w:tc>
        <w:tc>
          <w:tcPr>
            <w:tcW w:w="851"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w:t>
            </w:r>
          </w:p>
        </w:tc>
        <w:tc>
          <w:tcPr>
            <w:tcW w:w="1021"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0</w:t>
            </w:r>
          </w:p>
        </w:tc>
        <w:tc>
          <w:tcPr>
            <w:tcW w:w="851" w:type="dxa"/>
            <w:vAlign w:val="bottom"/>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1</w:t>
            </w:r>
          </w:p>
        </w:tc>
        <w:tc>
          <w:tcPr>
            <w:tcW w:w="1021"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w:t>
            </w:r>
          </w:p>
        </w:tc>
        <w:tc>
          <w:tcPr>
            <w:tcW w:w="907"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100</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Главы миссий</w:t>
            </w:r>
            <w:r>
              <w:rPr>
                <w:rFonts w:ascii="Arial" w:hAnsi="Arial"/>
                <w:sz w:val="16"/>
              </w:rPr>
              <w:br/>
              <w:t>(включая высоких комиссаров, послов и генеральных консулов)</w:t>
            </w:r>
          </w:p>
        </w:tc>
        <w:tc>
          <w:tcPr>
            <w:tcW w:w="907"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14</w:t>
            </w:r>
          </w:p>
        </w:tc>
        <w:tc>
          <w:tcPr>
            <w:tcW w:w="851"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14</w:t>
            </w:r>
          </w:p>
        </w:tc>
        <w:tc>
          <w:tcPr>
            <w:tcW w:w="1021"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w:t>
            </w:r>
          </w:p>
        </w:tc>
        <w:tc>
          <w:tcPr>
            <w:tcW w:w="851" w:type="dxa"/>
            <w:vAlign w:val="bottom"/>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2*</w:t>
            </w:r>
          </w:p>
        </w:tc>
        <w:tc>
          <w:tcPr>
            <w:tcW w:w="1021"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14</w:t>
            </w:r>
          </w:p>
        </w:tc>
        <w:tc>
          <w:tcPr>
            <w:tcW w:w="907" w:type="dxa"/>
            <w:vAlign w:val="bottom"/>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14</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 xml:space="preserve">Дипломатический представитель </w:t>
            </w:r>
            <w:r>
              <w:rPr>
                <w:rFonts w:ascii="Arial" w:hAnsi="Arial"/>
                <w:sz w:val="16"/>
                <w:lang w:val="en-US"/>
              </w:rPr>
              <w:t>V</w:t>
            </w:r>
            <w:r>
              <w:rPr>
                <w:rFonts w:ascii="Arial" w:hAnsi="Arial"/>
                <w:sz w:val="16"/>
              </w:rPr>
              <w:t xml:space="preserve"> класса</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10</w:t>
            </w:r>
          </w:p>
        </w:tc>
        <w:tc>
          <w:tcPr>
            <w:tcW w:w="85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10</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w:t>
            </w:r>
          </w:p>
        </w:tc>
        <w:tc>
          <w:tcPr>
            <w:tcW w:w="851" w:type="dxa"/>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2</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20</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20</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 xml:space="preserve">Дипломатический представитель </w:t>
            </w:r>
            <w:r>
              <w:rPr>
                <w:rFonts w:ascii="Arial" w:hAnsi="Arial"/>
                <w:sz w:val="16"/>
                <w:lang w:val="en-US"/>
              </w:rPr>
              <w:t>IV</w:t>
            </w:r>
            <w:r>
              <w:rPr>
                <w:rFonts w:ascii="Arial" w:hAnsi="Arial"/>
                <w:sz w:val="16"/>
              </w:rPr>
              <w:t xml:space="preserve"> класса</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10</w:t>
            </w:r>
          </w:p>
        </w:tc>
        <w:tc>
          <w:tcPr>
            <w:tcW w:w="85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10</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4</w:t>
            </w:r>
          </w:p>
        </w:tc>
        <w:tc>
          <w:tcPr>
            <w:tcW w:w="851" w:type="dxa"/>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4</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40</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40</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 xml:space="preserve">Дипломатический представитель </w:t>
            </w:r>
            <w:r>
              <w:rPr>
                <w:rFonts w:ascii="Arial" w:hAnsi="Arial"/>
                <w:sz w:val="16"/>
                <w:lang w:val="en-US"/>
              </w:rPr>
              <w:t>III</w:t>
            </w:r>
            <w:r>
              <w:rPr>
                <w:rFonts w:ascii="Arial" w:hAnsi="Arial"/>
                <w:sz w:val="16"/>
              </w:rPr>
              <w:t xml:space="preserve"> класса</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24</w:t>
            </w:r>
          </w:p>
        </w:tc>
        <w:tc>
          <w:tcPr>
            <w:tcW w:w="85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24</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8</w:t>
            </w:r>
          </w:p>
        </w:tc>
        <w:tc>
          <w:tcPr>
            <w:tcW w:w="851" w:type="dxa"/>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8</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33</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33</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 xml:space="preserve">Дипломатический представитель </w:t>
            </w:r>
            <w:r>
              <w:rPr>
                <w:rFonts w:ascii="Arial" w:hAnsi="Arial"/>
                <w:sz w:val="16"/>
                <w:lang w:val="en-US"/>
              </w:rPr>
              <w:t>II</w:t>
            </w:r>
            <w:r>
              <w:rPr>
                <w:rFonts w:ascii="Arial" w:hAnsi="Arial"/>
                <w:sz w:val="16"/>
              </w:rPr>
              <w:t xml:space="preserve"> класса</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28</w:t>
            </w:r>
          </w:p>
        </w:tc>
        <w:tc>
          <w:tcPr>
            <w:tcW w:w="85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28</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7</w:t>
            </w:r>
          </w:p>
        </w:tc>
        <w:tc>
          <w:tcPr>
            <w:tcW w:w="851" w:type="dxa"/>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7</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25</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25</w:t>
            </w:r>
          </w:p>
        </w:tc>
      </w:tr>
      <w:tr w:rsidR="00000000">
        <w:tblPrEx>
          <w:tblCellMar>
            <w:top w:w="0" w:type="dxa"/>
            <w:bottom w:w="0" w:type="dxa"/>
          </w:tblCellMar>
        </w:tblPrEx>
        <w:tc>
          <w:tcPr>
            <w:tcW w:w="3402" w:type="dxa"/>
          </w:tcPr>
          <w:p w:rsidR="00000000" w:rsidRDefault="00000000">
            <w:pPr>
              <w:spacing w:before="40" w:after="40" w:line="240" w:lineRule="auto"/>
              <w:jc w:val="left"/>
              <w:rPr>
                <w:rFonts w:ascii="Arial" w:hAnsi="Arial"/>
                <w:sz w:val="16"/>
              </w:rPr>
            </w:pPr>
            <w:r>
              <w:rPr>
                <w:rFonts w:ascii="Arial" w:hAnsi="Arial"/>
                <w:sz w:val="16"/>
              </w:rPr>
              <w:t xml:space="preserve">Дипломатический представитель </w:t>
            </w:r>
            <w:r>
              <w:rPr>
                <w:rFonts w:ascii="Arial" w:hAnsi="Arial"/>
                <w:sz w:val="16"/>
                <w:lang w:val="en-US"/>
              </w:rPr>
              <w:t>I</w:t>
            </w:r>
            <w:r>
              <w:rPr>
                <w:rFonts w:ascii="Arial" w:hAnsi="Arial"/>
                <w:sz w:val="16"/>
              </w:rPr>
              <w:t xml:space="preserve"> класса</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23</w:t>
            </w:r>
          </w:p>
        </w:tc>
        <w:tc>
          <w:tcPr>
            <w:tcW w:w="85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23</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7</w:t>
            </w:r>
          </w:p>
        </w:tc>
        <w:tc>
          <w:tcPr>
            <w:tcW w:w="851" w:type="dxa"/>
          </w:tcPr>
          <w:p w:rsidR="00000000" w:rsidRDefault="00000000">
            <w:pPr>
              <w:tabs>
                <w:tab w:val="clear" w:pos="340"/>
                <w:tab w:val="clear" w:pos="680"/>
                <w:tab w:val="decimal" w:pos="454"/>
              </w:tabs>
              <w:spacing w:before="40" w:after="40" w:line="240" w:lineRule="auto"/>
              <w:rPr>
                <w:rFonts w:ascii="Arial" w:hAnsi="Arial"/>
                <w:sz w:val="16"/>
              </w:rPr>
            </w:pPr>
            <w:r>
              <w:rPr>
                <w:rFonts w:ascii="Arial" w:hAnsi="Arial"/>
                <w:sz w:val="16"/>
              </w:rPr>
              <w:t>7</w:t>
            </w:r>
          </w:p>
        </w:tc>
        <w:tc>
          <w:tcPr>
            <w:tcW w:w="1021"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30</w:t>
            </w:r>
          </w:p>
        </w:tc>
        <w:tc>
          <w:tcPr>
            <w:tcW w:w="907" w:type="dxa"/>
          </w:tcPr>
          <w:p w:rsidR="00000000" w:rsidRDefault="00000000">
            <w:pPr>
              <w:tabs>
                <w:tab w:val="clear" w:pos="340"/>
                <w:tab w:val="clear" w:pos="680"/>
                <w:tab w:val="decimal" w:pos="567"/>
              </w:tabs>
              <w:spacing w:before="40" w:after="40" w:line="240" w:lineRule="auto"/>
              <w:rPr>
                <w:rFonts w:ascii="Arial" w:hAnsi="Arial"/>
                <w:sz w:val="16"/>
              </w:rPr>
            </w:pPr>
            <w:r>
              <w:rPr>
                <w:rFonts w:ascii="Arial" w:hAnsi="Arial"/>
                <w:sz w:val="16"/>
              </w:rPr>
              <w:t>30</w:t>
            </w:r>
          </w:p>
        </w:tc>
      </w:tr>
    </w:tbl>
    <w:p w:rsidR="00000000" w:rsidRDefault="00000000">
      <w:pPr>
        <w:spacing w:after="360"/>
        <w:rPr>
          <w:sz w:val="16"/>
        </w:rPr>
      </w:pPr>
      <w:r>
        <w:rPr>
          <w:sz w:val="16"/>
          <w:lang w:val="en-US"/>
        </w:rPr>
        <w:tab/>
      </w:r>
      <w:r>
        <w:rPr>
          <w:sz w:val="16"/>
          <w:lang w:val="en-US"/>
        </w:rPr>
        <w:tab/>
      </w:r>
      <w:r>
        <w:rPr>
          <w:sz w:val="16"/>
        </w:rPr>
        <w:t>* Исполняющие обязанности.</w:t>
      </w:r>
    </w:p>
    <w:p w:rsidR="00000000" w:rsidRDefault="00000000">
      <w:r>
        <w:t>199.</w:t>
      </w:r>
      <w:r>
        <w:tab/>
        <w:t xml:space="preserve">Отсутствует законодательная норма, регулирующая совместное назначение на должности супругов, однако правительство Тринидада и Тобаго содействует такому назначению супругов на дипломатические должности, когда это представляется приемлемым. </w:t>
      </w:r>
    </w:p>
    <w:p w:rsidR="00000000" w:rsidRDefault="00000000">
      <w:r>
        <w:t>200.</w:t>
      </w:r>
      <w:r>
        <w:tab/>
        <w:t>Политика правительства Тринидада и Тобаго заключается в том, чтобы предоставлять женщинам возможность не только быть членами делегаций на международных встречах и конференциях, но и возглавлять такие делегации. За период с 1999 года по октябрь 2000 года из общего числа кандидатов от Тринидада и Тобаго на заполнение вакантных должностей в рамках системы Организации Объединенных Наций и других региональных и международных организаций 67 процентов составляли женщины.</w:t>
      </w:r>
    </w:p>
    <w:p w:rsidR="00000000" w:rsidRDefault="00000000">
      <w:pPr>
        <w:pStyle w:val="Heading3"/>
      </w:pPr>
      <w:r>
        <w:t>Статья 9</w:t>
      </w:r>
    </w:p>
    <w:p w:rsidR="00000000" w:rsidRDefault="00000000">
      <w:r>
        <w:t>201.</w:t>
      </w:r>
      <w:r>
        <w:tab/>
        <w:t>Право женщины на приобретение, изменение и сохранение ее гражданства закреплено в Конституции. На это право не влияет гражданство ее мужа после ее вступления в брак или после расторжения брака. Положения, регулирующие вопрос о гражданстве, также содержатся в законе о гражданстве, глава 18:01. В соответствии с этим законом женщины имеют равные с мужчинами права в том, что касается приобретения, изменения или сохранения их гражданства.</w:t>
      </w:r>
    </w:p>
    <w:p w:rsidR="00000000" w:rsidRDefault="00000000">
      <w:r>
        <w:t>202.</w:t>
      </w:r>
      <w:r>
        <w:tab/>
        <w:t>Право на гражданство предусматривается статьями 15–17 Конституции. Это право защищается и гарантируется, независимо от расы, происхождения, цвета кожи, вероисповедания или пола того или иного лица. В Конституции говорится следующее:</w:t>
      </w:r>
    </w:p>
    <w:p w:rsidR="00000000" w:rsidRDefault="00000000">
      <w:pPr>
        <w:tabs>
          <w:tab w:val="clear" w:pos="340"/>
        </w:tabs>
        <w:spacing w:after="120"/>
        <w:ind w:left="680" w:right="680" w:hanging="680"/>
        <w:rPr>
          <w:i/>
        </w:rPr>
      </w:pPr>
      <w:r>
        <w:rPr>
          <w:i/>
        </w:rPr>
        <w:tab/>
        <w:t>15. Любое лицо, которое стало гражданином по рождению в соответствии с пунктом 9 (1) или гражданином по происхождению в соответствии с разделом 9 (2) прежней Конституции и не перестало быть гражданином в соответствии с этой Конституцией, продолжает оставаться гражданином в соответствии с настоящей Конституцией.</w:t>
      </w:r>
    </w:p>
    <w:p w:rsidR="00000000" w:rsidRDefault="00000000">
      <w:pPr>
        <w:tabs>
          <w:tab w:val="clear" w:pos="340"/>
        </w:tabs>
        <w:spacing w:after="120"/>
        <w:ind w:left="680" w:right="680" w:hanging="680"/>
        <w:rPr>
          <w:i/>
        </w:rPr>
      </w:pPr>
      <w:r>
        <w:rPr>
          <w:i/>
        </w:rPr>
        <w:tab/>
        <w:t xml:space="preserve">16. Любое лицо, которое стало гражданином Тринидада и Тобаго в силу регистрации в соответствии с прежней Конституцией, или в силу приобретения гражданства в соответствии с частью </w:t>
      </w:r>
      <w:r>
        <w:rPr>
          <w:i/>
          <w:lang w:val="en-US"/>
        </w:rPr>
        <w:t>II</w:t>
      </w:r>
      <w:r>
        <w:rPr>
          <w:i/>
        </w:rPr>
        <w:t xml:space="preserve"> закона о гражданстве Тринидада и Тобаго и не перестало быть гражданином в соответствии с любым действующим законом Тринидада и Тобаго, продолжает оставаться гражданином в соответствии с настоящей Конституцией.</w:t>
      </w:r>
    </w:p>
    <w:p w:rsidR="00000000" w:rsidRDefault="00000000">
      <w:pPr>
        <w:tabs>
          <w:tab w:val="clear" w:pos="340"/>
        </w:tabs>
        <w:spacing w:after="120"/>
        <w:ind w:left="680" w:right="680" w:hanging="680"/>
        <w:rPr>
          <w:i/>
        </w:rPr>
      </w:pPr>
      <w:r>
        <w:rPr>
          <w:i/>
        </w:rPr>
        <w:tab/>
        <w:t>17. 3) Любое лицо, которое родилось за пределами Тринидада и Тобаго после вступления в действие настоящей Конституции, становится гражданином Тринидада и Тобаго со дня своего рождения, если на эту дату любой из его родителей является или являлся, если бы не смерть его родителя, гражданином Тринидада и Тобаго, иначе чем в силу происхождения, однако в том случае, когда какое-либо лицо состоит на правительственной службе или на службе под руководством правительства, которая требует его постоянного проживания за пределами Тринидада и Тобаго в целях надлежащего исполнения им своих служебных обязанностей, этот подпункт следует толковать, как если бы слова "иначе чем в силу происхождения" были опущены.</w:t>
      </w:r>
    </w:p>
    <w:p w:rsidR="00000000" w:rsidRDefault="00000000">
      <w:pPr>
        <w:tabs>
          <w:tab w:val="clear" w:pos="340"/>
        </w:tabs>
        <w:spacing w:after="120"/>
        <w:ind w:left="680" w:right="680" w:hanging="680"/>
        <w:rPr>
          <w:i/>
        </w:rPr>
      </w:pPr>
      <w:r>
        <w:rPr>
          <w:i/>
        </w:rPr>
        <w:tab/>
        <w:t>17. 4) Любое лицо, которое стало гражданином по рождению в соответствии с разделом 12</w:t>
      </w:r>
      <w:r>
        <w:rPr>
          <w:i/>
          <w:lang w:val="en-US"/>
        </w:rPr>
        <w:t> </w:t>
      </w:r>
      <w:r>
        <w:rPr>
          <w:i/>
        </w:rPr>
        <w:t xml:space="preserve">(1) или гражданином по происхождению в соответствии с разделом 12 (2) прежней Конституции и не перестало быть гражданином в соответствии с этой Конституцией, продолжает оставаться гражданином в соответствии с настоящей Конституцией. </w:t>
      </w:r>
    </w:p>
    <w:p w:rsidR="00000000" w:rsidRDefault="00000000">
      <w:pPr>
        <w:tabs>
          <w:tab w:val="clear" w:pos="340"/>
        </w:tabs>
        <w:spacing w:after="120"/>
        <w:ind w:left="680" w:right="680" w:hanging="680"/>
      </w:pPr>
      <w:r>
        <w:rPr>
          <w:i/>
        </w:rPr>
        <w:tab/>
        <w:t>17. 5) Лицо, которое родилось за пределами Тринидада и Тобаго после 30 августа 1962 года, чья мать была гражданкой Тринидада и Тобаго, иначе чем в силу происхождения, на день его рождения, но не стала гражданкой на эту дату, имеет право стать гражданином на эту дату и оставаться гражданином Тринидада и Тобаго в соответствии с настоящей Конституцией.</w:t>
      </w:r>
    </w:p>
    <w:p w:rsidR="00000000" w:rsidRDefault="00000000">
      <w:pPr>
        <w:spacing w:after="160"/>
      </w:pPr>
      <w:r>
        <w:t xml:space="preserve">Лица, которые являются гражданами Тринидада и Тобаго по рождению и которые приобретают гражданство другого государства, в результате чего теряют гражданство Тринидада и Тобаго, могут, по их ходатайству, получить удостоверение о восстановлении, что означает возвращение им гражданства Тринидада и Тобаго. </w:t>
      </w:r>
    </w:p>
    <w:p w:rsidR="00000000" w:rsidRDefault="00000000">
      <w:pPr>
        <w:spacing w:after="160"/>
      </w:pPr>
      <w:r>
        <w:t>203.</w:t>
      </w:r>
      <w:r>
        <w:tab/>
        <w:t>Закон о гражданстве, глава 1:50, вступил в силу в 1976 году, и, в соответствии с законом, женщинам предоставлены равные с мужчинами права на передачу гражданства своим детям. В соответствии с прежним законом одинокие женщины и женщины, состоявшие в браке с негражданами страны, были лишены права передавать гражданство своим детям, родившимся за границей. В силу нового закона (1976 года) ребенок, который родился за границей, может приобрести гражданство при рождении, если один из родителей является гражданином, иначе чем в силу происхождения. Более того, одинокая женщина может передать своему ребенку, родившемуся за границей, свое гражданство. Законом также устанавливаются некоторые обстоятельства, в соответствии с которыми ребенок, родившийся за границей, может быть зарегистрирован в качестве гражданина Тринидада и Тобаго по усмотрению министра национальной безопасности после рассмотрения им ходатайства, поданного ответственным за ребенка родителем или опекуном. "Ответственный родитель" определяется в соответствии с этим законом как отец или только мать, если отец ребенка не установлен, если отец умер или если мать получает опекунство над ребенком по решению суда. Закон, действовавший до 1976 года, лишал женщин каких-либо прав в этом отношении.</w:t>
      </w:r>
    </w:p>
    <w:p w:rsidR="00000000" w:rsidRDefault="00000000">
      <w:pPr>
        <w:spacing w:after="160"/>
      </w:pPr>
      <w:r>
        <w:t>204.</w:t>
      </w:r>
      <w:r>
        <w:tab/>
        <w:t>Несмотря на общее юридическое признание того факта, что гражданство может быть приобретено благодаря гражданству одного из родителей, остается один не согласующийся с этим принципом вопрос, который касается усыновления ребенка, родившегося за границей. Пункт 6 закона о гражданстве, глава 1:50, предусматривает, что в том случае, когда приемный родитель – одинокий усыновитель, ребенок автоматически приобретает гражданство приемного родителя. Однако, когда приемных родителей двое, ребенок приобретает гражданство, только если приемный отец является гражданином страны.</w:t>
      </w:r>
    </w:p>
    <w:p w:rsidR="00000000" w:rsidRDefault="00000000">
      <w:r>
        <w:t>205.</w:t>
      </w:r>
      <w:r>
        <w:tab/>
        <w:t>Несовершеннолетние дети не могут путешествовать по паспорту кого-либо из своих родителей. С этой практикой покончено, так как теперь дети имеют право на получение паспорта при рождении.</w:t>
      </w:r>
    </w:p>
    <w:p w:rsidR="00000000" w:rsidRDefault="00000000">
      <w:r>
        <w:t>206.</w:t>
      </w:r>
      <w:r>
        <w:tab/>
        <w:t xml:space="preserve">До недавнего времени то или иное лицо должно было отказаться от прежнего гражданства, прежде чем стать гражданином Тринидада и Тобаго путем регистрации или натурализации. В соответствии с законом № 63 2000 года, который является "законом для внесения изменений в Закон о гражданстве Республики Тринидад и Тобаго", все граждане отныне могут иметь двойное гражданство. Это относится в равной степени как к мужчинам, так и женщинам. </w:t>
      </w:r>
    </w:p>
    <w:p w:rsidR="00000000" w:rsidRDefault="00000000">
      <w:r>
        <w:t>207.</w:t>
      </w:r>
      <w:r>
        <w:tab/>
        <w:t xml:space="preserve">Состоящая в браке женщина теперь не нуждается в разрешении мужа на получение паспорта в Тринидаде и Тобаго. </w:t>
      </w:r>
    </w:p>
    <w:p w:rsidR="00000000" w:rsidRDefault="00000000">
      <w:pPr>
        <w:pStyle w:val="Heading3"/>
      </w:pPr>
      <w:r>
        <w:t>Статья 10</w:t>
      </w:r>
    </w:p>
    <w:p w:rsidR="00000000" w:rsidRDefault="00000000">
      <w:r>
        <w:t>208.</w:t>
      </w:r>
      <w:r>
        <w:tab/>
        <w:t xml:space="preserve">Право на образование в Конституции не закреплено. Однако оно признается и защищается законом об образовании, главой 39:01 которого предусматривается содействие развитию образования в Тринидаде и Тобаго. Разделом 6 (1) этого закона предусматривается создание системы государственного образования, которая включает начальное образование (полное образование, соответствующее потребностям учеников младшего возраста), среднее образование (полное образование, соответствующее потребностям учеников старшего возраста до 20 лет) и дальнейшее образование (состоящее из полного образования помимо или в дополнение к среднему образованию, неполного образования или организованного проведения досуга и подготовки учащихся в центрах культуры или рекреационных мероприятий для школьников, достигших </w:t>
      </w:r>
      <w:r>
        <w:br/>
        <w:t>15-летнего возраста). Пользующиеся государственной поддержкой школы – это прежде всего школы с раздельным обучением мальчиков и девочек. В таких школах преподаются все основные учебные дисциплины, и различия в учебных планах касаются только "неакадемических" предметов. Наличие в программе неакадемических дисциплин в значительной степени определяется полом учащихся, посещающих конкретную школу. Например, обработке дерева не обучают в женских государственных школах, равно как и кулинарное дело не преподается в мужских государственных школах. Нехватка ресурсов и учителей не позволяет преподавать эти типы предметов как мальчикам, так и девочкам, что фактически является огромным препятствием для составления учебного плана с учетом гендерного фактора. Министерство образования провело обзор учебных планов начальных школ в стране с точки зрения их гендерной ориентированности. По результатам проверки был составлен доклад, представленный Кабинету министров. В настоящее время разрабатываются механизмы по проверке учебного плана средней школы.</w:t>
      </w:r>
    </w:p>
    <w:p w:rsidR="00000000" w:rsidRDefault="00000000">
      <w:r>
        <w:t>209.</w:t>
      </w:r>
      <w:r>
        <w:tab/>
        <w:t>В государственных средних школах существует широкий выбор предметов профессионального обучения, при этом степень свободы, с которой мальчики и девочки осуществляют свой выбор в этом вопросе, в значительной степени определяется директором школы. Были отмечены случаи, когда директора школ запрещали мальчикам изучать традиционно женские предметы, и наоборот.</w:t>
      </w:r>
    </w:p>
    <w:p w:rsidR="00000000" w:rsidRDefault="00000000">
      <w:r>
        <w:t>210.</w:t>
      </w:r>
      <w:r>
        <w:tab/>
        <w:t>Что касается возможностей для получения образования и доступа к нему, то Министерство образования, которое отвечает за общее руководство системой образования в стране, проводит официально утвержденную политику отказа от дискриминации при приеме учащихся в школы, включая установленную политику по предоставлению всем учащимся равной возможности сдавать письменные приемные экзамены в качестве единственного критерия, подлежащего рассмотрению при приеме в среднюю школу. Таким образом, средняя школа доступна в равной степени как мальчикам, так и девочкам.</w:t>
      </w:r>
    </w:p>
    <w:p w:rsidR="00000000" w:rsidRDefault="00000000">
      <w:r>
        <w:t>211.</w:t>
      </w:r>
      <w:r>
        <w:tab/>
        <w:t>В сравнении с мужчинами/мальчиками женщины/девочки имеют равный с ними доступ к сдаче одних и тех же экзаменов, к зачислению в штат учителей, имеющих подготовку одного и того же уровня, и возможность пользоваться школьными помещениями и оборудованием одинакового качества. В этом отношении не делается никакого различия между мальчиками и девочками.</w:t>
      </w:r>
    </w:p>
    <w:p w:rsidR="00000000" w:rsidRDefault="00000000">
      <w:r>
        <w:t>212.</w:t>
      </w:r>
      <w:r>
        <w:tab/>
        <w:t xml:space="preserve">Обязательное образование гарантируется частью </w:t>
      </w:r>
      <w:r>
        <w:rPr>
          <w:lang w:val="en-US"/>
        </w:rPr>
        <w:t>III</w:t>
      </w:r>
      <w:r>
        <w:t xml:space="preserve"> закона об образовании, глава 39:01. Согласно статье 77 этого закона</w:t>
      </w:r>
    </w:p>
    <w:p w:rsidR="00000000" w:rsidRDefault="00000000">
      <w:pPr>
        <w:tabs>
          <w:tab w:val="clear" w:pos="340"/>
        </w:tabs>
        <w:ind w:left="680" w:right="680" w:hanging="680"/>
      </w:pPr>
      <w:r>
        <w:tab/>
      </w:r>
      <w:r>
        <w:rPr>
          <w:i/>
        </w:rPr>
        <w:t>долг родителя, имеющего ребенка в возрасте, обязательном для школьного обучения, заключается в необходимости заставить его получить полное эффективное образование, соответствующее его возрасту, способностям и склонностям, путем регулярного посещения школы</w:t>
      </w:r>
      <w:r>
        <w:t>.</w:t>
      </w:r>
    </w:p>
    <w:p w:rsidR="00000000" w:rsidRDefault="00000000">
      <w:r>
        <w:t>В статье 76 этого закона "возраст, обязательный для школьного обучения", определяется как возраст между шестью и двенадцатью годами, и на практике он охватывает возраст, необходимый для завершения начального образования.</w:t>
      </w:r>
    </w:p>
    <w:p w:rsidR="00000000" w:rsidRDefault="00000000">
      <w:r>
        <w:t>213.</w:t>
      </w:r>
      <w:r>
        <w:tab/>
        <w:t xml:space="preserve">Недавно правительство создало целевую группу для проведения обзора учебного плана начальных школ, которая руководствуется в своей деятельности инструкциями, согласованными на Форуме КАРИКОМ по вопросам образования карибского гражданского сообщества </w:t>
      </w:r>
      <w:r>
        <w:rPr>
          <w:lang w:val="en-US"/>
        </w:rPr>
        <w:t>XXI</w:t>
      </w:r>
      <w:r>
        <w:t xml:space="preserve"> века. В докладе этой целевой группы говорится о необходимости составить в перспективе гендерно ориентированный учебный план, а на практике обеспечить полное и справедливое развитие и участие в образовании как мальчиков, так и девочек. </w:t>
      </w:r>
    </w:p>
    <w:p w:rsidR="00000000" w:rsidRDefault="00000000">
      <w:r>
        <w:t>214.</w:t>
      </w:r>
      <w:r>
        <w:tab/>
        <w:t>В 2000 году правительственная политика в области образования заключалась в том, что государство должно гарантировать всем бесплатное среднее образование. Правительство в этих целях недавно сосредоточило свои усилия на расширении и совершенствовании доступа к возможностям получения образования на всех уровнях путем:</w:t>
      </w:r>
    </w:p>
    <w:p w:rsidR="00000000" w:rsidRDefault="00000000">
      <w:pPr>
        <w:numPr>
          <w:ilvl w:val="0"/>
          <w:numId w:val="507"/>
        </w:numPr>
        <w:spacing w:after="0"/>
      </w:pPr>
      <w:r>
        <w:rPr>
          <w:b/>
        </w:rPr>
        <w:t>продолжающейся децентрализации деятельности Министерства образования</w:t>
      </w:r>
    </w:p>
    <w:p w:rsidR="00000000" w:rsidRDefault="00000000">
      <w:pPr>
        <w:tabs>
          <w:tab w:val="clear" w:pos="340"/>
        </w:tabs>
        <w:ind w:left="680" w:hanging="680"/>
      </w:pPr>
      <w:r>
        <w:rPr>
          <w:lang w:val="en-US"/>
        </w:rPr>
        <w:tab/>
      </w:r>
      <w:r>
        <w:t>Это позволит перенести руководство школьной системой на общинный уровень, увеличивая таким образом гибкость при принятии решений, что позволит более подходящими способами удовлетворять запросы общины.</w:t>
      </w:r>
    </w:p>
    <w:p w:rsidR="00000000" w:rsidRDefault="00000000">
      <w:pPr>
        <w:numPr>
          <w:ilvl w:val="0"/>
          <w:numId w:val="508"/>
        </w:numPr>
        <w:spacing w:after="0"/>
      </w:pPr>
      <w:r>
        <w:rPr>
          <w:b/>
        </w:rPr>
        <w:t xml:space="preserve">увеличения числа имеющихся школьных мест </w:t>
      </w:r>
    </w:p>
    <w:p w:rsidR="00000000" w:rsidRDefault="00000000">
      <w:pPr>
        <w:tabs>
          <w:tab w:val="clear" w:pos="340"/>
        </w:tabs>
        <w:ind w:left="680" w:hanging="680"/>
      </w:pPr>
      <w:r>
        <w:rPr>
          <w:lang w:val="en-US"/>
        </w:rPr>
        <w:tab/>
      </w:r>
      <w:r>
        <w:t>Это предоставит девочкам более широкие возможности для получения образования. От этого выиграют также женщины, которые обеспечивают основной уход и являются главными кормильцами, поскольку им больше не придется нести финансовые расходы по оплате образования ребенка, а также присматривать за ребенком дома или платить за педиатрическую помощь (когда финансовое положение не позволяет платить за образование).</w:t>
      </w:r>
    </w:p>
    <w:p w:rsidR="00000000" w:rsidRDefault="00000000">
      <w:pPr>
        <w:numPr>
          <w:ilvl w:val="0"/>
          <w:numId w:val="509"/>
        </w:numPr>
        <w:spacing w:after="0"/>
      </w:pPr>
      <w:r>
        <w:rPr>
          <w:b/>
        </w:rPr>
        <w:t>создания 31 центра непрерывного образования по обучению взрослых</w:t>
      </w:r>
    </w:p>
    <w:p w:rsidR="00000000" w:rsidRDefault="00000000">
      <w:pPr>
        <w:tabs>
          <w:tab w:val="clear" w:pos="340"/>
        </w:tabs>
        <w:ind w:left="680" w:hanging="680"/>
        <w:rPr>
          <w:lang w:val="en-US"/>
        </w:rPr>
      </w:pPr>
      <w:r>
        <w:rPr>
          <w:lang w:val="en-US"/>
        </w:rPr>
        <w:tab/>
      </w:r>
      <w:r>
        <w:t xml:space="preserve">Это повысит грамотность женщин и укрепит их потенциал в том, что касается экономически целесообразной производительности труда. </w:t>
      </w:r>
    </w:p>
    <w:p w:rsidR="00000000" w:rsidRDefault="00000000">
      <w:pPr>
        <w:numPr>
          <w:ilvl w:val="0"/>
          <w:numId w:val="528"/>
        </w:numPr>
        <w:spacing w:after="0"/>
        <w:rPr>
          <w:b/>
        </w:rPr>
      </w:pPr>
      <w:r>
        <w:rPr>
          <w:b/>
        </w:rPr>
        <w:t>расширения услуг по поддержке учащихся</w:t>
      </w:r>
    </w:p>
    <w:p w:rsidR="00000000" w:rsidRDefault="00000000">
      <w:pPr>
        <w:tabs>
          <w:tab w:val="clear" w:pos="340"/>
        </w:tabs>
        <w:ind w:left="680" w:hanging="680"/>
      </w:pPr>
      <w:r>
        <w:rPr>
          <w:lang w:val="en-US"/>
        </w:rPr>
        <w:tab/>
      </w:r>
      <w:r>
        <w:t>Это расширит возможности участия женщин в экономике и других секторах.</w:t>
      </w:r>
    </w:p>
    <w:p w:rsidR="00000000" w:rsidRDefault="00000000">
      <w:pPr>
        <w:spacing w:after="0"/>
        <w:ind w:left="680" w:hanging="680"/>
      </w:pPr>
      <w:r>
        <w:t>215.</w:t>
      </w:r>
      <w:r>
        <w:tab/>
      </w:r>
      <w:r>
        <w:rPr>
          <w:b/>
        </w:rPr>
        <w:t>Число учащихся в государственных и получающих государственную помощь школах с разбивкой по уровню образования (Тринидад, 1991–2000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1191"/>
        <w:gridCol w:w="1191"/>
        <w:gridCol w:w="1247"/>
        <w:gridCol w:w="1191"/>
        <w:gridCol w:w="1191"/>
        <w:gridCol w:w="1247"/>
      </w:tblGrid>
      <w:tr w:rsidR="00000000">
        <w:tblPrEx>
          <w:tblCellMar>
            <w:top w:w="0" w:type="dxa"/>
            <w:bottom w:w="0" w:type="dxa"/>
          </w:tblCellMar>
        </w:tblPrEx>
        <w:trPr>
          <w:cantSplit/>
        </w:trPr>
        <w:tc>
          <w:tcPr>
            <w:tcW w:w="1701" w:type="dxa"/>
            <w:vMerge w:val="restart"/>
          </w:tcPr>
          <w:p w:rsidR="00000000" w:rsidRDefault="00000000">
            <w:pPr>
              <w:spacing w:before="60" w:after="20" w:line="240" w:lineRule="auto"/>
              <w:jc w:val="center"/>
              <w:rPr>
                <w:rFonts w:ascii="Arial" w:hAnsi="Arial"/>
                <w:b/>
                <w:sz w:val="16"/>
              </w:rPr>
            </w:pPr>
            <w:r>
              <w:rPr>
                <w:rFonts w:ascii="Arial" w:hAnsi="Arial"/>
                <w:b/>
                <w:sz w:val="16"/>
              </w:rPr>
              <w:t>УЧЕБНЫЙ ГОД</w:t>
            </w:r>
          </w:p>
        </w:tc>
        <w:tc>
          <w:tcPr>
            <w:tcW w:w="3629" w:type="dxa"/>
            <w:gridSpan w:val="3"/>
          </w:tcPr>
          <w:p w:rsidR="00000000" w:rsidRDefault="00000000">
            <w:pPr>
              <w:spacing w:before="60" w:after="20" w:line="240" w:lineRule="auto"/>
              <w:jc w:val="center"/>
              <w:rPr>
                <w:rFonts w:ascii="Arial" w:hAnsi="Arial"/>
                <w:b/>
                <w:sz w:val="16"/>
              </w:rPr>
            </w:pPr>
            <w:r>
              <w:rPr>
                <w:rFonts w:ascii="Arial" w:hAnsi="Arial"/>
                <w:b/>
                <w:sz w:val="16"/>
              </w:rPr>
              <w:t>НАЧАЛЬНАЯ ШКОЛА</w:t>
            </w:r>
          </w:p>
        </w:tc>
        <w:tc>
          <w:tcPr>
            <w:tcW w:w="3629" w:type="dxa"/>
            <w:gridSpan w:val="3"/>
          </w:tcPr>
          <w:p w:rsidR="00000000" w:rsidRDefault="00000000">
            <w:pPr>
              <w:spacing w:before="60" w:after="20" w:line="240" w:lineRule="auto"/>
              <w:jc w:val="center"/>
              <w:rPr>
                <w:rFonts w:ascii="Arial" w:hAnsi="Arial"/>
                <w:b/>
                <w:sz w:val="16"/>
              </w:rPr>
            </w:pPr>
            <w:r>
              <w:rPr>
                <w:rFonts w:ascii="Arial" w:hAnsi="Arial"/>
                <w:b/>
                <w:sz w:val="16"/>
              </w:rPr>
              <w:t>СРЕДНЯЯ ШКОЛА</w:t>
            </w:r>
          </w:p>
        </w:tc>
      </w:tr>
      <w:tr w:rsidR="00000000">
        <w:tblPrEx>
          <w:tblCellMar>
            <w:top w:w="0" w:type="dxa"/>
            <w:bottom w:w="0" w:type="dxa"/>
          </w:tblCellMar>
        </w:tblPrEx>
        <w:trPr>
          <w:cantSplit/>
        </w:trPr>
        <w:tc>
          <w:tcPr>
            <w:tcW w:w="1701" w:type="dxa"/>
            <w:vMerge/>
          </w:tcPr>
          <w:p w:rsidR="00000000" w:rsidRDefault="00000000">
            <w:pPr>
              <w:spacing w:before="60" w:after="20" w:line="240" w:lineRule="auto"/>
              <w:jc w:val="center"/>
              <w:rPr>
                <w:rFonts w:ascii="Arial" w:hAnsi="Arial"/>
                <w:b/>
                <w:sz w:val="16"/>
              </w:rPr>
            </w:pPr>
          </w:p>
        </w:tc>
        <w:tc>
          <w:tcPr>
            <w:tcW w:w="1191" w:type="dxa"/>
          </w:tcPr>
          <w:p w:rsidR="00000000" w:rsidRDefault="00000000">
            <w:pPr>
              <w:spacing w:before="60" w:after="20" w:line="240" w:lineRule="auto"/>
              <w:jc w:val="center"/>
              <w:rPr>
                <w:rFonts w:ascii="Arial" w:hAnsi="Arial"/>
                <w:b/>
                <w:sz w:val="16"/>
              </w:rPr>
            </w:pPr>
            <w:r>
              <w:rPr>
                <w:rFonts w:ascii="Arial" w:hAnsi="Arial"/>
                <w:b/>
                <w:sz w:val="16"/>
              </w:rPr>
              <w:t>МУЖЧИНЫ</w:t>
            </w:r>
          </w:p>
        </w:tc>
        <w:tc>
          <w:tcPr>
            <w:tcW w:w="1191" w:type="dxa"/>
          </w:tcPr>
          <w:p w:rsidR="00000000" w:rsidRDefault="00000000">
            <w:pPr>
              <w:spacing w:before="60" w:after="20" w:line="240" w:lineRule="auto"/>
              <w:jc w:val="center"/>
              <w:rPr>
                <w:rFonts w:ascii="Arial" w:hAnsi="Arial"/>
                <w:b/>
                <w:sz w:val="16"/>
              </w:rPr>
            </w:pPr>
            <w:r>
              <w:rPr>
                <w:rFonts w:ascii="Arial" w:hAnsi="Arial"/>
                <w:b/>
                <w:sz w:val="16"/>
              </w:rPr>
              <w:t>ЖЕНЩИНЫ</w:t>
            </w:r>
          </w:p>
        </w:tc>
        <w:tc>
          <w:tcPr>
            <w:tcW w:w="1247" w:type="dxa"/>
          </w:tcPr>
          <w:p w:rsidR="00000000" w:rsidRDefault="00000000">
            <w:pPr>
              <w:spacing w:before="60" w:after="20" w:line="240" w:lineRule="auto"/>
              <w:jc w:val="center"/>
              <w:rPr>
                <w:rFonts w:ascii="Arial" w:hAnsi="Arial"/>
                <w:b/>
                <w:sz w:val="16"/>
              </w:rPr>
            </w:pPr>
            <w:r>
              <w:rPr>
                <w:rFonts w:ascii="Arial" w:hAnsi="Arial"/>
                <w:b/>
                <w:sz w:val="16"/>
              </w:rPr>
              <w:t>ВСЕГО</w:t>
            </w:r>
          </w:p>
        </w:tc>
        <w:tc>
          <w:tcPr>
            <w:tcW w:w="1191" w:type="dxa"/>
          </w:tcPr>
          <w:p w:rsidR="00000000" w:rsidRDefault="00000000">
            <w:pPr>
              <w:spacing w:before="60" w:after="20" w:line="240" w:lineRule="auto"/>
              <w:jc w:val="center"/>
              <w:rPr>
                <w:rFonts w:ascii="Arial" w:hAnsi="Arial"/>
                <w:b/>
                <w:sz w:val="16"/>
              </w:rPr>
            </w:pPr>
            <w:r>
              <w:rPr>
                <w:rFonts w:ascii="Arial" w:hAnsi="Arial"/>
                <w:b/>
                <w:sz w:val="16"/>
              </w:rPr>
              <w:t>МУЖЧИНЫ</w:t>
            </w:r>
          </w:p>
        </w:tc>
        <w:tc>
          <w:tcPr>
            <w:tcW w:w="1191" w:type="dxa"/>
          </w:tcPr>
          <w:p w:rsidR="00000000" w:rsidRDefault="00000000">
            <w:pPr>
              <w:spacing w:before="60" w:after="20" w:line="240" w:lineRule="auto"/>
              <w:jc w:val="center"/>
              <w:rPr>
                <w:rFonts w:ascii="Arial" w:hAnsi="Arial"/>
                <w:b/>
                <w:sz w:val="16"/>
              </w:rPr>
            </w:pPr>
            <w:r>
              <w:rPr>
                <w:rFonts w:ascii="Arial" w:hAnsi="Arial"/>
                <w:b/>
                <w:sz w:val="16"/>
              </w:rPr>
              <w:t>ЖЕНЩИНЫ</w:t>
            </w:r>
          </w:p>
        </w:tc>
        <w:tc>
          <w:tcPr>
            <w:tcW w:w="1247" w:type="dxa"/>
          </w:tcPr>
          <w:p w:rsidR="00000000" w:rsidRDefault="00000000">
            <w:pPr>
              <w:spacing w:before="60" w:after="20" w:line="240" w:lineRule="auto"/>
              <w:jc w:val="center"/>
              <w:rPr>
                <w:rFonts w:ascii="Arial" w:hAnsi="Arial"/>
                <w:b/>
                <w:sz w:val="16"/>
              </w:rPr>
            </w:pPr>
            <w:r>
              <w:rPr>
                <w:rFonts w:ascii="Arial" w:hAnsi="Arial"/>
                <w:b/>
                <w:sz w:val="16"/>
              </w:rPr>
              <w:t>ВСЕГО</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 xml:space="preserve">1991/92 </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15 156</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15 741</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30 897</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48 571</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48 590</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97 161</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1992/93</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15 824</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16 115</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31 939</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49 416</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50 174</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99 590</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1993/94</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15 356</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16 059</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31 415</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49 686</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50 923</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100 609</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1994/95</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14 367</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15 096</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29 463</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49 659</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51 017</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100 676</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1995/96</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14 570</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15 085</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29 655</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50 612</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52 404</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103 016</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1996/97</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14 111</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14 849</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28 960</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51 096</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53 253</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104 349</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1997/98</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14 139</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14 370</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28 509</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51 931</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54 119</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106 050</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1998/99</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14 212</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14 586</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28 798</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51 740</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54 050</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105 790</w:t>
            </w:r>
          </w:p>
        </w:tc>
      </w:tr>
      <w:tr w:rsidR="00000000">
        <w:tblPrEx>
          <w:tblCellMar>
            <w:top w:w="0" w:type="dxa"/>
            <w:bottom w:w="0" w:type="dxa"/>
          </w:tblCellMar>
        </w:tblPrEx>
        <w:trPr>
          <w:cantSplit/>
        </w:trPr>
        <w:tc>
          <w:tcPr>
            <w:tcW w:w="1701" w:type="dxa"/>
          </w:tcPr>
          <w:p w:rsidR="00000000" w:rsidRDefault="00000000">
            <w:pPr>
              <w:spacing w:before="40" w:after="40" w:line="240" w:lineRule="auto"/>
              <w:rPr>
                <w:rFonts w:ascii="Arial" w:hAnsi="Arial"/>
                <w:sz w:val="16"/>
              </w:rPr>
            </w:pPr>
            <w:r>
              <w:rPr>
                <w:rFonts w:ascii="Arial" w:hAnsi="Arial"/>
                <w:sz w:val="16"/>
              </w:rPr>
              <w:t>1999/2000</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14 354</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14 686</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29 040</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51 461</w:t>
            </w:r>
          </w:p>
        </w:tc>
        <w:tc>
          <w:tcPr>
            <w:tcW w:w="1191"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54 048</w:t>
            </w:r>
          </w:p>
        </w:tc>
        <w:tc>
          <w:tcPr>
            <w:tcW w:w="1247" w:type="dxa"/>
          </w:tcPr>
          <w:p w:rsidR="00000000" w:rsidRDefault="00000000">
            <w:pPr>
              <w:tabs>
                <w:tab w:val="clear" w:pos="340"/>
                <w:tab w:val="clear" w:pos="680"/>
                <w:tab w:val="decimal" w:pos="851"/>
              </w:tabs>
              <w:spacing w:before="40" w:after="40" w:line="240" w:lineRule="auto"/>
              <w:rPr>
                <w:rFonts w:ascii="Arial" w:hAnsi="Arial"/>
                <w:sz w:val="16"/>
              </w:rPr>
            </w:pPr>
            <w:r>
              <w:rPr>
                <w:rFonts w:ascii="Arial" w:hAnsi="Arial"/>
                <w:sz w:val="16"/>
              </w:rPr>
              <w:t>105 509</w:t>
            </w:r>
          </w:p>
        </w:tc>
      </w:tr>
    </w:tbl>
    <w:p w:rsidR="00000000" w:rsidRDefault="00000000">
      <w:r>
        <w:t>216.</w:t>
      </w:r>
      <w:r>
        <w:tab/>
        <w:t xml:space="preserve">Что касается высшего образования, то каждый может поступить в высшее учебное заведение при условии, что он удовлетворяет необходимым академическим критериям. Число мест в Вест-Индском университете (Сент-Огастин) ограничено, поэтому прием осуществляется на конкурсной основе. Что касается расходов, то студент вносит определенную сумму за обучение по всем программам, по которым ведутся занятия в Вест-Индском университете, за исключением программ получения диплома об образовании и степени бакалавра в области образования. В зависимости от программы стоимость обучения студента, готовящегося к получению ученой степени бакалавра и занимающегося по полной программе, варьируется от 10 400 до 74 115 долл. ТТ в год. Стоимость обучения по медицинской программе составляет 74 115 долл. ТТ, половину которых вносит, как правило, правительство страны. Стоимость обучения студента, готовящегося к получению ученой степени бакалавра и занимающегося по неполной программе, составляет половину платы, взимаемой за обучение по программам, для изучения которых требуется посещение всех занятий </w:t>
      </w:r>
    </w:p>
    <w:p w:rsidR="00000000" w:rsidRDefault="00000000">
      <w:r>
        <w:t>217.</w:t>
      </w:r>
      <w:r>
        <w:tab/>
        <w:t xml:space="preserve">Обзор процентного распределения выпускников и выпускниц Вест-Индского университета с разбивкой по первой ученой степени 1997 года показал, что успеваемость женщин выше, чем мужчин, по всем дисциплинам, за исключением медицины и машиностроения. Доля женщин, изучающих эти две дисциплины, составляет всего 20 процентов. Однако доля женщин остается преобладающей при изучении ограниченного числа областей знания – хотя отмечается устойчивый рост численности женщин, занятых нетрадиционной для них профессиональной деятельностью, – овладение которыми, как представляется, подготавливает их для работы и трудоустройства на менее привлекательных или же низкооплачиваемых должностях, требующих более низкой квалификации. </w:t>
      </w:r>
    </w:p>
    <w:p w:rsidR="00000000" w:rsidRDefault="00000000">
      <w:pPr>
        <w:spacing w:after="0"/>
      </w:pPr>
      <w:r>
        <w:t>218.</w:t>
      </w:r>
      <w:r>
        <w:tab/>
      </w:r>
      <w:r>
        <w:rPr>
          <w:b/>
        </w:rPr>
        <w:t>Число студентов в Вест-Индском университете, кампус Сент-Огастин (1996/97 учебный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1077"/>
        <w:gridCol w:w="1077"/>
        <w:gridCol w:w="1077"/>
        <w:gridCol w:w="1077"/>
        <w:gridCol w:w="1077"/>
        <w:gridCol w:w="1077"/>
      </w:tblGrid>
      <w:tr w:rsidR="00000000">
        <w:tblPrEx>
          <w:tblCellMar>
            <w:top w:w="0" w:type="dxa"/>
            <w:bottom w:w="0" w:type="dxa"/>
          </w:tblCellMar>
        </w:tblPrEx>
        <w:trPr>
          <w:cantSplit/>
        </w:trPr>
        <w:tc>
          <w:tcPr>
            <w:tcW w:w="2552" w:type="dxa"/>
            <w:vMerge w:val="restart"/>
          </w:tcPr>
          <w:p w:rsidR="00000000" w:rsidRDefault="00000000">
            <w:pPr>
              <w:spacing w:before="60" w:after="20" w:line="240" w:lineRule="auto"/>
              <w:jc w:val="center"/>
              <w:rPr>
                <w:rFonts w:ascii="Arial" w:hAnsi="Arial"/>
                <w:sz w:val="16"/>
              </w:rPr>
            </w:pPr>
            <w:r>
              <w:rPr>
                <w:rFonts w:ascii="Arial" w:hAnsi="Arial"/>
                <w:sz w:val="16"/>
              </w:rPr>
              <w:t>Ученая степень</w:t>
            </w:r>
          </w:p>
        </w:tc>
        <w:tc>
          <w:tcPr>
            <w:tcW w:w="3231" w:type="dxa"/>
            <w:gridSpan w:val="3"/>
          </w:tcPr>
          <w:p w:rsidR="00000000" w:rsidRDefault="00000000">
            <w:pPr>
              <w:spacing w:before="60" w:after="20" w:line="240" w:lineRule="auto"/>
              <w:jc w:val="center"/>
              <w:rPr>
                <w:rFonts w:ascii="Arial" w:hAnsi="Arial"/>
                <w:sz w:val="16"/>
              </w:rPr>
            </w:pPr>
            <w:r>
              <w:rPr>
                <w:rFonts w:ascii="Arial" w:hAnsi="Arial"/>
                <w:sz w:val="16"/>
              </w:rPr>
              <w:t>Полная программа</w:t>
            </w:r>
          </w:p>
        </w:tc>
        <w:tc>
          <w:tcPr>
            <w:tcW w:w="3231" w:type="dxa"/>
            <w:gridSpan w:val="3"/>
          </w:tcPr>
          <w:p w:rsidR="00000000" w:rsidRDefault="00000000">
            <w:pPr>
              <w:spacing w:before="60" w:after="20" w:line="240" w:lineRule="auto"/>
              <w:jc w:val="center"/>
              <w:rPr>
                <w:rFonts w:ascii="Arial" w:hAnsi="Arial"/>
                <w:sz w:val="16"/>
              </w:rPr>
            </w:pPr>
            <w:r>
              <w:rPr>
                <w:rFonts w:ascii="Arial" w:hAnsi="Arial"/>
                <w:sz w:val="16"/>
              </w:rPr>
              <w:t>Неполная программа</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center"/>
              <w:rPr>
                <w:rFonts w:ascii="Arial" w:hAnsi="Arial"/>
                <w:sz w:val="16"/>
              </w:rPr>
            </w:pPr>
          </w:p>
        </w:tc>
        <w:tc>
          <w:tcPr>
            <w:tcW w:w="1077"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всего</w:t>
            </w:r>
          </w:p>
        </w:tc>
        <w:tc>
          <w:tcPr>
            <w:tcW w:w="1077"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всего</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Бакалавр</w:t>
            </w:r>
          </w:p>
        </w:tc>
        <w:tc>
          <w:tcPr>
            <w:tcW w:w="1077" w:type="dxa"/>
          </w:tcPr>
          <w:p w:rsidR="00000000" w:rsidRDefault="00000000">
            <w:pPr>
              <w:spacing w:before="40" w:after="40" w:line="240" w:lineRule="auto"/>
              <w:jc w:val="center"/>
              <w:rPr>
                <w:rFonts w:ascii="Arial" w:hAnsi="Arial"/>
                <w:sz w:val="16"/>
              </w:rPr>
            </w:pPr>
            <w:r>
              <w:rPr>
                <w:rFonts w:ascii="Arial" w:hAnsi="Arial"/>
                <w:sz w:val="16"/>
              </w:rPr>
              <w:t>1778</w:t>
            </w:r>
            <w:r>
              <w:rPr>
                <w:rFonts w:ascii="Arial" w:hAnsi="Arial"/>
                <w:sz w:val="16"/>
              </w:rPr>
              <w:br/>
              <w:t>(47,0%)</w:t>
            </w:r>
          </w:p>
        </w:tc>
        <w:tc>
          <w:tcPr>
            <w:tcW w:w="1077" w:type="dxa"/>
          </w:tcPr>
          <w:p w:rsidR="00000000" w:rsidRDefault="00000000">
            <w:pPr>
              <w:spacing w:before="40" w:after="40" w:line="240" w:lineRule="auto"/>
              <w:jc w:val="center"/>
              <w:rPr>
                <w:rFonts w:ascii="Arial" w:hAnsi="Arial"/>
                <w:sz w:val="16"/>
              </w:rPr>
            </w:pPr>
            <w:r>
              <w:rPr>
                <w:rFonts w:ascii="Arial" w:hAnsi="Arial"/>
                <w:sz w:val="16"/>
              </w:rPr>
              <w:t>2003</w:t>
            </w:r>
            <w:r>
              <w:rPr>
                <w:rFonts w:ascii="Arial" w:hAnsi="Arial"/>
                <w:sz w:val="16"/>
              </w:rPr>
              <w:br/>
              <w:t>(52,9%)</w:t>
            </w:r>
          </w:p>
        </w:tc>
        <w:tc>
          <w:tcPr>
            <w:tcW w:w="1077" w:type="dxa"/>
          </w:tcPr>
          <w:p w:rsidR="00000000" w:rsidRDefault="00000000">
            <w:pPr>
              <w:spacing w:before="40" w:after="40" w:line="240" w:lineRule="auto"/>
              <w:jc w:val="center"/>
              <w:rPr>
                <w:rFonts w:ascii="Arial" w:hAnsi="Arial"/>
                <w:sz w:val="16"/>
              </w:rPr>
            </w:pPr>
            <w:r>
              <w:rPr>
                <w:rFonts w:ascii="Arial" w:hAnsi="Arial"/>
                <w:sz w:val="16"/>
              </w:rPr>
              <w:t>3781</w:t>
            </w:r>
          </w:p>
        </w:tc>
        <w:tc>
          <w:tcPr>
            <w:tcW w:w="1077" w:type="dxa"/>
          </w:tcPr>
          <w:p w:rsidR="00000000" w:rsidRDefault="00000000">
            <w:pPr>
              <w:spacing w:before="40" w:after="40" w:line="240" w:lineRule="auto"/>
              <w:jc w:val="center"/>
              <w:rPr>
                <w:rFonts w:ascii="Arial" w:hAnsi="Arial"/>
                <w:sz w:val="16"/>
              </w:rPr>
            </w:pPr>
            <w:r>
              <w:rPr>
                <w:rFonts w:ascii="Arial" w:hAnsi="Arial"/>
                <w:sz w:val="16"/>
              </w:rPr>
              <w:t>135</w:t>
            </w:r>
            <w:r>
              <w:rPr>
                <w:rFonts w:ascii="Arial" w:hAnsi="Arial"/>
                <w:sz w:val="16"/>
              </w:rPr>
              <w:br/>
              <w:t>(31,3%)</w:t>
            </w:r>
          </w:p>
        </w:tc>
        <w:tc>
          <w:tcPr>
            <w:tcW w:w="1077" w:type="dxa"/>
          </w:tcPr>
          <w:p w:rsidR="00000000" w:rsidRDefault="00000000">
            <w:pPr>
              <w:spacing w:before="40" w:after="40" w:line="240" w:lineRule="auto"/>
              <w:jc w:val="center"/>
              <w:rPr>
                <w:rFonts w:ascii="Arial" w:hAnsi="Arial"/>
                <w:sz w:val="16"/>
              </w:rPr>
            </w:pPr>
            <w:r>
              <w:rPr>
                <w:rFonts w:ascii="Arial" w:hAnsi="Arial"/>
                <w:sz w:val="16"/>
              </w:rPr>
              <w:t>297</w:t>
            </w:r>
            <w:r>
              <w:rPr>
                <w:rFonts w:ascii="Arial" w:hAnsi="Arial"/>
                <w:sz w:val="16"/>
              </w:rPr>
              <w:br/>
              <w:t>(68,8%)</w:t>
            </w:r>
          </w:p>
        </w:tc>
        <w:tc>
          <w:tcPr>
            <w:tcW w:w="1077" w:type="dxa"/>
          </w:tcPr>
          <w:p w:rsidR="00000000" w:rsidRDefault="00000000">
            <w:pPr>
              <w:spacing w:before="40" w:after="40" w:line="240" w:lineRule="auto"/>
              <w:jc w:val="center"/>
              <w:rPr>
                <w:rFonts w:ascii="Arial" w:hAnsi="Arial"/>
                <w:sz w:val="16"/>
              </w:rPr>
            </w:pPr>
            <w:r>
              <w:rPr>
                <w:rFonts w:ascii="Arial" w:hAnsi="Arial"/>
                <w:sz w:val="16"/>
              </w:rPr>
              <w:t>432</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Диплом</w:t>
            </w:r>
          </w:p>
        </w:tc>
        <w:tc>
          <w:tcPr>
            <w:tcW w:w="1077" w:type="dxa"/>
          </w:tcPr>
          <w:p w:rsidR="00000000" w:rsidRDefault="00000000">
            <w:pPr>
              <w:spacing w:before="40" w:after="40" w:line="240" w:lineRule="auto"/>
              <w:jc w:val="center"/>
              <w:rPr>
                <w:rFonts w:ascii="Arial" w:hAnsi="Arial"/>
                <w:sz w:val="16"/>
              </w:rPr>
            </w:pPr>
            <w:r>
              <w:rPr>
                <w:rFonts w:ascii="Arial" w:hAnsi="Arial"/>
                <w:sz w:val="16"/>
              </w:rPr>
              <w:t>11</w:t>
            </w:r>
            <w:r>
              <w:rPr>
                <w:rFonts w:ascii="Arial" w:hAnsi="Arial"/>
                <w:sz w:val="16"/>
              </w:rPr>
              <w:br/>
              <w:t>(21,1%)</w:t>
            </w:r>
          </w:p>
        </w:tc>
        <w:tc>
          <w:tcPr>
            <w:tcW w:w="1077" w:type="dxa"/>
          </w:tcPr>
          <w:p w:rsidR="00000000" w:rsidRDefault="00000000">
            <w:pPr>
              <w:spacing w:before="40" w:after="40" w:line="240" w:lineRule="auto"/>
              <w:jc w:val="center"/>
              <w:rPr>
                <w:rFonts w:ascii="Arial" w:hAnsi="Arial"/>
                <w:sz w:val="16"/>
              </w:rPr>
            </w:pPr>
            <w:r>
              <w:rPr>
                <w:rFonts w:ascii="Arial" w:hAnsi="Arial"/>
                <w:sz w:val="16"/>
              </w:rPr>
              <w:t>41</w:t>
            </w:r>
            <w:r>
              <w:rPr>
                <w:rFonts w:ascii="Arial" w:hAnsi="Arial"/>
                <w:sz w:val="16"/>
              </w:rPr>
              <w:br/>
              <w:t>(78,8%)</w:t>
            </w:r>
          </w:p>
        </w:tc>
        <w:tc>
          <w:tcPr>
            <w:tcW w:w="1077" w:type="dxa"/>
          </w:tcPr>
          <w:p w:rsidR="00000000" w:rsidRDefault="00000000">
            <w:pPr>
              <w:spacing w:before="40" w:after="40" w:line="240" w:lineRule="auto"/>
              <w:jc w:val="center"/>
              <w:rPr>
                <w:rFonts w:ascii="Arial" w:hAnsi="Arial"/>
                <w:sz w:val="16"/>
              </w:rPr>
            </w:pPr>
            <w:r>
              <w:rPr>
                <w:rFonts w:ascii="Arial" w:hAnsi="Arial"/>
                <w:sz w:val="16"/>
              </w:rPr>
              <w:t>52</w:t>
            </w:r>
          </w:p>
        </w:tc>
        <w:tc>
          <w:tcPr>
            <w:tcW w:w="1077" w:type="dxa"/>
          </w:tcPr>
          <w:p w:rsidR="00000000" w:rsidRDefault="00000000">
            <w:pPr>
              <w:spacing w:before="40" w:after="40" w:line="240" w:lineRule="auto"/>
              <w:jc w:val="center"/>
              <w:rPr>
                <w:rFonts w:ascii="Arial" w:hAnsi="Arial"/>
                <w:sz w:val="16"/>
              </w:rPr>
            </w:pPr>
            <w:r>
              <w:rPr>
                <w:rFonts w:ascii="Arial" w:hAnsi="Arial"/>
                <w:sz w:val="16"/>
              </w:rPr>
              <w:t>36</w:t>
            </w:r>
            <w:r>
              <w:rPr>
                <w:rFonts w:ascii="Arial" w:hAnsi="Arial"/>
                <w:sz w:val="16"/>
              </w:rPr>
              <w:br/>
              <w:t>(26,7%)</w:t>
            </w:r>
          </w:p>
        </w:tc>
        <w:tc>
          <w:tcPr>
            <w:tcW w:w="1077" w:type="dxa"/>
          </w:tcPr>
          <w:p w:rsidR="00000000" w:rsidRDefault="00000000">
            <w:pPr>
              <w:spacing w:before="40" w:after="40" w:line="240" w:lineRule="auto"/>
              <w:jc w:val="center"/>
              <w:rPr>
                <w:rFonts w:ascii="Arial" w:hAnsi="Arial"/>
                <w:sz w:val="16"/>
              </w:rPr>
            </w:pPr>
            <w:r>
              <w:rPr>
                <w:rFonts w:ascii="Arial" w:hAnsi="Arial"/>
                <w:sz w:val="16"/>
              </w:rPr>
              <w:t>99</w:t>
            </w:r>
            <w:r>
              <w:rPr>
                <w:rFonts w:ascii="Arial" w:hAnsi="Arial"/>
                <w:sz w:val="16"/>
              </w:rPr>
              <w:br/>
              <w:t>(73,2)</w:t>
            </w:r>
          </w:p>
        </w:tc>
        <w:tc>
          <w:tcPr>
            <w:tcW w:w="1077" w:type="dxa"/>
          </w:tcPr>
          <w:p w:rsidR="00000000" w:rsidRDefault="00000000">
            <w:pPr>
              <w:spacing w:before="40" w:after="40" w:line="240" w:lineRule="auto"/>
              <w:jc w:val="center"/>
              <w:rPr>
                <w:rFonts w:ascii="Arial" w:hAnsi="Arial"/>
                <w:sz w:val="16"/>
              </w:rPr>
            </w:pPr>
            <w:r>
              <w:rPr>
                <w:rFonts w:ascii="Arial" w:hAnsi="Arial"/>
                <w:sz w:val="16"/>
              </w:rPr>
              <w:t>135</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Свидетельство</w:t>
            </w:r>
          </w:p>
        </w:tc>
        <w:tc>
          <w:tcPr>
            <w:tcW w:w="1077" w:type="dxa"/>
          </w:tcPr>
          <w:p w:rsidR="00000000" w:rsidRDefault="00000000">
            <w:pPr>
              <w:spacing w:before="40" w:after="40" w:line="240" w:lineRule="auto"/>
              <w:jc w:val="center"/>
              <w:rPr>
                <w:rFonts w:ascii="Arial" w:hAnsi="Arial"/>
                <w:sz w:val="16"/>
              </w:rPr>
            </w:pPr>
            <w:r>
              <w:rPr>
                <w:rFonts w:ascii="Arial" w:hAnsi="Arial"/>
                <w:sz w:val="16"/>
              </w:rPr>
              <w:t>8</w:t>
            </w:r>
            <w:r>
              <w:rPr>
                <w:rFonts w:ascii="Arial" w:hAnsi="Arial"/>
                <w:sz w:val="16"/>
              </w:rPr>
              <w:br/>
              <w:t>(30,8%)</w:t>
            </w:r>
          </w:p>
        </w:tc>
        <w:tc>
          <w:tcPr>
            <w:tcW w:w="1077" w:type="dxa"/>
          </w:tcPr>
          <w:p w:rsidR="00000000" w:rsidRDefault="00000000">
            <w:pPr>
              <w:spacing w:before="40" w:after="40" w:line="240" w:lineRule="auto"/>
              <w:jc w:val="center"/>
              <w:rPr>
                <w:rFonts w:ascii="Arial" w:hAnsi="Arial"/>
                <w:sz w:val="16"/>
              </w:rPr>
            </w:pPr>
            <w:r>
              <w:rPr>
                <w:rFonts w:ascii="Arial" w:hAnsi="Arial"/>
                <w:sz w:val="16"/>
              </w:rPr>
              <w:t>18</w:t>
            </w:r>
            <w:r>
              <w:rPr>
                <w:rFonts w:ascii="Arial" w:hAnsi="Arial"/>
                <w:sz w:val="16"/>
              </w:rPr>
              <w:br/>
              <w:t>(69,2%)</w:t>
            </w:r>
          </w:p>
        </w:tc>
        <w:tc>
          <w:tcPr>
            <w:tcW w:w="1077" w:type="dxa"/>
          </w:tcPr>
          <w:p w:rsidR="00000000" w:rsidRDefault="00000000">
            <w:pPr>
              <w:spacing w:before="40" w:after="40" w:line="240" w:lineRule="auto"/>
              <w:jc w:val="center"/>
              <w:rPr>
                <w:rFonts w:ascii="Arial" w:hAnsi="Arial"/>
                <w:sz w:val="16"/>
              </w:rPr>
            </w:pPr>
            <w:r>
              <w:rPr>
                <w:rFonts w:ascii="Arial" w:hAnsi="Arial"/>
                <w:sz w:val="16"/>
              </w:rPr>
              <w:t>26</w:t>
            </w:r>
          </w:p>
        </w:tc>
        <w:tc>
          <w:tcPr>
            <w:tcW w:w="1077" w:type="dxa"/>
          </w:tcPr>
          <w:p w:rsidR="00000000" w:rsidRDefault="00000000">
            <w:pPr>
              <w:spacing w:before="40" w:after="40" w:line="240" w:lineRule="auto"/>
              <w:jc w:val="center"/>
              <w:rPr>
                <w:rFonts w:ascii="Arial" w:hAnsi="Arial"/>
                <w:sz w:val="16"/>
              </w:rPr>
            </w:pPr>
            <w:r>
              <w:rPr>
                <w:rFonts w:ascii="Arial" w:hAnsi="Arial"/>
                <w:sz w:val="16"/>
              </w:rPr>
              <w:t>93</w:t>
            </w:r>
            <w:r>
              <w:rPr>
                <w:rFonts w:ascii="Arial" w:hAnsi="Arial"/>
                <w:sz w:val="16"/>
              </w:rPr>
              <w:br/>
              <w:t>(33,2%)</w:t>
            </w:r>
          </w:p>
        </w:tc>
        <w:tc>
          <w:tcPr>
            <w:tcW w:w="1077" w:type="dxa"/>
          </w:tcPr>
          <w:p w:rsidR="00000000" w:rsidRDefault="00000000">
            <w:pPr>
              <w:spacing w:before="40" w:after="40" w:line="240" w:lineRule="auto"/>
              <w:jc w:val="center"/>
              <w:rPr>
                <w:rFonts w:ascii="Arial" w:hAnsi="Arial"/>
                <w:sz w:val="16"/>
              </w:rPr>
            </w:pPr>
            <w:r>
              <w:rPr>
                <w:rFonts w:ascii="Arial" w:hAnsi="Arial"/>
                <w:sz w:val="16"/>
              </w:rPr>
              <w:t>187</w:t>
            </w:r>
            <w:r>
              <w:rPr>
                <w:rFonts w:ascii="Arial" w:hAnsi="Arial"/>
                <w:sz w:val="16"/>
              </w:rPr>
              <w:br/>
              <w:t>(66,8%)</w:t>
            </w:r>
          </w:p>
        </w:tc>
        <w:tc>
          <w:tcPr>
            <w:tcW w:w="1077" w:type="dxa"/>
          </w:tcPr>
          <w:p w:rsidR="00000000" w:rsidRDefault="00000000">
            <w:pPr>
              <w:spacing w:before="40" w:after="40" w:line="240" w:lineRule="auto"/>
              <w:jc w:val="center"/>
              <w:rPr>
                <w:rFonts w:ascii="Arial" w:hAnsi="Arial"/>
                <w:sz w:val="16"/>
              </w:rPr>
            </w:pPr>
            <w:r>
              <w:rPr>
                <w:rFonts w:ascii="Arial" w:hAnsi="Arial"/>
                <w:sz w:val="16"/>
              </w:rPr>
              <w:t>280</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Ученые степени выше степени бакалавра</w:t>
            </w:r>
          </w:p>
        </w:tc>
        <w:tc>
          <w:tcPr>
            <w:tcW w:w="1077" w:type="dxa"/>
          </w:tcPr>
          <w:p w:rsidR="00000000" w:rsidRDefault="00000000">
            <w:pPr>
              <w:spacing w:before="40" w:after="40" w:line="240" w:lineRule="auto"/>
              <w:jc w:val="center"/>
              <w:rPr>
                <w:rFonts w:ascii="Arial" w:hAnsi="Arial"/>
                <w:sz w:val="16"/>
              </w:rPr>
            </w:pPr>
            <w:r>
              <w:rPr>
                <w:rFonts w:ascii="Arial" w:hAnsi="Arial"/>
                <w:sz w:val="16"/>
              </w:rPr>
              <w:t>96</w:t>
            </w:r>
            <w:r>
              <w:rPr>
                <w:rFonts w:ascii="Arial" w:hAnsi="Arial"/>
                <w:sz w:val="16"/>
              </w:rPr>
              <w:br/>
              <w:t>(43,6%)</w:t>
            </w:r>
          </w:p>
        </w:tc>
        <w:tc>
          <w:tcPr>
            <w:tcW w:w="1077" w:type="dxa"/>
          </w:tcPr>
          <w:p w:rsidR="00000000" w:rsidRDefault="00000000">
            <w:pPr>
              <w:spacing w:before="40" w:after="40" w:line="240" w:lineRule="auto"/>
              <w:jc w:val="center"/>
              <w:rPr>
                <w:rFonts w:ascii="Arial" w:hAnsi="Arial"/>
                <w:sz w:val="16"/>
              </w:rPr>
            </w:pPr>
            <w:r>
              <w:rPr>
                <w:rFonts w:ascii="Arial" w:hAnsi="Arial"/>
                <w:sz w:val="16"/>
              </w:rPr>
              <w:t>124</w:t>
            </w:r>
            <w:r>
              <w:rPr>
                <w:rFonts w:ascii="Arial" w:hAnsi="Arial"/>
                <w:sz w:val="16"/>
              </w:rPr>
              <w:br/>
              <w:t>(56,3</w:t>
            </w:r>
            <w:r>
              <w:rPr>
                <w:rFonts w:ascii="Arial" w:hAnsi="Arial"/>
                <w:noProof/>
                <w:sz w:val="16"/>
              </w:rPr>
              <w:t>%)</w:t>
            </w:r>
          </w:p>
        </w:tc>
        <w:tc>
          <w:tcPr>
            <w:tcW w:w="1077" w:type="dxa"/>
          </w:tcPr>
          <w:p w:rsidR="00000000" w:rsidRDefault="00000000">
            <w:pPr>
              <w:spacing w:before="40" w:after="40" w:line="240" w:lineRule="auto"/>
              <w:jc w:val="center"/>
              <w:rPr>
                <w:rFonts w:ascii="Arial" w:hAnsi="Arial"/>
                <w:sz w:val="16"/>
              </w:rPr>
            </w:pPr>
            <w:r>
              <w:rPr>
                <w:rFonts w:ascii="Arial" w:hAnsi="Arial"/>
                <w:sz w:val="16"/>
              </w:rPr>
              <w:t>220</w:t>
            </w:r>
          </w:p>
        </w:tc>
        <w:tc>
          <w:tcPr>
            <w:tcW w:w="1077" w:type="dxa"/>
          </w:tcPr>
          <w:p w:rsidR="00000000" w:rsidRDefault="00000000">
            <w:pPr>
              <w:spacing w:before="40" w:after="40" w:line="240" w:lineRule="auto"/>
              <w:jc w:val="center"/>
              <w:rPr>
                <w:rFonts w:ascii="Arial" w:hAnsi="Arial"/>
                <w:sz w:val="16"/>
              </w:rPr>
            </w:pPr>
            <w:r>
              <w:rPr>
                <w:rFonts w:ascii="Arial" w:hAnsi="Arial"/>
                <w:sz w:val="16"/>
              </w:rPr>
              <w:t>532</w:t>
            </w:r>
            <w:r>
              <w:rPr>
                <w:rFonts w:ascii="Arial" w:hAnsi="Arial"/>
                <w:sz w:val="16"/>
              </w:rPr>
              <w:br/>
              <w:t>(54,4%)</w:t>
            </w:r>
          </w:p>
        </w:tc>
        <w:tc>
          <w:tcPr>
            <w:tcW w:w="1077" w:type="dxa"/>
          </w:tcPr>
          <w:p w:rsidR="00000000" w:rsidRDefault="00000000">
            <w:pPr>
              <w:spacing w:before="40" w:after="40" w:line="240" w:lineRule="auto"/>
              <w:jc w:val="center"/>
              <w:rPr>
                <w:rFonts w:ascii="Arial" w:hAnsi="Arial"/>
                <w:sz w:val="16"/>
              </w:rPr>
            </w:pPr>
            <w:r>
              <w:rPr>
                <w:rFonts w:ascii="Arial" w:hAnsi="Arial"/>
                <w:sz w:val="16"/>
              </w:rPr>
              <w:t>446</w:t>
            </w:r>
            <w:r>
              <w:rPr>
                <w:rFonts w:ascii="Arial" w:hAnsi="Arial"/>
                <w:sz w:val="16"/>
              </w:rPr>
              <w:br/>
              <w:t>(45,6%)</w:t>
            </w:r>
          </w:p>
        </w:tc>
        <w:tc>
          <w:tcPr>
            <w:tcW w:w="1077" w:type="dxa"/>
          </w:tcPr>
          <w:p w:rsidR="00000000" w:rsidRDefault="00000000">
            <w:pPr>
              <w:spacing w:before="40" w:after="40" w:line="240" w:lineRule="auto"/>
              <w:jc w:val="center"/>
              <w:rPr>
                <w:rFonts w:ascii="Arial" w:hAnsi="Arial"/>
                <w:sz w:val="16"/>
              </w:rPr>
            </w:pPr>
            <w:r>
              <w:rPr>
                <w:rFonts w:ascii="Arial" w:hAnsi="Arial"/>
                <w:sz w:val="16"/>
              </w:rPr>
              <w:t>978</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Диплом повышенного уровня</w:t>
            </w:r>
          </w:p>
        </w:tc>
        <w:tc>
          <w:tcPr>
            <w:tcW w:w="1077" w:type="dxa"/>
          </w:tcPr>
          <w:p w:rsidR="00000000" w:rsidRDefault="00000000">
            <w:pPr>
              <w:spacing w:before="40" w:after="40" w:line="240" w:lineRule="auto"/>
              <w:jc w:val="center"/>
              <w:rPr>
                <w:rFonts w:ascii="Arial" w:hAnsi="Arial"/>
                <w:sz w:val="16"/>
              </w:rPr>
            </w:pPr>
            <w:r>
              <w:rPr>
                <w:rFonts w:ascii="Arial" w:hAnsi="Arial"/>
                <w:sz w:val="16"/>
              </w:rPr>
              <w:t>3</w:t>
            </w:r>
            <w:r>
              <w:rPr>
                <w:rFonts w:ascii="Arial" w:hAnsi="Arial"/>
                <w:sz w:val="16"/>
              </w:rPr>
              <w:br/>
              <w:t>(100,0%</w:t>
            </w:r>
          </w:p>
        </w:tc>
        <w:tc>
          <w:tcPr>
            <w:tcW w:w="1077" w:type="dxa"/>
          </w:tcPr>
          <w:p w:rsidR="00000000" w:rsidRDefault="00000000">
            <w:pPr>
              <w:spacing w:before="40" w:after="40" w:line="240" w:lineRule="auto"/>
              <w:jc w:val="center"/>
              <w:rPr>
                <w:rFonts w:ascii="Arial" w:hAnsi="Arial"/>
                <w:sz w:val="16"/>
              </w:rPr>
            </w:pPr>
            <w:r>
              <w:rPr>
                <w:rFonts w:ascii="Arial" w:hAnsi="Arial"/>
                <w:sz w:val="16"/>
              </w:rPr>
              <w:t>0</w:t>
            </w:r>
          </w:p>
        </w:tc>
        <w:tc>
          <w:tcPr>
            <w:tcW w:w="1077" w:type="dxa"/>
          </w:tcPr>
          <w:p w:rsidR="00000000" w:rsidRDefault="00000000">
            <w:pPr>
              <w:spacing w:before="40" w:after="40" w:line="240" w:lineRule="auto"/>
              <w:jc w:val="center"/>
              <w:rPr>
                <w:rFonts w:ascii="Arial" w:hAnsi="Arial"/>
                <w:sz w:val="16"/>
              </w:rPr>
            </w:pPr>
            <w:r>
              <w:rPr>
                <w:rFonts w:ascii="Arial" w:hAnsi="Arial"/>
                <w:sz w:val="16"/>
              </w:rPr>
              <w:t>3</w:t>
            </w:r>
          </w:p>
        </w:tc>
        <w:tc>
          <w:tcPr>
            <w:tcW w:w="1077" w:type="dxa"/>
          </w:tcPr>
          <w:p w:rsidR="00000000" w:rsidRDefault="00000000">
            <w:pPr>
              <w:spacing w:before="40" w:after="40" w:line="240" w:lineRule="auto"/>
              <w:jc w:val="center"/>
              <w:rPr>
                <w:rFonts w:ascii="Arial" w:hAnsi="Arial"/>
                <w:sz w:val="16"/>
              </w:rPr>
            </w:pPr>
            <w:r>
              <w:rPr>
                <w:rFonts w:ascii="Arial" w:hAnsi="Arial"/>
                <w:sz w:val="16"/>
              </w:rPr>
              <w:t>35</w:t>
            </w:r>
            <w:r>
              <w:rPr>
                <w:rFonts w:ascii="Arial" w:hAnsi="Arial"/>
                <w:sz w:val="16"/>
              </w:rPr>
              <w:br/>
              <w:t>(35,0%)</w:t>
            </w:r>
          </w:p>
        </w:tc>
        <w:tc>
          <w:tcPr>
            <w:tcW w:w="1077" w:type="dxa"/>
          </w:tcPr>
          <w:p w:rsidR="00000000" w:rsidRDefault="00000000">
            <w:pPr>
              <w:spacing w:before="40" w:after="40" w:line="240" w:lineRule="auto"/>
              <w:jc w:val="center"/>
              <w:rPr>
                <w:rFonts w:ascii="Arial" w:hAnsi="Arial"/>
                <w:sz w:val="16"/>
              </w:rPr>
            </w:pPr>
            <w:r>
              <w:rPr>
                <w:rFonts w:ascii="Arial" w:hAnsi="Arial"/>
                <w:sz w:val="16"/>
              </w:rPr>
              <w:t>65</w:t>
            </w:r>
            <w:r>
              <w:rPr>
                <w:rFonts w:ascii="Arial" w:hAnsi="Arial"/>
                <w:sz w:val="16"/>
              </w:rPr>
              <w:br/>
              <w:t>(65,0%)</w:t>
            </w:r>
          </w:p>
        </w:tc>
        <w:tc>
          <w:tcPr>
            <w:tcW w:w="1077" w:type="dxa"/>
          </w:tcPr>
          <w:p w:rsidR="00000000" w:rsidRDefault="00000000">
            <w:pPr>
              <w:spacing w:before="40" w:after="40" w:line="240" w:lineRule="auto"/>
              <w:jc w:val="center"/>
              <w:rPr>
                <w:rFonts w:ascii="Arial" w:hAnsi="Arial"/>
                <w:sz w:val="16"/>
              </w:rPr>
            </w:pPr>
            <w:r>
              <w:rPr>
                <w:rFonts w:ascii="Arial" w:hAnsi="Arial"/>
                <w:sz w:val="16"/>
              </w:rPr>
              <w:t>100</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ВСЕГО</w:t>
            </w:r>
          </w:p>
        </w:tc>
        <w:tc>
          <w:tcPr>
            <w:tcW w:w="1077" w:type="dxa"/>
          </w:tcPr>
          <w:p w:rsidR="00000000" w:rsidRDefault="00000000">
            <w:pPr>
              <w:spacing w:before="40" w:after="40" w:line="240" w:lineRule="auto"/>
              <w:jc w:val="center"/>
              <w:rPr>
                <w:rFonts w:ascii="Arial" w:hAnsi="Arial"/>
                <w:sz w:val="16"/>
              </w:rPr>
            </w:pPr>
            <w:r>
              <w:rPr>
                <w:rFonts w:ascii="Arial" w:hAnsi="Arial"/>
                <w:sz w:val="16"/>
              </w:rPr>
              <w:t>1896</w:t>
            </w:r>
            <w:r>
              <w:rPr>
                <w:rFonts w:ascii="Arial" w:hAnsi="Arial"/>
                <w:sz w:val="16"/>
              </w:rPr>
              <w:br/>
              <w:t>(46,4%)</w:t>
            </w:r>
          </w:p>
        </w:tc>
        <w:tc>
          <w:tcPr>
            <w:tcW w:w="1077" w:type="dxa"/>
          </w:tcPr>
          <w:p w:rsidR="00000000" w:rsidRDefault="00000000">
            <w:pPr>
              <w:spacing w:before="40" w:after="40" w:line="240" w:lineRule="auto"/>
              <w:jc w:val="center"/>
              <w:rPr>
                <w:rFonts w:ascii="Arial" w:hAnsi="Arial"/>
                <w:sz w:val="16"/>
              </w:rPr>
            </w:pPr>
            <w:r>
              <w:rPr>
                <w:rFonts w:ascii="Arial" w:hAnsi="Arial"/>
                <w:sz w:val="16"/>
              </w:rPr>
              <w:t>2106</w:t>
            </w:r>
            <w:r>
              <w:rPr>
                <w:rFonts w:ascii="Arial" w:hAnsi="Arial"/>
                <w:sz w:val="16"/>
              </w:rPr>
              <w:br/>
              <w:t>(51,6%)</w:t>
            </w:r>
          </w:p>
        </w:tc>
        <w:tc>
          <w:tcPr>
            <w:tcW w:w="1077" w:type="dxa"/>
          </w:tcPr>
          <w:p w:rsidR="00000000" w:rsidRDefault="00000000">
            <w:pPr>
              <w:spacing w:before="40" w:after="40" w:line="240" w:lineRule="auto"/>
              <w:jc w:val="center"/>
              <w:rPr>
                <w:rFonts w:ascii="Arial" w:hAnsi="Arial"/>
                <w:sz w:val="16"/>
              </w:rPr>
            </w:pPr>
            <w:r>
              <w:rPr>
                <w:rFonts w:ascii="Arial" w:hAnsi="Arial"/>
                <w:sz w:val="16"/>
              </w:rPr>
              <w:t>4082</w:t>
            </w:r>
          </w:p>
        </w:tc>
        <w:tc>
          <w:tcPr>
            <w:tcW w:w="1077" w:type="dxa"/>
          </w:tcPr>
          <w:p w:rsidR="00000000" w:rsidRDefault="00000000">
            <w:pPr>
              <w:spacing w:before="40" w:after="40" w:line="240" w:lineRule="auto"/>
              <w:jc w:val="center"/>
              <w:rPr>
                <w:rFonts w:ascii="Arial" w:hAnsi="Arial"/>
                <w:sz w:val="16"/>
              </w:rPr>
            </w:pPr>
            <w:r>
              <w:rPr>
                <w:rFonts w:ascii="Arial" w:hAnsi="Arial"/>
                <w:sz w:val="16"/>
              </w:rPr>
              <w:t>831</w:t>
            </w:r>
            <w:r>
              <w:rPr>
                <w:rFonts w:ascii="Arial" w:hAnsi="Arial"/>
                <w:sz w:val="16"/>
              </w:rPr>
              <w:br/>
              <w:t>(43,2%)</w:t>
            </w:r>
          </w:p>
        </w:tc>
        <w:tc>
          <w:tcPr>
            <w:tcW w:w="1077" w:type="dxa"/>
          </w:tcPr>
          <w:p w:rsidR="00000000" w:rsidRDefault="00000000">
            <w:pPr>
              <w:spacing w:before="40" w:after="40" w:line="240" w:lineRule="auto"/>
              <w:jc w:val="center"/>
              <w:rPr>
                <w:rFonts w:ascii="Arial" w:hAnsi="Arial"/>
                <w:sz w:val="16"/>
              </w:rPr>
            </w:pPr>
            <w:r>
              <w:rPr>
                <w:rFonts w:ascii="Arial" w:hAnsi="Arial"/>
                <w:sz w:val="16"/>
              </w:rPr>
              <w:t>1094</w:t>
            </w:r>
            <w:r>
              <w:rPr>
                <w:rFonts w:ascii="Arial" w:hAnsi="Arial"/>
                <w:sz w:val="16"/>
              </w:rPr>
              <w:br/>
              <w:t>(56,8%)</w:t>
            </w:r>
          </w:p>
        </w:tc>
        <w:tc>
          <w:tcPr>
            <w:tcW w:w="1077" w:type="dxa"/>
          </w:tcPr>
          <w:p w:rsidR="00000000" w:rsidRDefault="00000000">
            <w:pPr>
              <w:spacing w:before="40" w:after="40" w:line="240" w:lineRule="auto"/>
              <w:jc w:val="center"/>
              <w:rPr>
                <w:rFonts w:ascii="Arial" w:hAnsi="Arial"/>
                <w:sz w:val="16"/>
              </w:rPr>
            </w:pPr>
            <w:r>
              <w:rPr>
                <w:rFonts w:ascii="Arial" w:hAnsi="Arial"/>
                <w:sz w:val="16"/>
              </w:rPr>
              <w:t>1925</w:t>
            </w:r>
          </w:p>
        </w:tc>
      </w:tr>
    </w:tbl>
    <w:p w:rsidR="00000000" w:rsidRDefault="00000000">
      <w:pPr>
        <w:rPr>
          <w:lang w:val="en-US"/>
        </w:rPr>
      </w:pPr>
    </w:p>
    <w:p w:rsidR="00000000" w:rsidRDefault="00000000">
      <w:r>
        <w:t>219.</w:t>
      </w:r>
      <w:r>
        <w:tab/>
        <w:t xml:space="preserve">Техническую и профессиональную подготовку можно получить благодаря участию в образовательных программах для взрослых, осуществляемых Министерством образования. Женщины имеют равный с мужчинами доступ ко всем видам профессиональной подготовки и техническому образованию. По этим программам проводятся занятия в 50 школах во всем Тринидаде. За 1998/99 учебный год в этих программах приняли участие более 3840 женщин и 440 мужчин. Однако статистических данных, свидетельствующих о числе участников программ, проживающих в сельской местности, не приведено. </w:t>
      </w:r>
    </w:p>
    <w:p w:rsidR="00000000" w:rsidRDefault="00000000">
      <w:pPr>
        <w:rPr>
          <w:lang w:val="en-US"/>
        </w:rPr>
      </w:pPr>
    </w:p>
    <w:p w:rsidR="00000000" w:rsidRDefault="00000000">
      <w:pPr>
        <w:tabs>
          <w:tab w:val="clear" w:pos="340"/>
        </w:tabs>
        <w:ind w:left="680" w:hanging="680"/>
        <w:jc w:val="left"/>
        <w:rPr>
          <w:b/>
        </w:rPr>
      </w:pPr>
      <w:r>
        <w:rPr>
          <w:b/>
          <w:lang w:val="en-US"/>
        </w:rPr>
        <w:br w:type="page"/>
      </w:r>
      <w:r>
        <w:rPr>
          <w:b/>
          <w:lang w:val="en-US"/>
        </w:rPr>
        <w:tab/>
      </w:r>
      <w:r>
        <w:rPr>
          <w:b/>
        </w:rPr>
        <w:t xml:space="preserve">Процентное распределение выпускников и выпускниц Вест-Индского университета </w:t>
      </w:r>
      <w:r>
        <w:rPr>
          <w:b/>
          <w:lang w:val="en-US"/>
        </w:rPr>
        <w:br/>
      </w:r>
      <w:r>
        <w:rPr>
          <w:noProof/>
        </w:rPr>
        <w:pict>
          <v:rect id="_x0000_s1029" style="position:absolute;left:0;text-align:left;margin-left:-.4pt;margin-top:26.15pt;width:384pt;height:255pt;z-index:-11;mso-position-horizontal:absolute;mso-position-horizontal-relative:text;mso-position-vertical:absolute;mso-position-vertical-relative:text" o:allowincell="f" strokecolor="#333" strokeweight=".5pt"/>
        </w:pict>
      </w:r>
      <w:r>
        <w:rPr>
          <w:noProof/>
        </w:rPr>
        <w:pict>
          <v:shape id="_x0000_s1028" type="#_x0000_t75" style="position:absolute;left:0;text-align:left;margin-left:47.25pt;margin-top:47.75pt;width:336.75pt;height:217.45pt;z-index:3;mso-position-horizontal:absolute;mso-position-horizontal-relative:text;mso-position-vertical:absolute;mso-position-vertical-relative:text" o:allowincell="f">
            <v:imagedata r:id="rId17" o:title=""/>
            <w10:wrap type="topAndBottom"/>
          </v:shape>
          <o:OLEObject Type="Embed" ProgID="MSGraph.Chart.8" ShapeID="_x0000_s1028" DrawAspect="Content" ObjectID="_1444042782" r:id="rId18">
            <o:FieldCodes>\s</o:FieldCodes>
          </o:OLEObject>
        </w:pict>
      </w:r>
      <w:r>
        <w:rPr>
          <w:b/>
        </w:rPr>
        <w:t>с разбивкой по первой присуждаемой ученой степени</w:t>
      </w:r>
      <w:r>
        <w:rPr>
          <w:b/>
          <w:lang w:val="en-US"/>
        </w:rPr>
        <w:t xml:space="preserve"> </w:t>
      </w:r>
      <w:r>
        <w:rPr>
          <w:b/>
        </w:rPr>
        <w:t>(1996/97 учебный год)</w:t>
      </w:r>
    </w:p>
    <w:p w:rsidR="00000000" w:rsidRDefault="00000000">
      <w:pPr>
        <w:rPr>
          <w:lang w:val="en-US"/>
        </w:rPr>
      </w:pPr>
      <w:r>
        <w:rPr>
          <w:noProof/>
        </w:rPr>
        <w:pict>
          <v:shape id="_x0000_s1030" type="#_x0000_t202" style="position:absolute;left:0;text-align:left;margin-left:38.25pt;margin-top:27.7pt;width:16.5pt;height:168pt;z-index:5;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rPr>
                      <w:sz w:val="16"/>
                    </w:rPr>
                  </w:pPr>
                  <w:r>
                    <w:rPr>
                      <w:rFonts w:ascii="Arial" w:hAnsi="Arial"/>
                      <w:b/>
                      <w:sz w:val="16"/>
                    </w:rPr>
                    <w:t>Процент</w:t>
                  </w:r>
                </w:p>
              </w:txbxContent>
            </v:textbox>
            <w10:wrap type="square"/>
          </v:shape>
        </w:pict>
      </w:r>
      <w:r>
        <w:rPr>
          <w:noProof/>
        </w:rPr>
        <w:pict>
          <v:shape id="_x0000_s1031" type="#_x0000_t202" style="position:absolute;left:0;text-align:left;margin-left:78pt;margin-top:221.55pt;width:224.25pt;height:13.5pt;z-index:6;mso-position-horizontal:absolute;mso-position-horizontal-relative:text;mso-position-vertical:absolute;mso-position-vertical-relative:text" o:allowincell="f" filled="f" stroked="f">
            <v:textbox inset="0,0,0,0">
              <w:txbxContent>
                <w:p w:rsidR="00000000" w:rsidRDefault="00000000">
                  <w:pPr>
                    <w:jc w:val="center"/>
                  </w:pPr>
                  <w:r>
                    <w:rPr>
                      <w:rFonts w:ascii="Arial" w:hAnsi="Arial"/>
                      <w:b/>
                      <w:sz w:val="16"/>
                    </w:rPr>
                    <w:t>Первая присуждаемая ученая степень</w:t>
                  </w:r>
                </w:p>
              </w:txbxContent>
            </v:textbox>
            <w10:wrap type="square"/>
          </v:shape>
        </w:pict>
      </w:r>
    </w:p>
    <w:p w:rsidR="00000000" w:rsidRDefault="00000000">
      <w:pPr>
        <w:spacing w:after="0"/>
        <w:rPr>
          <w:lang w:val="en-US"/>
        </w:rPr>
      </w:pPr>
    </w:p>
    <w:p w:rsidR="00000000" w:rsidRDefault="00000000">
      <w:pPr>
        <w:spacing w:after="0"/>
        <w:ind w:left="680" w:hanging="680"/>
        <w:jc w:val="left"/>
        <w:rPr>
          <w:b/>
        </w:rPr>
      </w:pPr>
      <w:r>
        <w:t>220.</w:t>
      </w:r>
      <w:r>
        <w:tab/>
      </w:r>
      <w:r>
        <w:rPr>
          <w:b/>
        </w:rPr>
        <w:t>Число учащихся в технических школах и профессионально-технических училищах с разбивкой по программам, году обучения и полу (курсы специалистов), 1997/98 учебный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851"/>
        <w:gridCol w:w="737"/>
        <w:gridCol w:w="737"/>
        <w:gridCol w:w="737"/>
        <w:gridCol w:w="737"/>
        <w:gridCol w:w="737"/>
        <w:gridCol w:w="737"/>
        <w:gridCol w:w="737"/>
        <w:gridCol w:w="737"/>
      </w:tblGrid>
      <w:tr w:rsidR="00000000">
        <w:tblPrEx>
          <w:tblCellMar>
            <w:top w:w="0" w:type="dxa"/>
            <w:bottom w:w="0" w:type="dxa"/>
          </w:tblCellMar>
        </w:tblPrEx>
        <w:trPr>
          <w:cantSplit/>
        </w:trPr>
        <w:tc>
          <w:tcPr>
            <w:tcW w:w="2268" w:type="dxa"/>
            <w:vMerge w:val="restart"/>
            <w:vAlign w:val="center"/>
          </w:tcPr>
          <w:p w:rsidR="00000000" w:rsidRDefault="00000000">
            <w:pPr>
              <w:spacing w:before="20" w:after="0" w:line="170" w:lineRule="exact"/>
              <w:jc w:val="center"/>
              <w:rPr>
                <w:rFonts w:ascii="Arial" w:hAnsi="Arial"/>
                <w:sz w:val="14"/>
              </w:rPr>
            </w:pPr>
            <w:r>
              <w:rPr>
                <w:rFonts w:ascii="Arial" w:hAnsi="Arial"/>
                <w:sz w:val="14"/>
              </w:rPr>
              <w:t>Программа</w:t>
            </w:r>
          </w:p>
        </w:tc>
        <w:tc>
          <w:tcPr>
            <w:tcW w:w="2325" w:type="dxa"/>
            <w:gridSpan w:val="3"/>
          </w:tcPr>
          <w:p w:rsidR="00000000" w:rsidRDefault="00000000">
            <w:pPr>
              <w:spacing w:before="20" w:after="0" w:line="170" w:lineRule="exact"/>
              <w:jc w:val="center"/>
              <w:rPr>
                <w:rFonts w:ascii="Arial" w:hAnsi="Arial"/>
                <w:sz w:val="14"/>
              </w:rPr>
            </w:pPr>
            <w:r>
              <w:rPr>
                <w:rFonts w:ascii="Arial" w:hAnsi="Arial"/>
                <w:sz w:val="14"/>
              </w:rPr>
              <w:t>ВСЕГО</w:t>
            </w:r>
          </w:p>
        </w:tc>
        <w:tc>
          <w:tcPr>
            <w:tcW w:w="1474" w:type="dxa"/>
            <w:gridSpan w:val="2"/>
          </w:tcPr>
          <w:p w:rsidR="00000000" w:rsidRDefault="00000000">
            <w:pPr>
              <w:spacing w:before="20" w:after="0" w:line="170" w:lineRule="exact"/>
              <w:jc w:val="center"/>
              <w:rPr>
                <w:rFonts w:ascii="Arial" w:hAnsi="Arial"/>
                <w:sz w:val="14"/>
              </w:rPr>
            </w:pPr>
            <w:r>
              <w:rPr>
                <w:rFonts w:ascii="Arial" w:hAnsi="Arial"/>
                <w:sz w:val="14"/>
              </w:rPr>
              <w:t>1-й год</w:t>
            </w:r>
          </w:p>
        </w:tc>
        <w:tc>
          <w:tcPr>
            <w:tcW w:w="1474" w:type="dxa"/>
            <w:gridSpan w:val="2"/>
          </w:tcPr>
          <w:p w:rsidR="00000000" w:rsidRDefault="00000000">
            <w:pPr>
              <w:spacing w:before="20" w:after="0" w:line="170" w:lineRule="exact"/>
              <w:jc w:val="center"/>
              <w:rPr>
                <w:rFonts w:ascii="Arial" w:hAnsi="Arial"/>
                <w:sz w:val="14"/>
              </w:rPr>
            </w:pPr>
            <w:r>
              <w:rPr>
                <w:rFonts w:ascii="Arial" w:hAnsi="Arial"/>
                <w:sz w:val="14"/>
              </w:rPr>
              <w:t>2-й год</w:t>
            </w:r>
          </w:p>
        </w:tc>
        <w:tc>
          <w:tcPr>
            <w:tcW w:w="1474" w:type="dxa"/>
            <w:gridSpan w:val="2"/>
          </w:tcPr>
          <w:p w:rsidR="00000000" w:rsidRDefault="00000000">
            <w:pPr>
              <w:spacing w:before="20" w:after="0" w:line="170" w:lineRule="exact"/>
              <w:jc w:val="center"/>
              <w:rPr>
                <w:rFonts w:ascii="Arial" w:hAnsi="Arial"/>
                <w:sz w:val="14"/>
              </w:rPr>
            </w:pPr>
            <w:r>
              <w:rPr>
                <w:rFonts w:ascii="Arial" w:hAnsi="Arial"/>
                <w:sz w:val="14"/>
              </w:rPr>
              <w:t>3-й год</w:t>
            </w:r>
          </w:p>
        </w:tc>
      </w:tr>
      <w:tr w:rsidR="00000000">
        <w:tblPrEx>
          <w:tblCellMar>
            <w:top w:w="0" w:type="dxa"/>
            <w:bottom w:w="0" w:type="dxa"/>
          </w:tblCellMar>
        </w:tblPrEx>
        <w:trPr>
          <w:cantSplit/>
        </w:trPr>
        <w:tc>
          <w:tcPr>
            <w:tcW w:w="2268" w:type="dxa"/>
            <w:vMerge/>
          </w:tcPr>
          <w:p w:rsidR="00000000" w:rsidRDefault="00000000">
            <w:pPr>
              <w:spacing w:before="20" w:after="0" w:line="170" w:lineRule="exact"/>
              <w:jc w:val="center"/>
              <w:rPr>
                <w:rFonts w:ascii="Arial" w:hAnsi="Arial"/>
                <w:sz w:val="14"/>
              </w:rPr>
            </w:pPr>
          </w:p>
        </w:tc>
        <w:tc>
          <w:tcPr>
            <w:tcW w:w="851" w:type="dxa"/>
          </w:tcPr>
          <w:p w:rsidR="00000000" w:rsidRDefault="00000000">
            <w:pPr>
              <w:spacing w:before="20" w:after="0" w:line="170" w:lineRule="exact"/>
              <w:jc w:val="center"/>
              <w:rPr>
                <w:rFonts w:ascii="Arial" w:hAnsi="Arial"/>
                <w:sz w:val="14"/>
              </w:rPr>
            </w:pPr>
            <w:r>
              <w:rPr>
                <w:rFonts w:ascii="Arial" w:hAnsi="Arial"/>
                <w:sz w:val="14"/>
              </w:rPr>
              <w:t>представи</w:t>
            </w:r>
            <w:r>
              <w:rPr>
                <w:rFonts w:ascii="Arial" w:hAnsi="Arial"/>
                <w:sz w:val="14"/>
                <w:lang w:val="en-US"/>
              </w:rPr>
              <w:t>-</w:t>
            </w:r>
            <w:r>
              <w:rPr>
                <w:rFonts w:ascii="Arial" w:hAnsi="Arial"/>
                <w:sz w:val="14"/>
                <w:lang w:val="en-US"/>
              </w:rPr>
              <w:br/>
            </w:r>
            <w:r>
              <w:rPr>
                <w:rFonts w:ascii="Arial" w:hAnsi="Arial"/>
                <w:sz w:val="14"/>
              </w:rPr>
              <w:t>тели обоего пола</w:t>
            </w:r>
          </w:p>
        </w:tc>
        <w:tc>
          <w:tcPr>
            <w:tcW w:w="737" w:type="dxa"/>
          </w:tcPr>
          <w:p w:rsidR="00000000" w:rsidRDefault="00000000">
            <w:pPr>
              <w:spacing w:before="20"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женщины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женщины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женщины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before="20" w:after="0" w:line="170" w:lineRule="exact"/>
              <w:jc w:val="center"/>
              <w:rPr>
                <w:rFonts w:ascii="Arial" w:hAnsi="Arial"/>
                <w:sz w:val="14"/>
              </w:rPr>
            </w:pPr>
            <w:r>
              <w:rPr>
                <w:rFonts w:ascii="Arial" w:hAnsi="Arial"/>
                <w:sz w:val="14"/>
              </w:rPr>
              <w:t>женщины</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Реклама</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673</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173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500</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88</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225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74</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243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11</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32</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Торговля, ремесла и промышленность</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173</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122</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51</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112</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47</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10</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Машиностроение</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415</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257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158</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570</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66</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432</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44</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255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48</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Домоводство</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235</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45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190</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14</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103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31</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Транспорт и связь</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109</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94</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38</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11</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ИТОГО</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2</w:t>
            </w:r>
            <w:r>
              <w:rPr>
                <w:rFonts w:ascii="Arial" w:hAnsi="Arial"/>
                <w:sz w:val="16"/>
                <w:lang w:val="en-US"/>
              </w:rPr>
              <w:t xml:space="preserve"> </w:t>
            </w:r>
            <w:r>
              <w:rPr>
                <w:rFonts w:ascii="Arial" w:hAnsi="Arial"/>
                <w:sz w:val="16"/>
              </w:rPr>
              <w:t>605</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691</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914</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829</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446</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575-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381</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287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87</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Всего занимающихся по полной программе</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252</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774</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478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398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216</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262</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228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114</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34</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Всего занимающихся по неполной программе</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353</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917</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436</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431</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230</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313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153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173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53</w:t>
            </w:r>
          </w:p>
        </w:tc>
      </w:tr>
    </w:tbl>
    <w:p w:rsidR="00000000" w:rsidRDefault="00000000">
      <w:pPr>
        <w:spacing w:after="120"/>
      </w:pPr>
    </w:p>
    <w:p w:rsidR="00000000" w:rsidRDefault="00000000">
      <w:pPr>
        <w:spacing w:after="0"/>
        <w:ind w:left="680" w:hanging="680"/>
        <w:jc w:val="left"/>
      </w:pPr>
      <w:r>
        <w:t>221.</w:t>
      </w:r>
      <w:r>
        <w:tab/>
      </w:r>
      <w:r>
        <w:rPr>
          <w:b/>
        </w:rPr>
        <w:t>Число учащихся в технических школах и профессионально-технических училищах с разбивкой по программе, году обучения и полу (специальные курсы повышения квалификации), 1997/98</w:t>
      </w:r>
      <w:r>
        <w:rPr>
          <w:b/>
          <w:lang w:val="en-US"/>
        </w:rPr>
        <w:t> </w:t>
      </w:r>
      <w:r>
        <w:rPr>
          <w:b/>
        </w:rPr>
        <w:t>учебный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851"/>
        <w:gridCol w:w="737"/>
        <w:gridCol w:w="737"/>
        <w:gridCol w:w="737"/>
        <w:gridCol w:w="737"/>
        <w:gridCol w:w="737"/>
        <w:gridCol w:w="737"/>
        <w:gridCol w:w="737"/>
        <w:gridCol w:w="737"/>
      </w:tblGrid>
      <w:tr w:rsidR="00000000">
        <w:tblPrEx>
          <w:tblCellMar>
            <w:top w:w="0" w:type="dxa"/>
            <w:bottom w:w="0" w:type="dxa"/>
          </w:tblCellMar>
        </w:tblPrEx>
        <w:trPr>
          <w:cantSplit/>
        </w:trPr>
        <w:tc>
          <w:tcPr>
            <w:tcW w:w="2268" w:type="dxa"/>
            <w:vMerge w:val="restart"/>
            <w:vAlign w:val="center"/>
          </w:tcPr>
          <w:p w:rsidR="00000000" w:rsidRDefault="00000000">
            <w:pPr>
              <w:spacing w:after="0" w:line="170" w:lineRule="exact"/>
              <w:jc w:val="center"/>
              <w:rPr>
                <w:rFonts w:ascii="Arial" w:hAnsi="Arial"/>
                <w:sz w:val="14"/>
              </w:rPr>
            </w:pPr>
            <w:r>
              <w:rPr>
                <w:rFonts w:ascii="Arial" w:hAnsi="Arial"/>
                <w:sz w:val="14"/>
              </w:rPr>
              <w:t>Программа</w:t>
            </w:r>
          </w:p>
        </w:tc>
        <w:tc>
          <w:tcPr>
            <w:tcW w:w="2325" w:type="dxa"/>
            <w:gridSpan w:val="3"/>
          </w:tcPr>
          <w:p w:rsidR="00000000" w:rsidRDefault="00000000">
            <w:pPr>
              <w:spacing w:after="0" w:line="170" w:lineRule="exact"/>
              <w:jc w:val="center"/>
              <w:rPr>
                <w:rFonts w:ascii="Arial" w:hAnsi="Arial"/>
                <w:sz w:val="14"/>
              </w:rPr>
            </w:pPr>
            <w:r>
              <w:rPr>
                <w:rFonts w:ascii="Arial" w:hAnsi="Arial"/>
                <w:sz w:val="14"/>
              </w:rPr>
              <w:t>ВСЕГО</w:t>
            </w:r>
          </w:p>
        </w:tc>
        <w:tc>
          <w:tcPr>
            <w:tcW w:w="1474" w:type="dxa"/>
            <w:gridSpan w:val="2"/>
          </w:tcPr>
          <w:p w:rsidR="00000000" w:rsidRDefault="00000000">
            <w:pPr>
              <w:spacing w:after="0" w:line="170" w:lineRule="exact"/>
              <w:jc w:val="center"/>
              <w:rPr>
                <w:rFonts w:ascii="Arial" w:hAnsi="Arial"/>
                <w:sz w:val="14"/>
              </w:rPr>
            </w:pPr>
            <w:r>
              <w:rPr>
                <w:rFonts w:ascii="Arial" w:hAnsi="Arial"/>
                <w:sz w:val="14"/>
              </w:rPr>
              <w:t>1-й год</w:t>
            </w:r>
          </w:p>
        </w:tc>
        <w:tc>
          <w:tcPr>
            <w:tcW w:w="1474" w:type="dxa"/>
            <w:gridSpan w:val="2"/>
          </w:tcPr>
          <w:p w:rsidR="00000000" w:rsidRDefault="00000000">
            <w:pPr>
              <w:spacing w:after="0" w:line="170" w:lineRule="exact"/>
              <w:jc w:val="center"/>
              <w:rPr>
                <w:rFonts w:ascii="Arial" w:hAnsi="Arial"/>
                <w:sz w:val="14"/>
              </w:rPr>
            </w:pPr>
            <w:r>
              <w:rPr>
                <w:rFonts w:ascii="Arial" w:hAnsi="Arial"/>
                <w:sz w:val="14"/>
              </w:rPr>
              <w:t>2-й год</w:t>
            </w:r>
          </w:p>
        </w:tc>
        <w:tc>
          <w:tcPr>
            <w:tcW w:w="1474" w:type="dxa"/>
            <w:gridSpan w:val="2"/>
          </w:tcPr>
          <w:p w:rsidR="00000000" w:rsidRDefault="00000000">
            <w:pPr>
              <w:spacing w:after="0" w:line="170" w:lineRule="exact"/>
              <w:jc w:val="center"/>
              <w:rPr>
                <w:rFonts w:ascii="Arial" w:hAnsi="Arial"/>
                <w:sz w:val="14"/>
              </w:rPr>
            </w:pPr>
            <w:r>
              <w:rPr>
                <w:rFonts w:ascii="Arial" w:hAnsi="Arial"/>
                <w:sz w:val="14"/>
              </w:rPr>
              <w:t>3-й год</w:t>
            </w:r>
          </w:p>
        </w:tc>
      </w:tr>
      <w:tr w:rsidR="00000000">
        <w:tblPrEx>
          <w:tblCellMar>
            <w:top w:w="0" w:type="dxa"/>
            <w:bottom w:w="0" w:type="dxa"/>
          </w:tblCellMar>
        </w:tblPrEx>
        <w:trPr>
          <w:cantSplit/>
        </w:trPr>
        <w:tc>
          <w:tcPr>
            <w:tcW w:w="2268" w:type="dxa"/>
            <w:vMerge/>
          </w:tcPr>
          <w:p w:rsidR="00000000" w:rsidRDefault="00000000">
            <w:pPr>
              <w:spacing w:after="0" w:line="170" w:lineRule="exact"/>
              <w:jc w:val="center"/>
              <w:rPr>
                <w:rFonts w:ascii="Arial" w:hAnsi="Arial"/>
                <w:sz w:val="14"/>
              </w:rPr>
            </w:pPr>
          </w:p>
        </w:tc>
        <w:tc>
          <w:tcPr>
            <w:tcW w:w="851" w:type="dxa"/>
          </w:tcPr>
          <w:p w:rsidR="00000000" w:rsidRDefault="00000000">
            <w:pPr>
              <w:spacing w:after="0" w:line="170" w:lineRule="exact"/>
              <w:jc w:val="center"/>
              <w:rPr>
                <w:rFonts w:ascii="Arial" w:hAnsi="Arial"/>
                <w:sz w:val="14"/>
              </w:rPr>
            </w:pPr>
            <w:r>
              <w:rPr>
                <w:rFonts w:ascii="Arial" w:hAnsi="Arial"/>
                <w:sz w:val="14"/>
              </w:rPr>
              <w:t>представи</w:t>
            </w:r>
            <w:r>
              <w:rPr>
                <w:rFonts w:ascii="Arial" w:hAnsi="Arial"/>
                <w:sz w:val="14"/>
                <w:lang w:val="en-US"/>
              </w:rPr>
              <w:t>-</w:t>
            </w:r>
            <w:r>
              <w:rPr>
                <w:rFonts w:ascii="Arial" w:hAnsi="Arial"/>
                <w:sz w:val="14"/>
                <w:lang w:val="en-US"/>
              </w:rPr>
              <w:br/>
            </w:r>
            <w:r>
              <w:rPr>
                <w:rFonts w:ascii="Arial" w:hAnsi="Arial"/>
                <w:sz w:val="14"/>
              </w:rPr>
              <w:t>тели обоего пола</w:t>
            </w:r>
          </w:p>
        </w:tc>
        <w:tc>
          <w:tcPr>
            <w:tcW w:w="737" w:type="dxa"/>
          </w:tcPr>
          <w:p w:rsidR="00000000" w:rsidRDefault="00000000">
            <w:pPr>
              <w:spacing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after="0" w:line="170" w:lineRule="exact"/>
              <w:jc w:val="center"/>
              <w:rPr>
                <w:rFonts w:ascii="Arial" w:hAnsi="Arial"/>
                <w:sz w:val="14"/>
              </w:rPr>
            </w:pPr>
            <w:r>
              <w:rPr>
                <w:rFonts w:ascii="Arial" w:hAnsi="Arial"/>
                <w:sz w:val="14"/>
              </w:rPr>
              <w:t>женщины</w:t>
            </w:r>
          </w:p>
        </w:tc>
        <w:tc>
          <w:tcPr>
            <w:tcW w:w="737" w:type="dxa"/>
          </w:tcPr>
          <w:p w:rsidR="00000000" w:rsidRDefault="00000000">
            <w:pPr>
              <w:spacing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after="0" w:line="170" w:lineRule="exact"/>
              <w:jc w:val="center"/>
              <w:rPr>
                <w:rFonts w:ascii="Arial" w:hAnsi="Arial"/>
                <w:sz w:val="14"/>
              </w:rPr>
            </w:pPr>
            <w:r>
              <w:rPr>
                <w:rFonts w:ascii="Arial" w:hAnsi="Arial"/>
                <w:sz w:val="14"/>
              </w:rPr>
              <w:t>женщины</w:t>
            </w:r>
          </w:p>
        </w:tc>
        <w:tc>
          <w:tcPr>
            <w:tcW w:w="737" w:type="dxa"/>
          </w:tcPr>
          <w:p w:rsidR="00000000" w:rsidRDefault="00000000">
            <w:pPr>
              <w:spacing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after="0" w:line="170" w:lineRule="exact"/>
              <w:jc w:val="center"/>
              <w:rPr>
                <w:rFonts w:ascii="Arial" w:hAnsi="Arial"/>
                <w:sz w:val="14"/>
              </w:rPr>
            </w:pPr>
            <w:r>
              <w:rPr>
                <w:rFonts w:ascii="Arial" w:hAnsi="Arial"/>
                <w:sz w:val="14"/>
              </w:rPr>
              <w:t>женщины</w:t>
            </w:r>
          </w:p>
        </w:tc>
        <w:tc>
          <w:tcPr>
            <w:tcW w:w="737" w:type="dxa"/>
          </w:tcPr>
          <w:p w:rsidR="00000000" w:rsidRDefault="00000000">
            <w:pPr>
              <w:spacing w:after="0" w:line="170" w:lineRule="exact"/>
              <w:jc w:val="center"/>
              <w:rPr>
                <w:rFonts w:ascii="Arial" w:hAnsi="Arial"/>
                <w:sz w:val="14"/>
              </w:rPr>
            </w:pPr>
            <w:r>
              <w:rPr>
                <w:rFonts w:ascii="Arial" w:hAnsi="Arial"/>
                <w:sz w:val="14"/>
              </w:rPr>
              <w:t>мужчины</w:t>
            </w:r>
          </w:p>
        </w:tc>
        <w:tc>
          <w:tcPr>
            <w:tcW w:w="737" w:type="dxa"/>
          </w:tcPr>
          <w:p w:rsidR="00000000" w:rsidRDefault="00000000">
            <w:pPr>
              <w:spacing w:after="0" w:line="170" w:lineRule="exact"/>
              <w:jc w:val="center"/>
              <w:rPr>
                <w:rFonts w:ascii="Arial" w:hAnsi="Arial"/>
                <w:sz w:val="14"/>
              </w:rPr>
            </w:pPr>
            <w:r>
              <w:rPr>
                <w:rFonts w:ascii="Arial" w:hAnsi="Arial"/>
                <w:sz w:val="14"/>
              </w:rPr>
              <w:t>женщины</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Изобразительные и прикладные виды искусства</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33</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12</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21</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10</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11</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Реклама</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23</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Торговля, ремесла и промышленность</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027</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944</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468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50</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429</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30</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47</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Машиностроение</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247</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227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20</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79</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112</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36</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ИТОГО</w:t>
            </w:r>
          </w:p>
        </w:tc>
        <w:tc>
          <w:tcPr>
            <w:tcW w:w="851" w:type="dxa"/>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330</w:t>
            </w:r>
          </w:p>
        </w:tc>
        <w:tc>
          <w:tcPr>
            <w:tcW w:w="737" w:type="dxa"/>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1</w:t>
            </w:r>
            <w:r>
              <w:rPr>
                <w:rFonts w:ascii="Arial" w:hAnsi="Arial"/>
                <w:sz w:val="16"/>
                <w:lang w:val="en-US"/>
              </w:rPr>
              <w:t xml:space="preserve"> </w:t>
            </w:r>
            <w:r>
              <w:rPr>
                <w:rFonts w:ascii="Arial" w:hAnsi="Arial"/>
                <w:sz w:val="16"/>
              </w:rPr>
              <w:t>183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147</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555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86</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545</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58</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83</w:t>
            </w:r>
          </w:p>
        </w:tc>
        <w:tc>
          <w:tcPr>
            <w:tcW w:w="737" w:type="dxa"/>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Всего занимающихся по полной программе</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623</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580</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43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277</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303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25</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w:t>
            </w:r>
          </w:p>
        </w:tc>
      </w:tr>
      <w:tr w:rsidR="00000000">
        <w:tblPrEx>
          <w:tblCellMar>
            <w:top w:w="0" w:type="dxa"/>
            <w:bottom w:w="0" w:type="dxa"/>
          </w:tblCellMar>
        </w:tblPrEx>
        <w:tc>
          <w:tcPr>
            <w:tcW w:w="2268" w:type="dxa"/>
          </w:tcPr>
          <w:p w:rsidR="00000000" w:rsidRDefault="00000000">
            <w:pPr>
              <w:spacing w:after="0" w:line="170" w:lineRule="exact"/>
              <w:jc w:val="left"/>
              <w:rPr>
                <w:rFonts w:ascii="Arial" w:hAnsi="Arial"/>
                <w:sz w:val="16"/>
              </w:rPr>
            </w:pPr>
            <w:r>
              <w:rPr>
                <w:rFonts w:ascii="Arial" w:hAnsi="Arial"/>
                <w:sz w:val="16"/>
              </w:rPr>
              <w:t>Всего занимающихся по неполной программе</w:t>
            </w:r>
          </w:p>
        </w:tc>
        <w:tc>
          <w:tcPr>
            <w:tcW w:w="851" w:type="dxa"/>
            <w:vAlign w:val="bottom"/>
          </w:tcPr>
          <w:p w:rsidR="00000000" w:rsidRDefault="00000000">
            <w:pPr>
              <w:tabs>
                <w:tab w:val="clear" w:pos="340"/>
                <w:tab w:val="clear" w:pos="680"/>
                <w:tab w:val="decimal" w:pos="567"/>
              </w:tabs>
              <w:spacing w:after="0" w:line="170" w:lineRule="exact"/>
              <w:rPr>
                <w:rFonts w:ascii="Arial" w:hAnsi="Arial"/>
                <w:sz w:val="16"/>
              </w:rPr>
            </w:pPr>
            <w:r>
              <w:rPr>
                <w:rFonts w:ascii="Arial" w:hAnsi="Arial"/>
                <w:sz w:val="16"/>
              </w:rPr>
              <w:t>707</w:t>
            </w:r>
          </w:p>
        </w:tc>
        <w:tc>
          <w:tcPr>
            <w:tcW w:w="737" w:type="dxa"/>
            <w:vAlign w:val="bottom"/>
          </w:tcPr>
          <w:p w:rsidR="00000000" w:rsidRDefault="00000000">
            <w:pPr>
              <w:tabs>
                <w:tab w:val="clear" w:pos="340"/>
                <w:tab w:val="clear" w:pos="680"/>
                <w:tab w:val="decimal" w:pos="510"/>
              </w:tabs>
              <w:spacing w:after="0" w:line="170" w:lineRule="exact"/>
              <w:rPr>
                <w:rFonts w:ascii="Arial" w:hAnsi="Arial"/>
                <w:sz w:val="16"/>
              </w:rPr>
            </w:pPr>
            <w:r>
              <w:rPr>
                <w:rFonts w:ascii="Arial" w:hAnsi="Arial"/>
                <w:sz w:val="16"/>
              </w:rPr>
              <w:t>603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104</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278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68</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242</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83</w:t>
            </w:r>
          </w:p>
        </w:tc>
        <w:tc>
          <w:tcPr>
            <w:tcW w:w="737" w:type="dxa"/>
            <w:vAlign w:val="bottom"/>
          </w:tcPr>
          <w:p w:rsidR="00000000" w:rsidRDefault="00000000">
            <w:pPr>
              <w:tabs>
                <w:tab w:val="clear" w:pos="340"/>
                <w:tab w:val="clear" w:pos="680"/>
                <w:tab w:val="decimal" w:pos="454"/>
              </w:tabs>
              <w:spacing w:after="0" w:line="170" w:lineRule="exact"/>
              <w:rPr>
                <w:rFonts w:ascii="Arial" w:hAnsi="Arial"/>
                <w:sz w:val="16"/>
              </w:rPr>
            </w:pPr>
            <w:r>
              <w:rPr>
                <w:rFonts w:ascii="Arial" w:hAnsi="Arial"/>
                <w:sz w:val="16"/>
              </w:rPr>
              <w:t>3</w:t>
            </w:r>
          </w:p>
        </w:tc>
      </w:tr>
    </w:tbl>
    <w:p w:rsidR="00000000" w:rsidRDefault="00000000">
      <w:r>
        <w:t>222.</w:t>
      </w:r>
      <w:r>
        <w:tab/>
        <w:t>В рамках профессионального обучения абитуриентки, как правило, выбирают дисциплины, связанные с репродуктивной функцией женщин (например, уход за детьми, пошив дамской одежды и домоводство). Это подтверждается статистическими данными, сообщенными (ниже) Программой партнерства в области профессиональной подготовки и занятости молодежи (</w:t>
      </w:r>
      <w:r>
        <w:rPr>
          <w:lang w:val="en-US"/>
        </w:rPr>
        <w:t>YTEPP</w:t>
      </w:r>
      <w:r>
        <w:t>). С учетом такого положения дел осуществляются различные программы в целях расширения доступа женщин к профессиональной подготовке в разнообразных нетрадиционных областях, таких как наука и техника, включая непрерывное образование. В связи с этим правительство в 1998 году в экспериментальном порядке осуществило два учебных проекта с участием 200 женщин, которые прошли подготовку в области выполнения каменной кладки, слесарно-водопроводных работ, технических чертежей, чтения синек, строительства, плотничных работ и электрооборудования помещений. С тех пор Международный банк развития и правительство Тринидада и Тобаго совместно работают над программой подготовки 300 женщин в этих областях в течение следующих трех лет.</w:t>
      </w:r>
    </w:p>
    <w:p w:rsidR="00000000" w:rsidRDefault="00000000">
      <w:r>
        <w:t>223.</w:t>
      </w:r>
      <w:r>
        <w:tab/>
        <w:t>Профессиональная ориентация и подготовка, участие в которой благоприятно сказалось на положении многих молодых женщин страны, проводится благодаря осуществлению Программы партнерства в области профессиональной подготовки и занятости (</w:t>
      </w:r>
      <w:r>
        <w:rPr>
          <w:lang w:val="en-US"/>
        </w:rPr>
        <w:t>YTEPP</w:t>
      </w:r>
      <w:r>
        <w:t xml:space="preserve">), </w:t>
      </w:r>
      <w:r>
        <w:rPr>
          <w:lang w:val="en-US"/>
        </w:rPr>
        <w:t>которая</w:t>
      </w:r>
      <w:r>
        <w:t xml:space="preserve"> состоит из трех основных компонентов. Предназначение компонента профессионально-технического обучения состоит в том, что молодые люди в возрасте 15–25 лет могут овладеть соответствующими навыками для обеспечения своей занятости, включая самостоятельную занятость. </w:t>
      </w:r>
      <w:r>
        <w:rPr>
          <w:lang w:val="en-US"/>
        </w:rPr>
        <w:t>YTEPP</w:t>
      </w:r>
      <w:r>
        <w:t xml:space="preserve"> организует многие учебные курсы в области производства и обслуживания. Лица, оканчивающие такие курсы, получают квалификацию, соответствующую уровню полуквалифици</w:t>
      </w:r>
      <w:r>
        <w:rPr>
          <w:lang w:val="en-US"/>
        </w:rPr>
        <w:t>-</w:t>
      </w:r>
      <w:r>
        <w:rPr>
          <w:lang w:val="en-US"/>
        </w:rPr>
        <w:br/>
      </w:r>
      <w:r>
        <w:t xml:space="preserve">рованного и квалифицированного рабочего в Тринидаде и Тобаго. Компонент подготовки для содействия профессиональному росту призван изменить отношение учащегося к работе, повысить его уверенность в себе и чувство собственного достоинства, а также, в случае необходимости, организовать коррективный курс обучения для повышения уровня грамотности и математических знаний. Наконец, компонент помощи в период после получения подготовки предполагает предоставление технической помощи в области разработки проектов, маркетинга и управления коммерческими предприятиями тем из выпускников программы, которые заинтересованы в открытии собственного дела и передаче рабочего опыта другим. Каждый год примерно 10 000 молодых людей проходят подготовку по этой программе в 14 профессиональных областях в школах и на общинных предприятиях по всему Тринидаду и Тобаго. </w:t>
      </w:r>
    </w:p>
    <w:p w:rsidR="00000000" w:rsidRDefault="00000000">
      <w:pPr>
        <w:spacing w:after="0"/>
        <w:ind w:left="340" w:hanging="340"/>
        <w:jc w:val="left"/>
        <w:rPr>
          <w:b/>
        </w:rPr>
      </w:pPr>
      <w:r>
        <w:rPr>
          <w:b/>
          <w:lang w:val="en-US"/>
        </w:rPr>
        <w:tab/>
      </w:r>
      <w:r>
        <w:rPr>
          <w:b/>
        </w:rPr>
        <w:t xml:space="preserve">Число учащихся, охваченных </w:t>
      </w:r>
      <w:r>
        <w:rPr>
          <w:b/>
          <w:lang w:val="en-US"/>
        </w:rPr>
        <w:t>YTEPP</w:t>
      </w:r>
      <w:r>
        <w:rPr>
          <w:b/>
        </w:rPr>
        <w:t xml:space="preserve">, с разбивкой по роду занятости и полу, циклы 11–16 </w:t>
      </w:r>
      <w:r>
        <w:rPr>
          <w:b/>
          <w:lang w:val="en-US"/>
        </w:rPr>
        <w:br/>
      </w:r>
      <w:r>
        <w:rPr>
          <w:b/>
        </w:rPr>
        <w:t>(1996–2000</w:t>
      </w:r>
      <w:r>
        <w:rPr>
          <w:b/>
          <w:lang w:val="en-US"/>
        </w:rPr>
        <w:t> </w:t>
      </w:r>
      <w:r>
        <w:rPr>
          <w:b/>
        </w:rPr>
        <w:t>годы)</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567"/>
        <w:gridCol w:w="567"/>
        <w:gridCol w:w="567"/>
        <w:gridCol w:w="567"/>
        <w:gridCol w:w="567"/>
        <w:gridCol w:w="567"/>
        <w:gridCol w:w="567"/>
        <w:gridCol w:w="567"/>
        <w:gridCol w:w="567"/>
        <w:gridCol w:w="567"/>
        <w:gridCol w:w="567"/>
        <w:gridCol w:w="567"/>
      </w:tblGrid>
      <w:tr w:rsidR="00000000">
        <w:tblPrEx>
          <w:tblCellMar>
            <w:top w:w="0" w:type="dxa"/>
            <w:bottom w:w="0" w:type="dxa"/>
          </w:tblCellMar>
        </w:tblPrEx>
        <w:trPr>
          <w:cantSplit/>
        </w:trPr>
        <w:tc>
          <w:tcPr>
            <w:tcW w:w="2552" w:type="dxa"/>
            <w:vMerge w:val="restart"/>
          </w:tcPr>
          <w:p w:rsidR="00000000" w:rsidRDefault="00000000">
            <w:pPr>
              <w:spacing w:before="60" w:after="20" w:line="240" w:lineRule="auto"/>
              <w:jc w:val="center"/>
              <w:rPr>
                <w:rFonts w:ascii="Arial" w:hAnsi="Arial"/>
                <w:sz w:val="16"/>
              </w:rPr>
            </w:pPr>
            <w:r>
              <w:rPr>
                <w:rFonts w:ascii="Arial" w:hAnsi="Arial"/>
                <w:sz w:val="16"/>
              </w:rPr>
              <w:t>РОД ЗАНЯТОСТИ</w:t>
            </w:r>
          </w:p>
        </w:tc>
        <w:tc>
          <w:tcPr>
            <w:tcW w:w="1134" w:type="dxa"/>
            <w:gridSpan w:val="2"/>
          </w:tcPr>
          <w:p w:rsidR="00000000" w:rsidRDefault="00000000">
            <w:pPr>
              <w:spacing w:before="60" w:after="20" w:line="240" w:lineRule="auto"/>
              <w:jc w:val="center"/>
              <w:rPr>
                <w:rFonts w:ascii="Arial" w:hAnsi="Arial"/>
                <w:sz w:val="16"/>
              </w:rPr>
            </w:pPr>
            <w:r>
              <w:rPr>
                <w:rFonts w:ascii="Arial" w:hAnsi="Arial"/>
                <w:sz w:val="16"/>
              </w:rPr>
              <w:t>ЦИКЛ 11</w:t>
            </w:r>
          </w:p>
        </w:tc>
        <w:tc>
          <w:tcPr>
            <w:tcW w:w="1134" w:type="dxa"/>
            <w:gridSpan w:val="2"/>
          </w:tcPr>
          <w:p w:rsidR="00000000" w:rsidRDefault="00000000">
            <w:pPr>
              <w:spacing w:before="60" w:after="20" w:line="240" w:lineRule="auto"/>
              <w:jc w:val="center"/>
              <w:rPr>
                <w:rFonts w:ascii="Arial" w:hAnsi="Arial"/>
                <w:sz w:val="16"/>
              </w:rPr>
            </w:pPr>
            <w:r>
              <w:rPr>
                <w:rFonts w:ascii="Arial" w:hAnsi="Arial"/>
                <w:sz w:val="16"/>
              </w:rPr>
              <w:t>ЦИКЛ 12</w:t>
            </w:r>
          </w:p>
        </w:tc>
        <w:tc>
          <w:tcPr>
            <w:tcW w:w="1134" w:type="dxa"/>
            <w:gridSpan w:val="2"/>
          </w:tcPr>
          <w:p w:rsidR="00000000" w:rsidRDefault="00000000">
            <w:pPr>
              <w:spacing w:before="60" w:after="20" w:line="240" w:lineRule="auto"/>
              <w:jc w:val="center"/>
              <w:rPr>
                <w:rFonts w:ascii="Arial" w:hAnsi="Arial"/>
                <w:sz w:val="16"/>
              </w:rPr>
            </w:pPr>
            <w:r>
              <w:rPr>
                <w:rFonts w:ascii="Arial" w:hAnsi="Arial"/>
                <w:sz w:val="16"/>
              </w:rPr>
              <w:t>ЦИКЛ 13</w:t>
            </w:r>
          </w:p>
        </w:tc>
        <w:tc>
          <w:tcPr>
            <w:tcW w:w="1134" w:type="dxa"/>
            <w:gridSpan w:val="2"/>
          </w:tcPr>
          <w:p w:rsidR="00000000" w:rsidRDefault="00000000">
            <w:pPr>
              <w:spacing w:before="60" w:after="20" w:line="240" w:lineRule="auto"/>
              <w:jc w:val="center"/>
              <w:rPr>
                <w:rFonts w:ascii="Arial" w:hAnsi="Arial"/>
                <w:sz w:val="16"/>
              </w:rPr>
            </w:pPr>
            <w:r>
              <w:rPr>
                <w:rFonts w:ascii="Arial" w:hAnsi="Arial"/>
                <w:sz w:val="16"/>
              </w:rPr>
              <w:t>ЦИКЛ 14</w:t>
            </w:r>
          </w:p>
        </w:tc>
        <w:tc>
          <w:tcPr>
            <w:tcW w:w="1134" w:type="dxa"/>
            <w:gridSpan w:val="2"/>
          </w:tcPr>
          <w:p w:rsidR="00000000" w:rsidRDefault="00000000">
            <w:pPr>
              <w:spacing w:before="60" w:after="20" w:line="240" w:lineRule="auto"/>
              <w:jc w:val="center"/>
              <w:rPr>
                <w:rFonts w:ascii="Arial" w:hAnsi="Arial"/>
                <w:sz w:val="16"/>
              </w:rPr>
            </w:pPr>
            <w:r>
              <w:rPr>
                <w:rFonts w:ascii="Arial" w:hAnsi="Arial"/>
                <w:sz w:val="16"/>
              </w:rPr>
              <w:t>ЦИКЛ 15</w:t>
            </w:r>
          </w:p>
        </w:tc>
        <w:tc>
          <w:tcPr>
            <w:tcW w:w="1134" w:type="dxa"/>
            <w:gridSpan w:val="2"/>
          </w:tcPr>
          <w:p w:rsidR="00000000" w:rsidRDefault="00000000">
            <w:pPr>
              <w:spacing w:before="60" w:after="20" w:line="240" w:lineRule="auto"/>
              <w:jc w:val="center"/>
              <w:rPr>
                <w:rFonts w:ascii="Arial" w:hAnsi="Arial"/>
                <w:sz w:val="16"/>
              </w:rPr>
            </w:pPr>
            <w:r>
              <w:rPr>
                <w:rFonts w:ascii="Arial" w:hAnsi="Arial"/>
                <w:sz w:val="16"/>
              </w:rPr>
              <w:t>ЦИКЛ 16</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center"/>
              <w:rPr>
                <w:rFonts w:ascii="Arial" w:hAnsi="Arial"/>
                <w:sz w:val="16"/>
              </w:rPr>
            </w:pPr>
          </w:p>
        </w:tc>
        <w:tc>
          <w:tcPr>
            <w:tcW w:w="567" w:type="dxa"/>
          </w:tcPr>
          <w:p w:rsidR="00000000" w:rsidRDefault="00000000">
            <w:pPr>
              <w:spacing w:before="60" w:after="20" w:line="240" w:lineRule="auto"/>
              <w:jc w:val="center"/>
              <w:rPr>
                <w:rFonts w:ascii="Arial" w:hAnsi="Arial"/>
                <w:sz w:val="16"/>
              </w:rPr>
            </w:pPr>
            <w:r>
              <w:rPr>
                <w:rFonts w:ascii="Arial" w:hAnsi="Arial"/>
                <w:sz w:val="16"/>
              </w:rPr>
              <w:t>М</w:t>
            </w:r>
          </w:p>
        </w:tc>
        <w:tc>
          <w:tcPr>
            <w:tcW w:w="567" w:type="dxa"/>
          </w:tcPr>
          <w:p w:rsidR="00000000" w:rsidRDefault="00000000">
            <w:pPr>
              <w:spacing w:before="60" w:after="20" w:line="240" w:lineRule="auto"/>
              <w:jc w:val="center"/>
              <w:rPr>
                <w:rFonts w:ascii="Arial" w:hAnsi="Arial"/>
                <w:sz w:val="16"/>
              </w:rPr>
            </w:pPr>
            <w:r>
              <w:rPr>
                <w:rFonts w:ascii="Arial" w:hAnsi="Arial"/>
                <w:sz w:val="16"/>
              </w:rPr>
              <w:t>Ж</w:t>
            </w:r>
          </w:p>
        </w:tc>
        <w:tc>
          <w:tcPr>
            <w:tcW w:w="567" w:type="dxa"/>
          </w:tcPr>
          <w:p w:rsidR="00000000" w:rsidRDefault="00000000">
            <w:pPr>
              <w:spacing w:before="60" w:after="20" w:line="240" w:lineRule="auto"/>
              <w:jc w:val="center"/>
              <w:rPr>
                <w:rFonts w:ascii="Arial" w:hAnsi="Arial"/>
                <w:sz w:val="16"/>
              </w:rPr>
            </w:pPr>
            <w:r>
              <w:rPr>
                <w:rFonts w:ascii="Arial" w:hAnsi="Arial"/>
                <w:sz w:val="16"/>
              </w:rPr>
              <w:t>М</w:t>
            </w:r>
          </w:p>
        </w:tc>
        <w:tc>
          <w:tcPr>
            <w:tcW w:w="567" w:type="dxa"/>
          </w:tcPr>
          <w:p w:rsidR="00000000" w:rsidRDefault="00000000">
            <w:pPr>
              <w:spacing w:before="60" w:after="20" w:line="240" w:lineRule="auto"/>
              <w:jc w:val="center"/>
              <w:rPr>
                <w:rFonts w:ascii="Arial" w:hAnsi="Arial"/>
                <w:sz w:val="16"/>
              </w:rPr>
            </w:pPr>
            <w:r>
              <w:rPr>
                <w:rFonts w:ascii="Arial" w:hAnsi="Arial"/>
                <w:sz w:val="16"/>
              </w:rPr>
              <w:t>Ж</w:t>
            </w:r>
          </w:p>
        </w:tc>
        <w:tc>
          <w:tcPr>
            <w:tcW w:w="567" w:type="dxa"/>
          </w:tcPr>
          <w:p w:rsidR="00000000" w:rsidRDefault="00000000">
            <w:pPr>
              <w:spacing w:before="60" w:after="20" w:line="240" w:lineRule="auto"/>
              <w:jc w:val="center"/>
              <w:rPr>
                <w:rFonts w:ascii="Arial" w:hAnsi="Arial"/>
                <w:sz w:val="16"/>
              </w:rPr>
            </w:pPr>
            <w:r>
              <w:rPr>
                <w:rFonts w:ascii="Arial" w:hAnsi="Arial"/>
                <w:sz w:val="16"/>
              </w:rPr>
              <w:t>М</w:t>
            </w:r>
          </w:p>
        </w:tc>
        <w:tc>
          <w:tcPr>
            <w:tcW w:w="567" w:type="dxa"/>
          </w:tcPr>
          <w:p w:rsidR="00000000" w:rsidRDefault="00000000">
            <w:pPr>
              <w:spacing w:before="60" w:after="20" w:line="240" w:lineRule="auto"/>
              <w:jc w:val="center"/>
              <w:rPr>
                <w:rFonts w:ascii="Arial" w:hAnsi="Arial"/>
                <w:sz w:val="16"/>
              </w:rPr>
            </w:pPr>
            <w:r>
              <w:rPr>
                <w:rFonts w:ascii="Arial" w:hAnsi="Arial"/>
                <w:sz w:val="16"/>
              </w:rPr>
              <w:t>Ж</w:t>
            </w:r>
          </w:p>
        </w:tc>
        <w:tc>
          <w:tcPr>
            <w:tcW w:w="567" w:type="dxa"/>
          </w:tcPr>
          <w:p w:rsidR="00000000" w:rsidRDefault="00000000">
            <w:pPr>
              <w:spacing w:before="60" w:after="20" w:line="240" w:lineRule="auto"/>
              <w:jc w:val="center"/>
              <w:rPr>
                <w:rFonts w:ascii="Arial" w:hAnsi="Arial"/>
                <w:sz w:val="16"/>
              </w:rPr>
            </w:pPr>
            <w:r>
              <w:rPr>
                <w:rFonts w:ascii="Arial" w:hAnsi="Arial"/>
                <w:sz w:val="16"/>
              </w:rPr>
              <w:t>М</w:t>
            </w:r>
          </w:p>
        </w:tc>
        <w:tc>
          <w:tcPr>
            <w:tcW w:w="567" w:type="dxa"/>
          </w:tcPr>
          <w:p w:rsidR="00000000" w:rsidRDefault="00000000">
            <w:pPr>
              <w:spacing w:before="60" w:after="20" w:line="240" w:lineRule="auto"/>
              <w:jc w:val="center"/>
              <w:rPr>
                <w:rFonts w:ascii="Arial" w:hAnsi="Arial"/>
                <w:sz w:val="16"/>
              </w:rPr>
            </w:pPr>
            <w:r>
              <w:rPr>
                <w:rFonts w:ascii="Arial" w:hAnsi="Arial"/>
                <w:sz w:val="16"/>
              </w:rPr>
              <w:t>Ж</w:t>
            </w:r>
          </w:p>
        </w:tc>
        <w:tc>
          <w:tcPr>
            <w:tcW w:w="567" w:type="dxa"/>
          </w:tcPr>
          <w:p w:rsidR="00000000" w:rsidRDefault="00000000">
            <w:pPr>
              <w:spacing w:before="60" w:after="20" w:line="240" w:lineRule="auto"/>
              <w:jc w:val="center"/>
              <w:rPr>
                <w:rFonts w:ascii="Arial" w:hAnsi="Arial"/>
                <w:sz w:val="16"/>
              </w:rPr>
            </w:pPr>
            <w:r>
              <w:rPr>
                <w:rFonts w:ascii="Arial" w:hAnsi="Arial"/>
                <w:sz w:val="16"/>
              </w:rPr>
              <w:t>М</w:t>
            </w:r>
          </w:p>
        </w:tc>
        <w:tc>
          <w:tcPr>
            <w:tcW w:w="567" w:type="dxa"/>
          </w:tcPr>
          <w:p w:rsidR="00000000" w:rsidRDefault="00000000">
            <w:pPr>
              <w:spacing w:before="60" w:after="20" w:line="240" w:lineRule="auto"/>
              <w:jc w:val="center"/>
              <w:rPr>
                <w:rFonts w:ascii="Arial" w:hAnsi="Arial"/>
                <w:sz w:val="16"/>
              </w:rPr>
            </w:pPr>
            <w:r>
              <w:rPr>
                <w:rFonts w:ascii="Arial" w:hAnsi="Arial"/>
                <w:sz w:val="16"/>
              </w:rPr>
              <w:t>Ж</w:t>
            </w:r>
          </w:p>
        </w:tc>
        <w:tc>
          <w:tcPr>
            <w:tcW w:w="567" w:type="dxa"/>
          </w:tcPr>
          <w:p w:rsidR="00000000" w:rsidRDefault="00000000">
            <w:pPr>
              <w:spacing w:before="60" w:after="20" w:line="240" w:lineRule="auto"/>
              <w:jc w:val="center"/>
              <w:rPr>
                <w:rFonts w:ascii="Arial" w:hAnsi="Arial"/>
                <w:sz w:val="16"/>
              </w:rPr>
            </w:pPr>
            <w:r>
              <w:rPr>
                <w:rFonts w:ascii="Arial" w:hAnsi="Arial"/>
                <w:sz w:val="16"/>
              </w:rPr>
              <w:t>М</w:t>
            </w:r>
          </w:p>
        </w:tc>
        <w:tc>
          <w:tcPr>
            <w:tcW w:w="567" w:type="dxa"/>
          </w:tcPr>
          <w:p w:rsidR="00000000" w:rsidRDefault="00000000">
            <w:pPr>
              <w:spacing w:before="60" w:after="20" w:line="240" w:lineRule="auto"/>
              <w:jc w:val="center"/>
              <w:rPr>
                <w:rFonts w:ascii="Arial" w:hAnsi="Arial"/>
                <w:sz w:val="16"/>
              </w:rPr>
            </w:pPr>
            <w:r>
              <w:rPr>
                <w:rFonts w:ascii="Arial" w:hAnsi="Arial"/>
                <w:sz w:val="16"/>
              </w:rPr>
              <w:t>Ж</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Прикладное искусство</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144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275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164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127</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63</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114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24</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Техобслуживание и ремонт автомобилей</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298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60</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319</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17</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291</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12</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189</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31</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77</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128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Косметика, массаж, парикмахерское дело</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45</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554</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36</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459</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398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10</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375</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186</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248</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Строительство</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270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196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198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178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112</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Ремесла</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125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37</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95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13</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Электротехника и электроника</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661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37</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612</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636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558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353</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354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27</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Семейное обслуживание</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158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38</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Приготовление пищи</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110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424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336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100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368</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342</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71</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233</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216</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Конструирование одежды</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63</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589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83</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496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95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519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69</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447</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157</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20</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162</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Конструирование и производство изделий из металла</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403</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382</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21</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398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11</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298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36</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234</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11</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238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11</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Услуги по оказанию секретарской/деловой поддержки</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58</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787</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69</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755</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55</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649</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43</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636</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31</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293</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26</w:t>
            </w:r>
          </w:p>
        </w:tc>
        <w:tc>
          <w:tcPr>
            <w:tcW w:w="567" w:type="dxa"/>
            <w:vAlign w:val="bottom"/>
          </w:tcPr>
          <w:p w:rsidR="00000000" w:rsidRDefault="00000000">
            <w:pPr>
              <w:tabs>
                <w:tab w:val="clear" w:pos="680"/>
                <w:tab w:val="decimal" w:pos="340"/>
              </w:tabs>
              <w:spacing w:before="40" w:after="40" w:line="240" w:lineRule="auto"/>
              <w:rPr>
                <w:rFonts w:ascii="Arial" w:hAnsi="Arial"/>
                <w:sz w:val="16"/>
              </w:rPr>
            </w:pPr>
            <w:r>
              <w:rPr>
                <w:rFonts w:ascii="Arial" w:hAnsi="Arial"/>
                <w:sz w:val="16"/>
              </w:rPr>
              <w:t>322</w:t>
            </w:r>
          </w:p>
        </w:tc>
      </w:tr>
      <w:tr w:rsidR="00000000">
        <w:tblPrEx>
          <w:tblCellMar>
            <w:top w:w="0" w:type="dxa"/>
            <w:bottom w:w="0" w:type="dxa"/>
          </w:tblCellMar>
        </w:tblPrEx>
        <w:tc>
          <w:tcPr>
            <w:tcW w:w="2552" w:type="dxa"/>
          </w:tcPr>
          <w:p w:rsidR="00000000" w:rsidRDefault="00000000">
            <w:pPr>
              <w:spacing w:before="40" w:after="40" w:line="240" w:lineRule="auto"/>
              <w:jc w:val="left"/>
              <w:rPr>
                <w:rFonts w:ascii="Arial" w:hAnsi="Arial"/>
                <w:sz w:val="16"/>
              </w:rPr>
            </w:pPr>
            <w:r>
              <w:rPr>
                <w:rFonts w:ascii="Arial" w:hAnsi="Arial"/>
                <w:sz w:val="16"/>
              </w:rPr>
              <w:t>Туризм и гостиничный бизнес</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16</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83</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14</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65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17</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12</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5</w:t>
            </w:r>
          </w:p>
        </w:tc>
        <w:tc>
          <w:tcPr>
            <w:tcW w:w="567" w:type="dxa"/>
          </w:tcPr>
          <w:p w:rsidR="00000000" w:rsidRDefault="00000000">
            <w:pPr>
              <w:tabs>
                <w:tab w:val="clear" w:pos="680"/>
                <w:tab w:val="decimal" w:pos="340"/>
              </w:tabs>
              <w:spacing w:before="40" w:after="40" w:line="240" w:lineRule="auto"/>
              <w:rPr>
                <w:rFonts w:ascii="Arial" w:hAnsi="Arial"/>
                <w:sz w:val="16"/>
              </w:rPr>
            </w:pPr>
            <w:r>
              <w:rPr>
                <w:rFonts w:ascii="Arial" w:hAnsi="Arial"/>
                <w:sz w:val="16"/>
              </w:rPr>
              <w:t>9</w:t>
            </w:r>
          </w:p>
        </w:tc>
      </w:tr>
    </w:tbl>
    <w:p w:rsidR="00000000" w:rsidRDefault="00000000"/>
    <w:p w:rsidR="00000000" w:rsidRDefault="00000000">
      <w:pPr>
        <w:spacing w:after="0"/>
        <w:rPr>
          <w:b/>
        </w:rPr>
      </w:pPr>
      <w:r>
        <w:rPr>
          <w:b/>
          <w:lang w:val="en-US"/>
        </w:rPr>
        <w:tab/>
      </w:r>
      <w:r>
        <w:rPr>
          <w:b/>
        </w:rPr>
        <w:t xml:space="preserve">Данные о количественном составе, циклы 11–16 </w:t>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02"/>
        <w:gridCol w:w="1985"/>
        <w:gridCol w:w="1985"/>
        <w:gridCol w:w="1985"/>
      </w:tblGrid>
      <w:tr w:rsidR="00000000">
        <w:tblPrEx>
          <w:tblCellMar>
            <w:top w:w="0" w:type="dxa"/>
            <w:bottom w:w="0" w:type="dxa"/>
          </w:tblCellMar>
        </w:tblPrEx>
        <w:tc>
          <w:tcPr>
            <w:tcW w:w="3402" w:type="dxa"/>
          </w:tcPr>
          <w:p w:rsidR="00000000" w:rsidRDefault="00000000">
            <w:pPr>
              <w:spacing w:before="40" w:after="0" w:line="240" w:lineRule="auto"/>
              <w:jc w:val="center"/>
              <w:rPr>
                <w:rFonts w:ascii="Arial" w:hAnsi="Arial"/>
                <w:b/>
                <w:sz w:val="16"/>
              </w:rPr>
            </w:pPr>
            <w:r>
              <w:rPr>
                <w:rFonts w:ascii="Arial" w:hAnsi="Arial"/>
                <w:b/>
                <w:sz w:val="16"/>
              </w:rPr>
              <w:t>ЦИКЛ/ГОД</w:t>
            </w:r>
          </w:p>
        </w:tc>
        <w:tc>
          <w:tcPr>
            <w:tcW w:w="1985" w:type="dxa"/>
          </w:tcPr>
          <w:p w:rsidR="00000000" w:rsidRDefault="00000000">
            <w:pPr>
              <w:spacing w:before="40" w:after="0" w:line="240" w:lineRule="auto"/>
              <w:jc w:val="center"/>
              <w:rPr>
                <w:rFonts w:ascii="Arial" w:hAnsi="Arial"/>
                <w:b/>
                <w:sz w:val="16"/>
              </w:rPr>
            </w:pPr>
            <w:r>
              <w:rPr>
                <w:rFonts w:ascii="Arial" w:hAnsi="Arial"/>
                <w:b/>
                <w:sz w:val="16"/>
              </w:rPr>
              <w:t>МУЖЧИНЫ</w:t>
            </w:r>
          </w:p>
        </w:tc>
        <w:tc>
          <w:tcPr>
            <w:tcW w:w="1985" w:type="dxa"/>
          </w:tcPr>
          <w:p w:rsidR="00000000" w:rsidRDefault="00000000">
            <w:pPr>
              <w:spacing w:before="40" w:after="0" w:line="240" w:lineRule="auto"/>
              <w:jc w:val="center"/>
              <w:rPr>
                <w:rFonts w:ascii="Arial" w:hAnsi="Arial"/>
                <w:b/>
                <w:sz w:val="16"/>
              </w:rPr>
            </w:pPr>
            <w:r>
              <w:rPr>
                <w:rFonts w:ascii="Arial" w:hAnsi="Arial"/>
                <w:b/>
                <w:sz w:val="16"/>
              </w:rPr>
              <w:t>ЖЕНЩИНЫ</w:t>
            </w:r>
          </w:p>
        </w:tc>
        <w:tc>
          <w:tcPr>
            <w:tcW w:w="1985" w:type="dxa"/>
          </w:tcPr>
          <w:p w:rsidR="00000000" w:rsidRDefault="00000000">
            <w:pPr>
              <w:spacing w:before="40" w:after="0" w:line="240" w:lineRule="auto"/>
              <w:jc w:val="center"/>
              <w:rPr>
                <w:rFonts w:ascii="Arial" w:hAnsi="Arial"/>
                <w:b/>
                <w:sz w:val="16"/>
              </w:rPr>
            </w:pPr>
            <w:r>
              <w:rPr>
                <w:rFonts w:ascii="Arial" w:hAnsi="Arial"/>
                <w:b/>
                <w:sz w:val="16"/>
              </w:rPr>
              <w:t>ВСЕГО</w:t>
            </w:r>
          </w:p>
        </w:tc>
      </w:tr>
      <w:tr w:rsidR="00000000">
        <w:tblPrEx>
          <w:tblCellMar>
            <w:top w:w="0" w:type="dxa"/>
            <w:bottom w:w="0" w:type="dxa"/>
          </w:tblCellMar>
        </w:tblPrEx>
        <w:tc>
          <w:tcPr>
            <w:tcW w:w="3402" w:type="dxa"/>
          </w:tcPr>
          <w:p w:rsidR="00000000" w:rsidRDefault="00000000">
            <w:pPr>
              <w:spacing w:before="20" w:after="20" w:line="240" w:lineRule="auto"/>
              <w:rPr>
                <w:rFonts w:ascii="Arial" w:hAnsi="Arial"/>
                <w:sz w:val="16"/>
              </w:rPr>
            </w:pPr>
            <w:r>
              <w:rPr>
                <w:rFonts w:ascii="Arial" w:hAnsi="Arial"/>
                <w:sz w:val="16"/>
              </w:rPr>
              <w:t>Цикл 11 (1996)</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2</w:t>
            </w:r>
            <w:r>
              <w:rPr>
                <w:rFonts w:ascii="Arial" w:hAnsi="Arial"/>
                <w:sz w:val="16"/>
                <w:lang w:val="en-US"/>
              </w:rPr>
              <w:t xml:space="preserve"> </w:t>
            </w:r>
            <w:r>
              <w:rPr>
                <w:rFonts w:ascii="Arial" w:hAnsi="Arial"/>
                <w:sz w:val="16"/>
              </w:rPr>
              <w:t>108</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3</w:t>
            </w:r>
            <w:r>
              <w:rPr>
                <w:rFonts w:ascii="Arial" w:hAnsi="Arial"/>
                <w:sz w:val="16"/>
                <w:lang w:val="en-US"/>
              </w:rPr>
              <w:t xml:space="preserve"> </w:t>
            </w:r>
            <w:r>
              <w:rPr>
                <w:rFonts w:ascii="Arial" w:hAnsi="Arial"/>
                <w:sz w:val="16"/>
              </w:rPr>
              <w:t>119</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5</w:t>
            </w:r>
            <w:r>
              <w:rPr>
                <w:rFonts w:ascii="Arial" w:hAnsi="Arial"/>
                <w:sz w:val="16"/>
                <w:lang w:val="en-US"/>
              </w:rPr>
              <w:t xml:space="preserve"> </w:t>
            </w:r>
            <w:r>
              <w:rPr>
                <w:rFonts w:ascii="Arial" w:hAnsi="Arial"/>
                <w:sz w:val="16"/>
              </w:rPr>
              <w:t>227</w:t>
            </w:r>
          </w:p>
        </w:tc>
      </w:tr>
      <w:tr w:rsidR="00000000">
        <w:tblPrEx>
          <w:tblCellMar>
            <w:top w:w="0" w:type="dxa"/>
            <w:bottom w:w="0" w:type="dxa"/>
          </w:tblCellMar>
        </w:tblPrEx>
        <w:tc>
          <w:tcPr>
            <w:tcW w:w="3402" w:type="dxa"/>
          </w:tcPr>
          <w:p w:rsidR="00000000" w:rsidRDefault="00000000">
            <w:pPr>
              <w:spacing w:before="20" w:after="20" w:line="240" w:lineRule="auto"/>
              <w:rPr>
                <w:rFonts w:ascii="Arial" w:hAnsi="Arial"/>
                <w:sz w:val="16"/>
              </w:rPr>
            </w:pPr>
            <w:r>
              <w:rPr>
                <w:rFonts w:ascii="Arial" w:hAnsi="Arial"/>
                <w:sz w:val="16"/>
              </w:rPr>
              <w:t>Цикл 12 (1997)</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1</w:t>
            </w:r>
            <w:r>
              <w:rPr>
                <w:rFonts w:ascii="Arial" w:hAnsi="Arial"/>
                <w:sz w:val="16"/>
                <w:lang w:val="en-US"/>
              </w:rPr>
              <w:t xml:space="preserve"> </w:t>
            </w:r>
            <w:r>
              <w:rPr>
                <w:rFonts w:ascii="Arial" w:hAnsi="Arial"/>
                <w:sz w:val="16"/>
              </w:rPr>
              <w:t>916</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2</w:t>
            </w:r>
            <w:r>
              <w:rPr>
                <w:rFonts w:ascii="Arial" w:hAnsi="Arial"/>
                <w:sz w:val="16"/>
                <w:lang w:val="en-US"/>
              </w:rPr>
              <w:t xml:space="preserve"> </w:t>
            </w:r>
            <w:r>
              <w:rPr>
                <w:rFonts w:ascii="Arial" w:hAnsi="Arial"/>
                <w:sz w:val="16"/>
              </w:rPr>
              <w:t>491</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4</w:t>
            </w:r>
            <w:r>
              <w:rPr>
                <w:rFonts w:ascii="Arial" w:hAnsi="Arial"/>
                <w:sz w:val="16"/>
                <w:lang w:val="en-US"/>
              </w:rPr>
              <w:t xml:space="preserve"> </w:t>
            </w:r>
            <w:r>
              <w:rPr>
                <w:rFonts w:ascii="Arial" w:hAnsi="Arial"/>
                <w:sz w:val="16"/>
              </w:rPr>
              <w:t>407</w:t>
            </w:r>
          </w:p>
        </w:tc>
      </w:tr>
      <w:tr w:rsidR="00000000">
        <w:tblPrEx>
          <w:tblCellMar>
            <w:top w:w="0" w:type="dxa"/>
            <w:bottom w:w="0" w:type="dxa"/>
          </w:tblCellMar>
        </w:tblPrEx>
        <w:tc>
          <w:tcPr>
            <w:tcW w:w="3402" w:type="dxa"/>
          </w:tcPr>
          <w:p w:rsidR="00000000" w:rsidRDefault="00000000">
            <w:pPr>
              <w:spacing w:before="20" w:after="20" w:line="240" w:lineRule="auto"/>
              <w:rPr>
                <w:rFonts w:ascii="Arial" w:hAnsi="Arial"/>
                <w:sz w:val="16"/>
              </w:rPr>
            </w:pPr>
            <w:r>
              <w:rPr>
                <w:rFonts w:ascii="Arial" w:hAnsi="Arial"/>
                <w:sz w:val="16"/>
              </w:rPr>
              <w:t>Цикл 13 (1998)</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1</w:t>
            </w:r>
            <w:r>
              <w:rPr>
                <w:rFonts w:ascii="Arial" w:hAnsi="Arial"/>
                <w:sz w:val="16"/>
                <w:lang w:val="en-US"/>
              </w:rPr>
              <w:t xml:space="preserve"> </w:t>
            </w:r>
            <w:r>
              <w:rPr>
                <w:rFonts w:ascii="Arial" w:hAnsi="Arial"/>
                <w:sz w:val="16"/>
              </w:rPr>
              <w:t>905</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2</w:t>
            </w:r>
            <w:r>
              <w:rPr>
                <w:rFonts w:ascii="Arial" w:hAnsi="Arial"/>
                <w:sz w:val="16"/>
                <w:lang w:val="en-US"/>
              </w:rPr>
              <w:t xml:space="preserve"> </w:t>
            </w:r>
            <w:r>
              <w:rPr>
                <w:rFonts w:ascii="Arial" w:hAnsi="Arial"/>
                <w:sz w:val="16"/>
              </w:rPr>
              <w:t>285</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4</w:t>
            </w:r>
            <w:r>
              <w:rPr>
                <w:rFonts w:ascii="Arial" w:hAnsi="Arial"/>
                <w:sz w:val="16"/>
                <w:lang w:val="en-US"/>
              </w:rPr>
              <w:t xml:space="preserve"> </w:t>
            </w:r>
            <w:r>
              <w:rPr>
                <w:rFonts w:ascii="Arial" w:hAnsi="Arial"/>
                <w:sz w:val="16"/>
              </w:rPr>
              <w:t>194</w:t>
            </w:r>
          </w:p>
        </w:tc>
      </w:tr>
      <w:tr w:rsidR="00000000">
        <w:tblPrEx>
          <w:tblCellMar>
            <w:top w:w="0" w:type="dxa"/>
            <w:bottom w:w="0" w:type="dxa"/>
          </w:tblCellMar>
        </w:tblPrEx>
        <w:tc>
          <w:tcPr>
            <w:tcW w:w="3402" w:type="dxa"/>
          </w:tcPr>
          <w:p w:rsidR="00000000" w:rsidRDefault="00000000">
            <w:pPr>
              <w:spacing w:before="20" w:after="20" w:line="240" w:lineRule="auto"/>
              <w:rPr>
                <w:rFonts w:ascii="Arial" w:hAnsi="Arial"/>
                <w:sz w:val="16"/>
              </w:rPr>
            </w:pPr>
            <w:r>
              <w:rPr>
                <w:rFonts w:ascii="Arial" w:hAnsi="Arial"/>
                <w:sz w:val="16"/>
              </w:rPr>
              <w:t>Цикл 14 (1998)</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1</w:t>
            </w:r>
            <w:r>
              <w:rPr>
                <w:rFonts w:ascii="Arial" w:hAnsi="Arial"/>
                <w:sz w:val="16"/>
                <w:lang w:val="en-US"/>
              </w:rPr>
              <w:t xml:space="preserve"> </w:t>
            </w:r>
            <w:r>
              <w:rPr>
                <w:rFonts w:ascii="Arial" w:hAnsi="Arial"/>
                <w:sz w:val="16"/>
              </w:rPr>
              <w:t>552</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2</w:t>
            </w:r>
            <w:r>
              <w:rPr>
                <w:rFonts w:ascii="Arial" w:hAnsi="Arial"/>
                <w:sz w:val="16"/>
                <w:lang w:val="en-US"/>
              </w:rPr>
              <w:t xml:space="preserve"> </w:t>
            </w:r>
            <w:r>
              <w:rPr>
                <w:rFonts w:ascii="Arial" w:hAnsi="Arial"/>
                <w:sz w:val="16"/>
              </w:rPr>
              <w:t>243</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3</w:t>
            </w:r>
            <w:r>
              <w:rPr>
                <w:rFonts w:ascii="Arial" w:hAnsi="Arial"/>
                <w:sz w:val="16"/>
                <w:lang w:val="en-US"/>
              </w:rPr>
              <w:t xml:space="preserve"> </w:t>
            </w:r>
            <w:r>
              <w:rPr>
                <w:rFonts w:ascii="Arial" w:hAnsi="Arial"/>
                <w:sz w:val="16"/>
              </w:rPr>
              <w:t>795</w:t>
            </w:r>
          </w:p>
        </w:tc>
      </w:tr>
      <w:tr w:rsidR="00000000">
        <w:tblPrEx>
          <w:tblCellMar>
            <w:top w:w="0" w:type="dxa"/>
            <w:bottom w:w="0" w:type="dxa"/>
          </w:tblCellMar>
        </w:tblPrEx>
        <w:tc>
          <w:tcPr>
            <w:tcW w:w="3402" w:type="dxa"/>
          </w:tcPr>
          <w:p w:rsidR="00000000" w:rsidRDefault="00000000">
            <w:pPr>
              <w:spacing w:before="20" w:after="20" w:line="240" w:lineRule="auto"/>
              <w:rPr>
                <w:rFonts w:ascii="Arial" w:hAnsi="Arial"/>
                <w:sz w:val="16"/>
              </w:rPr>
            </w:pPr>
            <w:r>
              <w:rPr>
                <w:rFonts w:ascii="Arial" w:hAnsi="Arial"/>
                <w:sz w:val="16"/>
              </w:rPr>
              <w:t>Цикл 15(1999)</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919</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990</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1</w:t>
            </w:r>
            <w:r>
              <w:rPr>
                <w:rFonts w:ascii="Arial" w:hAnsi="Arial"/>
                <w:sz w:val="16"/>
                <w:lang w:val="en-US"/>
              </w:rPr>
              <w:t xml:space="preserve"> </w:t>
            </w:r>
            <w:r>
              <w:rPr>
                <w:rFonts w:ascii="Arial" w:hAnsi="Arial"/>
                <w:sz w:val="16"/>
              </w:rPr>
              <w:t>909</w:t>
            </w:r>
          </w:p>
        </w:tc>
      </w:tr>
      <w:tr w:rsidR="00000000">
        <w:tblPrEx>
          <w:tblCellMar>
            <w:top w:w="0" w:type="dxa"/>
            <w:bottom w:w="0" w:type="dxa"/>
          </w:tblCellMar>
        </w:tblPrEx>
        <w:tc>
          <w:tcPr>
            <w:tcW w:w="3402" w:type="dxa"/>
          </w:tcPr>
          <w:p w:rsidR="00000000" w:rsidRDefault="00000000">
            <w:pPr>
              <w:spacing w:before="20" w:after="20" w:line="240" w:lineRule="auto"/>
              <w:rPr>
                <w:rFonts w:ascii="Arial" w:hAnsi="Arial"/>
                <w:sz w:val="16"/>
              </w:rPr>
            </w:pPr>
            <w:r>
              <w:rPr>
                <w:rFonts w:ascii="Arial" w:hAnsi="Arial"/>
                <w:sz w:val="16"/>
              </w:rPr>
              <w:t>Цикл 16 (2000)</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986</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1</w:t>
            </w:r>
            <w:r>
              <w:rPr>
                <w:rFonts w:ascii="Arial" w:hAnsi="Arial"/>
                <w:sz w:val="16"/>
                <w:lang w:val="en-US"/>
              </w:rPr>
              <w:t xml:space="preserve"> </w:t>
            </w:r>
            <w:r>
              <w:rPr>
                <w:rFonts w:ascii="Arial" w:hAnsi="Arial"/>
                <w:sz w:val="16"/>
              </w:rPr>
              <w:t>079</w:t>
            </w:r>
          </w:p>
        </w:tc>
        <w:tc>
          <w:tcPr>
            <w:tcW w:w="1985" w:type="dxa"/>
          </w:tcPr>
          <w:p w:rsidR="00000000" w:rsidRDefault="00000000">
            <w:pPr>
              <w:tabs>
                <w:tab w:val="clear" w:pos="340"/>
                <w:tab w:val="clear" w:pos="680"/>
                <w:tab w:val="decimal" w:pos="1134"/>
              </w:tabs>
              <w:spacing w:before="20" w:after="20" w:line="240" w:lineRule="auto"/>
              <w:rPr>
                <w:rFonts w:ascii="Arial" w:hAnsi="Arial"/>
                <w:sz w:val="16"/>
              </w:rPr>
            </w:pPr>
            <w:r>
              <w:rPr>
                <w:rFonts w:ascii="Arial" w:hAnsi="Arial"/>
                <w:sz w:val="16"/>
              </w:rPr>
              <w:t>2</w:t>
            </w:r>
            <w:r>
              <w:rPr>
                <w:rFonts w:ascii="Arial" w:hAnsi="Arial"/>
                <w:sz w:val="16"/>
                <w:lang w:val="en-US"/>
              </w:rPr>
              <w:t xml:space="preserve"> </w:t>
            </w:r>
            <w:r>
              <w:rPr>
                <w:rFonts w:ascii="Arial" w:hAnsi="Arial"/>
                <w:sz w:val="16"/>
              </w:rPr>
              <w:t>065</w:t>
            </w:r>
          </w:p>
        </w:tc>
      </w:tr>
    </w:tbl>
    <w:p w:rsidR="00000000" w:rsidRDefault="00000000"/>
    <w:p w:rsidR="00000000" w:rsidRDefault="00000000">
      <w:r>
        <w:t>224.</w:t>
      </w:r>
      <w:r>
        <w:tab/>
        <w:t xml:space="preserve">В 1998 году Министерство культуры и гендерных проблем от имени правительства заключило соглашение о техническом сотрудничестве с Межамериканским банком развития в целях осуществления региональной программы нетрадиционной подготовки женщин при участии Гайаны, Белиза и Ямайки. Программа призвана соединить возможности рынка труда, подготовки и занятости женщин с мерами по борьбе с нищетой. В настоящее время принимаются необходимые меры, содействующие осуществлению этой программы. </w:t>
      </w:r>
    </w:p>
    <w:p w:rsidR="00000000" w:rsidRDefault="00000000">
      <w:r>
        <w:t>225.</w:t>
      </w:r>
      <w:r>
        <w:tab/>
        <w:t xml:space="preserve">В 1999 году Отдел гендерных проблем Министерства культуры и гендерных проблем приступил к реализации программы для женщин "Второй шанс". Эта программа ориентирована на участие в ней женщин – представительниц бедных и наиболее уязвимых слоев населения страны, особенно одиноких женщин, являющихся главой семьи, и предлагает им пройти подготовку в области сельскохозяйственного производства, технологии выращивания растений в ящиках и ухода за престарелыми, а также организует для детей центры кустарных промыслов по месту жительства. На время учебы учащимся выплачивается стипендия для покрытия расходов, связанных с транспортом, питанием и удовлетворением личных нужд. В рамках учебного курса изучаются модели личностного развития и саморазвития, с тем чтобы повысить умение женщин справляться со сложными обстоятельствами. Последующая помощь участникам программы состоит в обеспечении их занятости, развитии микропредпринимательства и обеспечении устойчивых заработков в качестве обязательного аспекта выполнения портфеля программ. Например, принимаются меры, поощряющие участников программы подготовки в области сельскохозяйственного производства создавать собственные неправительственные организации, после чего им оказывается помощь в составлении ходатайства о предоставлении субсидии в Фонде общинного развития для обеспечения устойчивого характера их сельскохозяйственной деятельности.  </w:t>
      </w:r>
    </w:p>
    <w:p w:rsidR="00000000" w:rsidRDefault="00000000">
      <w:r>
        <w:t>226.</w:t>
      </w:r>
      <w:r>
        <w:tab/>
        <w:t>Девочки/женщины пользуются одинаковыми по сравнению с мальчиками/мужчинами возможностями при получении стипендий и других субсидий на обучение. Критерии, которые учитываются при выделении субсидий/стипендий, основываются на академической успеваемости и не зависят от гендерного фактора.</w:t>
      </w:r>
    </w:p>
    <w:p w:rsidR="00000000" w:rsidRDefault="00000000">
      <w:pPr>
        <w:spacing w:after="0"/>
      </w:pPr>
      <w:r>
        <w:t>227.</w:t>
      </w:r>
      <w:r>
        <w:tab/>
      </w:r>
      <w:r>
        <w:rPr>
          <w:b/>
        </w:rPr>
        <w:t>Предоставленные учащимся стипендии с разбивкой по году и полу, 1995–1999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78"/>
        <w:gridCol w:w="624"/>
        <w:gridCol w:w="624"/>
        <w:gridCol w:w="624"/>
        <w:gridCol w:w="624"/>
        <w:gridCol w:w="624"/>
        <w:gridCol w:w="624"/>
        <w:gridCol w:w="624"/>
        <w:gridCol w:w="624"/>
        <w:gridCol w:w="624"/>
        <w:gridCol w:w="624"/>
      </w:tblGrid>
      <w:tr w:rsidR="00000000">
        <w:tblPrEx>
          <w:tblCellMar>
            <w:top w:w="0" w:type="dxa"/>
            <w:bottom w:w="0" w:type="dxa"/>
          </w:tblCellMar>
        </w:tblPrEx>
        <w:trPr>
          <w:cantSplit/>
        </w:trPr>
        <w:tc>
          <w:tcPr>
            <w:tcW w:w="2778" w:type="dxa"/>
            <w:vMerge w:val="restart"/>
          </w:tcPr>
          <w:p w:rsidR="00000000" w:rsidRDefault="00000000">
            <w:pPr>
              <w:spacing w:before="60" w:after="20" w:line="240" w:lineRule="auto"/>
              <w:jc w:val="center"/>
              <w:rPr>
                <w:rFonts w:ascii="Arial" w:hAnsi="Arial"/>
                <w:sz w:val="16"/>
              </w:rPr>
            </w:pPr>
            <w:r>
              <w:rPr>
                <w:rFonts w:ascii="Arial" w:hAnsi="Arial"/>
                <w:sz w:val="16"/>
              </w:rPr>
              <w:t>СТИПЕНДИЯ</w:t>
            </w:r>
          </w:p>
        </w:tc>
        <w:tc>
          <w:tcPr>
            <w:tcW w:w="1248" w:type="dxa"/>
            <w:gridSpan w:val="2"/>
          </w:tcPr>
          <w:p w:rsidR="00000000" w:rsidRDefault="00000000">
            <w:pPr>
              <w:spacing w:before="60" w:after="20" w:line="240" w:lineRule="auto"/>
              <w:jc w:val="center"/>
              <w:rPr>
                <w:rFonts w:ascii="Arial" w:hAnsi="Arial"/>
                <w:sz w:val="16"/>
              </w:rPr>
            </w:pPr>
            <w:r>
              <w:rPr>
                <w:rFonts w:ascii="Arial" w:hAnsi="Arial"/>
                <w:sz w:val="16"/>
              </w:rPr>
              <w:t>1995 год</w:t>
            </w:r>
          </w:p>
        </w:tc>
        <w:tc>
          <w:tcPr>
            <w:tcW w:w="1248" w:type="dxa"/>
            <w:gridSpan w:val="2"/>
          </w:tcPr>
          <w:p w:rsidR="00000000" w:rsidRDefault="00000000">
            <w:pPr>
              <w:spacing w:before="60" w:after="20" w:line="240" w:lineRule="auto"/>
              <w:jc w:val="center"/>
              <w:rPr>
                <w:rFonts w:ascii="Arial" w:hAnsi="Arial"/>
                <w:sz w:val="16"/>
              </w:rPr>
            </w:pPr>
            <w:r>
              <w:rPr>
                <w:rFonts w:ascii="Arial" w:hAnsi="Arial"/>
                <w:sz w:val="16"/>
              </w:rPr>
              <w:t>1996 год</w:t>
            </w:r>
          </w:p>
        </w:tc>
        <w:tc>
          <w:tcPr>
            <w:tcW w:w="1248" w:type="dxa"/>
            <w:gridSpan w:val="2"/>
          </w:tcPr>
          <w:p w:rsidR="00000000" w:rsidRDefault="00000000">
            <w:pPr>
              <w:spacing w:before="60" w:after="20" w:line="240" w:lineRule="auto"/>
              <w:jc w:val="center"/>
              <w:rPr>
                <w:rFonts w:ascii="Arial" w:hAnsi="Arial"/>
                <w:sz w:val="16"/>
              </w:rPr>
            </w:pPr>
            <w:r>
              <w:rPr>
                <w:rFonts w:ascii="Arial" w:hAnsi="Arial"/>
                <w:sz w:val="16"/>
              </w:rPr>
              <w:t>1997 год</w:t>
            </w:r>
          </w:p>
        </w:tc>
        <w:tc>
          <w:tcPr>
            <w:tcW w:w="1248" w:type="dxa"/>
            <w:gridSpan w:val="2"/>
          </w:tcPr>
          <w:p w:rsidR="00000000" w:rsidRDefault="00000000">
            <w:pPr>
              <w:spacing w:before="60" w:after="20" w:line="240" w:lineRule="auto"/>
              <w:jc w:val="center"/>
              <w:rPr>
                <w:rFonts w:ascii="Arial" w:hAnsi="Arial"/>
                <w:sz w:val="16"/>
              </w:rPr>
            </w:pPr>
            <w:r>
              <w:rPr>
                <w:rFonts w:ascii="Arial" w:hAnsi="Arial"/>
                <w:sz w:val="16"/>
              </w:rPr>
              <w:t>1998 год</w:t>
            </w:r>
          </w:p>
        </w:tc>
        <w:tc>
          <w:tcPr>
            <w:tcW w:w="1248" w:type="dxa"/>
            <w:gridSpan w:val="2"/>
          </w:tcPr>
          <w:p w:rsidR="00000000" w:rsidRDefault="00000000">
            <w:pPr>
              <w:spacing w:before="60" w:after="20" w:line="240" w:lineRule="auto"/>
              <w:jc w:val="center"/>
              <w:rPr>
                <w:rFonts w:ascii="Arial" w:hAnsi="Arial"/>
                <w:sz w:val="16"/>
              </w:rPr>
            </w:pPr>
            <w:r>
              <w:rPr>
                <w:rFonts w:ascii="Arial" w:hAnsi="Arial"/>
                <w:sz w:val="16"/>
              </w:rPr>
              <w:t>1999 год</w:t>
            </w:r>
          </w:p>
        </w:tc>
      </w:tr>
      <w:tr w:rsidR="00000000">
        <w:tblPrEx>
          <w:tblCellMar>
            <w:top w:w="0" w:type="dxa"/>
            <w:bottom w:w="0" w:type="dxa"/>
          </w:tblCellMar>
        </w:tblPrEx>
        <w:trPr>
          <w:cantSplit/>
        </w:trPr>
        <w:tc>
          <w:tcPr>
            <w:tcW w:w="2778" w:type="dxa"/>
            <w:vMerge/>
          </w:tcPr>
          <w:p w:rsidR="00000000" w:rsidRDefault="00000000">
            <w:pPr>
              <w:spacing w:before="60" w:after="20" w:line="240" w:lineRule="auto"/>
              <w:jc w:val="center"/>
              <w:rPr>
                <w:rFonts w:ascii="Arial" w:hAnsi="Arial"/>
                <w:sz w:val="16"/>
              </w:rPr>
            </w:pPr>
          </w:p>
        </w:tc>
        <w:tc>
          <w:tcPr>
            <w:tcW w:w="624" w:type="dxa"/>
          </w:tcPr>
          <w:p w:rsidR="00000000" w:rsidRDefault="00000000">
            <w:pPr>
              <w:spacing w:before="60" w:after="20" w:line="240" w:lineRule="auto"/>
              <w:jc w:val="center"/>
              <w:rPr>
                <w:rFonts w:ascii="Arial" w:hAnsi="Arial"/>
                <w:sz w:val="16"/>
              </w:rPr>
            </w:pPr>
            <w:r>
              <w:rPr>
                <w:rFonts w:ascii="Arial" w:hAnsi="Arial"/>
                <w:sz w:val="16"/>
              </w:rPr>
              <w:t>М</w:t>
            </w:r>
          </w:p>
        </w:tc>
        <w:tc>
          <w:tcPr>
            <w:tcW w:w="624" w:type="dxa"/>
          </w:tcPr>
          <w:p w:rsidR="00000000" w:rsidRDefault="00000000">
            <w:pPr>
              <w:spacing w:before="60" w:after="20" w:line="240" w:lineRule="auto"/>
              <w:jc w:val="center"/>
              <w:rPr>
                <w:rFonts w:ascii="Arial" w:hAnsi="Arial"/>
                <w:sz w:val="16"/>
              </w:rPr>
            </w:pPr>
            <w:r>
              <w:rPr>
                <w:rFonts w:ascii="Arial" w:hAnsi="Arial"/>
                <w:sz w:val="16"/>
              </w:rPr>
              <w:t>Ж</w:t>
            </w:r>
          </w:p>
        </w:tc>
        <w:tc>
          <w:tcPr>
            <w:tcW w:w="624" w:type="dxa"/>
          </w:tcPr>
          <w:p w:rsidR="00000000" w:rsidRDefault="00000000">
            <w:pPr>
              <w:spacing w:before="60" w:after="20" w:line="240" w:lineRule="auto"/>
              <w:jc w:val="center"/>
              <w:rPr>
                <w:rFonts w:ascii="Arial" w:hAnsi="Arial"/>
                <w:sz w:val="16"/>
              </w:rPr>
            </w:pPr>
            <w:r>
              <w:rPr>
                <w:rFonts w:ascii="Arial" w:hAnsi="Arial"/>
                <w:sz w:val="16"/>
              </w:rPr>
              <w:t>М</w:t>
            </w:r>
          </w:p>
        </w:tc>
        <w:tc>
          <w:tcPr>
            <w:tcW w:w="624" w:type="dxa"/>
          </w:tcPr>
          <w:p w:rsidR="00000000" w:rsidRDefault="00000000">
            <w:pPr>
              <w:spacing w:before="60" w:after="20" w:line="240" w:lineRule="auto"/>
              <w:jc w:val="center"/>
              <w:rPr>
                <w:rFonts w:ascii="Arial" w:hAnsi="Arial"/>
                <w:sz w:val="16"/>
              </w:rPr>
            </w:pPr>
            <w:r>
              <w:rPr>
                <w:rFonts w:ascii="Arial" w:hAnsi="Arial"/>
                <w:sz w:val="16"/>
              </w:rPr>
              <w:t>Ж</w:t>
            </w:r>
          </w:p>
        </w:tc>
        <w:tc>
          <w:tcPr>
            <w:tcW w:w="624" w:type="dxa"/>
          </w:tcPr>
          <w:p w:rsidR="00000000" w:rsidRDefault="00000000">
            <w:pPr>
              <w:spacing w:before="60" w:after="20" w:line="240" w:lineRule="auto"/>
              <w:jc w:val="center"/>
              <w:rPr>
                <w:rFonts w:ascii="Arial" w:hAnsi="Arial"/>
                <w:sz w:val="16"/>
              </w:rPr>
            </w:pPr>
            <w:r>
              <w:rPr>
                <w:rFonts w:ascii="Arial" w:hAnsi="Arial"/>
                <w:sz w:val="16"/>
              </w:rPr>
              <w:t>М</w:t>
            </w:r>
          </w:p>
        </w:tc>
        <w:tc>
          <w:tcPr>
            <w:tcW w:w="624" w:type="dxa"/>
          </w:tcPr>
          <w:p w:rsidR="00000000" w:rsidRDefault="00000000">
            <w:pPr>
              <w:spacing w:before="60" w:after="20" w:line="240" w:lineRule="auto"/>
              <w:jc w:val="center"/>
              <w:rPr>
                <w:rFonts w:ascii="Arial" w:hAnsi="Arial"/>
                <w:sz w:val="16"/>
              </w:rPr>
            </w:pPr>
            <w:r>
              <w:rPr>
                <w:rFonts w:ascii="Arial" w:hAnsi="Arial"/>
                <w:sz w:val="16"/>
              </w:rPr>
              <w:t>Ж</w:t>
            </w:r>
          </w:p>
        </w:tc>
        <w:tc>
          <w:tcPr>
            <w:tcW w:w="624" w:type="dxa"/>
          </w:tcPr>
          <w:p w:rsidR="00000000" w:rsidRDefault="00000000">
            <w:pPr>
              <w:spacing w:before="60" w:after="20" w:line="240" w:lineRule="auto"/>
              <w:jc w:val="center"/>
              <w:rPr>
                <w:rFonts w:ascii="Arial" w:hAnsi="Arial"/>
                <w:sz w:val="16"/>
              </w:rPr>
            </w:pPr>
            <w:r>
              <w:rPr>
                <w:rFonts w:ascii="Arial" w:hAnsi="Arial"/>
                <w:sz w:val="16"/>
              </w:rPr>
              <w:t>М</w:t>
            </w:r>
          </w:p>
        </w:tc>
        <w:tc>
          <w:tcPr>
            <w:tcW w:w="624" w:type="dxa"/>
          </w:tcPr>
          <w:p w:rsidR="00000000" w:rsidRDefault="00000000">
            <w:pPr>
              <w:spacing w:before="60" w:after="20" w:line="240" w:lineRule="auto"/>
              <w:jc w:val="center"/>
              <w:rPr>
                <w:rFonts w:ascii="Arial" w:hAnsi="Arial"/>
                <w:sz w:val="16"/>
              </w:rPr>
            </w:pPr>
            <w:r>
              <w:rPr>
                <w:rFonts w:ascii="Arial" w:hAnsi="Arial"/>
                <w:sz w:val="16"/>
              </w:rPr>
              <w:t>Ж</w:t>
            </w:r>
          </w:p>
        </w:tc>
        <w:tc>
          <w:tcPr>
            <w:tcW w:w="624" w:type="dxa"/>
          </w:tcPr>
          <w:p w:rsidR="00000000" w:rsidRDefault="00000000">
            <w:pPr>
              <w:spacing w:before="60" w:after="20" w:line="240" w:lineRule="auto"/>
              <w:jc w:val="center"/>
              <w:rPr>
                <w:rFonts w:ascii="Arial" w:hAnsi="Arial"/>
                <w:sz w:val="16"/>
              </w:rPr>
            </w:pPr>
            <w:r>
              <w:rPr>
                <w:rFonts w:ascii="Arial" w:hAnsi="Arial"/>
                <w:sz w:val="16"/>
              </w:rPr>
              <w:t>М</w:t>
            </w:r>
          </w:p>
        </w:tc>
        <w:tc>
          <w:tcPr>
            <w:tcW w:w="624" w:type="dxa"/>
          </w:tcPr>
          <w:p w:rsidR="00000000" w:rsidRDefault="00000000">
            <w:pPr>
              <w:spacing w:before="60" w:after="20" w:line="240" w:lineRule="auto"/>
              <w:jc w:val="center"/>
              <w:rPr>
                <w:rFonts w:ascii="Arial" w:hAnsi="Arial"/>
                <w:sz w:val="16"/>
              </w:rPr>
            </w:pPr>
            <w:r>
              <w:rPr>
                <w:rFonts w:ascii="Arial" w:hAnsi="Arial"/>
                <w:sz w:val="16"/>
              </w:rPr>
              <w:t>Ж</w:t>
            </w:r>
          </w:p>
        </w:tc>
      </w:tr>
      <w:tr w:rsidR="00000000">
        <w:tblPrEx>
          <w:tblCellMar>
            <w:top w:w="0" w:type="dxa"/>
            <w:bottom w:w="0" w:type="dxa"/>
          </w:tblCellMar>
        </w:tblPrEx>
        <w:tc>
          <w:tcPr>
            <w:tcW w:w="2778" w:type="dxa"/>
          </w:tcPr>
          <w:p w:rsidR="00000000" w:rsidRDefault="00000000">
            <w:pPr>
              <w:spacing w:before="40" w:after="40" w:line="240" w:lineRule="auto"/>
              <w:jc w:val="left"/>
              <w:rPr>
                <w:rFonts w:ascii="Arial" w:hAnsi="Arial"/>
                <w:sz w:val="16"/>
              </w:rPr>
            </w:pPr>
            <w:r>
              <w:rPr>
                <w:rFonts w:ascii="Arial" w:hAnsi="Arial"/>
                <w:sz w:val="16"/>
              </w:rPr>
              <w:t>Кембриджский повышенный уровень</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27</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23</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28</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27</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33</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26</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41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33</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34</w:t>
            </w:r>
          </w:p>
        </w:tc>
      </w:tr>
      <w:tr w:rsidR="00000000">
        <w:tblPrEx>
          <w:tblCellMar>
            <w:top w:w="0" w:type="dxa"/>
            <w:bottom w:w="0" w:type="dxa"/>
          </w:tblCellMar>
        </w:tblPrEx>
        <w:tc>
          <w:tcPr>
            <w:tcW w:w="2778" w:type="dxa"/>
          </w:tcPr>
          <w:p w:rsidR="00000000" w:rsidRDefault="00000000">
            <w:pPr>
              <w:spacing w:before="40" w:after="40" w:line="240" w:lineRule="auto"/>
              <w:jc w:val="left"/>
              <w:rPr>
                <w:rFonts w:ascii="Arial" w:hAnsi="Arial"/>
                <w:sz w:val="16"/>
              </w:rPr>
            </w:pPr>
            <w:r>
              <w:rPr>
                <w:rFonts w:ascii="Arial" w:hAnsi="Arial"/>
                <w:sz w:val="16"/>
              </w:rPr>
              <w:t>Восточнокарибский институт сельского и лесного хозяйства</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r>
      <w:tr w:rsidR="00000000">
        <w:tblPrEx>
          <w:tblCellMar>
            <w:top w:w="0" w:type="dxa"/>
            <w:bottom w:w="0" w:type="dxa"/>
          </w:tblCellMar>
        </w:tblPrEx>
        <w:tc>
          <w:tcPr>
            <w:tcW w:w="2778" w:type="dxa"/>
          </w:tcPr>
          <w:p w:rsidR="00000000" w:rsidRDefault="00000000">
            <w:pPr>
              <w:spacing w:before="40" w:after="40" w:line="240" w:lineRule="auto"/>
              <w:jc w:val="left"/>
              <w:rPr>
                <w:rFonts w:ascii="Arial" w:hAnsi="Arial"/>
                <w:sz w:val="16"/>
              </w:rPr>
            </w:pPr>
            <w:r>
              <w:rPr>
                <w:rFonts w:ascii="Arial" w:hAnsi="Arial"/>
                <w:sz w:val="16"/>
              </w:rPr>
              <w:t>Педагогический институт</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5</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4</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r>
      <w:tr w:rsidR="00000000">
        <w:tblPrEx>
          <w:tblCellMar>
            <w:top w:w="0" w:type="dxa"/>
            <w:bottom w:w="0" w:type="dxa"/>
          </w:tblCellMar>
        </w:tblPrEx>
        <w:tc>
          <w:tcPr>
            <w:tcW w:w="2778" w:type="dxa"/>
          </w:tcPr>
          <w:p w:rsidR="00000000" w:rsidRDefault="00000000">
            <w:pPr>
              <w:spacing w:before="40" w:after="40" w:line="240" w:lineRule="auto"/>
              <w:jc w:val="left"/>
              <w:rPr>
                <w:rFonts w:ascii="Arial" w:hAnsi="Arial"/>
                <w:sz w:val="16"/>
              </w:rPr>
            </w:pPr>
            <w:r>
              <w:rPr>
                <w:rFonts w:ascii="Arial" w:hAnsi="Arial"/>
                <w:sz w:val="16"/>
              </w:rPr>
              <w:t>Техническая подготовка учителей</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4</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5</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w:t>
            </w:r>
          </w:p>
        </w:tc>
      </w:tr>
      <w:tr w:rsidR="00000000">
        <w:tblPrEx>
          <w:tblCellMar>
            <w:top w:w="0" w:type="dxa"/>
            <w:bottom w:w="0" w:type="dxa"/>
          </w:tblCellMar>
        </w:tblPrEx>
        <w:tc>
          <w:tcPr>
            <w:tcW w:w="2778" w:type="dxa"/>
          </w:tcPr>
          <w:p w:rsidR="00000000" w:rsidRDefault="00000000">
            <w:pPr>
              <w:spacing w:before="40" w:after="40" w:line="240" w:lineRule="auto"/>
              <w:jc w:val="left"/>
              <w:rPr>
                <w:rFonts w:ascii="Arial" w:hAnsi="Arial"/>
                <w:sz w:val="16"/>
              </w:rPr>
            </w:pPr>
            <w:r>
              <w:rPr>
                <w:rFonts w:ascii="Arial" w:hAnsi="Arial"/>
                <w:sz w:val="16"/>
              </w:rPr>
              <w:t>Национальный экзаменационный совет</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2</w:t>
            </w:r>
          </w:p>
        </w:tc>
        <w:tc>
          <w:tcPr>
            <w:tcW w:w="624" w:type="dxa"/>
            <w:vAlign w:val="bottom"/>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1</w:t>
            </w:r>
          </w:p>
        </w:tc>
      </w:tr>
      <w:tr w:rsidR="00000000">
        <w:tblPrEx>
          <w:tblCellMar>
            <w:top w:w="0" w:type="dxa"/>
            <w:bottom w:w="0" w:type="dxa"/>
          </w:tblCellMar>
        </w:tblPrEx>
        <w:tc>
          <w:tcPr>
            <w:tcW w:w="2778" w:type="dxa"/>
          </w:tcPr>
          <w:p w:rsidR="00000000" w:rsidRDefault="00000000">
            <w:pPr>
              <w:spacing w:before="40" w:after="40" w:line="240" w:lineRule="auto"/>
              <w:jc w:val="left"/>
              <w:rPr>
                <w:rFonts w:ascii="Arial" w:hAnsi="Arial"/>
                <w:sz w:val="16"/>
              </w:rPr>
            </w:pPr>
            <w:r>
              <w:rPr>
                <w:rFonts w:ascii="Arial" w:hAnsi="Arial"/>
                <w:sz w:val="16"/>
              </w:rPr>
              <w:t>ВСЕГО</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31</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35</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33</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38</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32</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40</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31</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53</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35</w:t>
            </w:r>
          </w:p>
        </w:tc>
        <w:tc>
          <w:tcPr>
            <w:tcW w:w="624" w:type="dxa"/>
          </w:tcPr>
          <w:p w:rsidR="00000000" w:rsidRDefault="00000000">
            <w:pPr>
              <w:tabs>
                <w:tab w:val="clear" w:pos="340"/>
                <w:tab w:val="clear" w:pos="680"/>
                <w:tab w:val="decimal" w:pos="397"/>
              </w:tabs>
              <w:spacing w:before="40" w:after="40" w:line="240" w:lineRule="auto"/>
              <w:rPr>
                <w:rFonts w:ascii="Arial" w:hAnsi="Arial"/>
                <w:sz w:val="16"/>
              </w:rPr>
            </w:pPr>
            <w:r>
              <w:rPr>
                <w:rFonts w:ascii="Arial" w:hAnsi="Arial"/>
                <w:sz w:val="16"/>
              </w:rPr>
              <w:t>37</w:t>
            </w:r>
          </w:p>
        </w:tc>
      </w:tr>
    </w:tbl>
    <w:p w:rsidR="00000000" w:rsidRDefault="00000000">
      <w:pPr>
        <w:spacing w:after="120"/>
      </w:pPr>
    </w:p>
    <w:p w:rsidR="00000000" w:rsidRDefault="00000000">
      <w:r>
        <w:t>228.</w:t>
      </w:r>
      <w:r>
        <w:tab/>
        <w:t>Программы обучения взрослых грамоте осуществляются в 50 школах, расположенных в различных сельских и городских районах страны. В 1998/99 учебном году более 280 женщин и свыше 240 мужчин участвовали в этих программах.</w:t>
      </w:r>
    </w:p>
    <w:p w:rsidR="00000000" w:rsidRDefault="00000000">
      <w:pPr>
        <w:spacing w:after="0"/>
      </w:pPr>
      <w:r>
        <w:t>229.</w:t>
      </w:r>
      <w:r>
        <w:tab/>
      </w:r>
      <w:r>
        <w:rPr>
          <w:b/>
        </w:rPr>
        <w:t>Показатель грамотности населения (в процентах) с разбивкой по полу, 1994 год</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02"/>
        <w:gridCol w:w="1701"/>
        <w:gridCol w:w="1701"/>
        <w:gridCol w:w="1701"/>
      </w:tblGrid>
      <w:tr w:rsidR="00000000">
        <w:tblPrEx>
          <w:tblCellMar>
            <w:top w:w="0" w:type="dxa"/>
            <w:bottom w:w="0" w:type="dxa"/>
          </w:tblCellMar>
        </w:tblPrEx>
        <w:tc>
          <w:tcPr>
            <w:tcW w:w="3402" w:type="dxa"/>
          </w:tcPr>
          <w:p w:rsidR="00000000" w:rsidRDefault="00000000">
            <w:pPr>
              <w:spacing w:before="40" w:after="20" w:line="240" w:lineRule="auto"/>
              <w:jc w:val="center"/>
              <w:rPr>
                <w:rFonts w:ascii="Arial" w:hAnsi="Arial"/>
                <w:sz w:val="16"/>
              </w:rPr>
            </w:pPr>
            <w:r>
              <w:rPr>
                <w:rFonts w:ascii="Arial" w:hAnsi="Arial"/>
                <w:sz w:val="16"/>
              </w:rPr>
              <w:t>УРОВЕНЬ ГРАМОТНОСТИ</w:t>
            </w:r>
          </w:p>
        </w:tc>
        <w:tc>
          <w:tcPr>
            <w:tcW w:w="1701" w:type="dxa"/>
          </w:tcPr>
          <w:p w:rsidR="00000000" w:rsidRDefault="00000000">
            <w:pPr>
              <w:spacing w:before="40" w:after="20" w:line="240" w:lineRule="auto"/>
              <w:jc w:val="center"/>
              <w:rPr>
                <w:rFonts w:ascii="Arial" w:hAnsi="Arial"/>
                <w:sz w:val="16"/>
              </w:rPr>
            </w:pPr>
            <w:r>
              <w:rPr>
                <w:rFonts w:ascii="Arial" w:hAnsi="Arial"/>
                <w:sz w:val="16"/>
              </w:rPr>
              <w:t>МУЖЧИНЫ</w:t>
            </w:r>
          </w:p>
        </w:tc>
        <w:tc>
          <w:tcPr>
            <w:tcW w:w="1701" w:type="dxa"/>
          </w:tcPr>
          <w:p w:rsidR="00000000" w:rsidRDefault="00000000">
            <w:pPr>
              <w:spacing w:before="40" w:after="20" w:line="240" w:lineRule="auto"/>
              <w:jc w:val="center"/>
              <w:rPr>
                <w:rFonts w:ascii="Arial" w:hAnsi="Arial"/>
                <w:sz w:val="16"/>
              </w:rPr>
            </w:pPr>
            <w:r>
              <w:rPr>
                <w:rFonts w:ascii="Arial" w:hAnsi="Arial"/>
                <w:sz w:val="16"/>
              </w:rPr>
              <w:t>ЖЕНЩИНЫ</w:t>
            </w:r>
          </w:p>
        </w:tc>
        <w:tc>
          <w:tcPr>
            <w:tcW w:w="1701" w:type="dxa"/>
          </w:tcPr>
          <w:p w:rsidR="00000000" w:rsidRDefault="00000000">
            <w:pPr>
              <w:spacing w:before="40" w:after="20" w:line="240" w:lineRule="auto"/>
              <w:jc w:val="center"/>
              <w:rPr>
                <w:rFonts w:ascii="Arial" w:hAnsi="Arial"/>
                <w:sz w:val="16"/>
              </w:rPr>
            </w:pPr>
            <w:r>
              <w:rPr>
                <w:rFonts w:ascii="Arial" w:hAnsi="Arial"/>
                <w:sz w:val="16"/>
              </w:rPr>
              <w:t>ВСЕГО</w:t>
            </w:r>
          </w:p>
        </w:tc>
      </w:tr>
      <w:tr w:rsidR="00000000">
        <w:tblPrEx>
          <w:tblCellMar>
            <w:top w:w="0" w:type="dxa"/>
            <w:bottom w:w="0" w:type="dxa"/>
          </w:tblCellMar>
        </w:tblPrEx>
        <w:tc>
          <w:tcPr>
            <w:tcW w:w="3402" w:type="dxa"/>
          </w:tcPr>
          <w:p w:rsidR="00000000" w:rsidRDefault="00000000">
            <w:pPr>
              <w:spacing w:before="40" w:after="20" w:line="240" w:lineRule="auto"/>
              <w:rPr>
                <w:rFonts w:ascii="Arial" w:hAnsi="Arial"/>
                <w:sz w:val="16"/>
              </w:rPr>
            </w:pPr>
            <w:r>
              <w:rPr>
                <w:rFonts w:ascii="Arial" w:hAnsi="Arial"/>
                <w:sz w:val="16"/>
              </w:rPr>
              <w:t>ФУНКЦИОНАЛЬНО ГРАМОТНЫЕ</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76,9%</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77,8%</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77,4%</w:t>
            </w:r>
          </w:p>
        </w:tc>
      </w:tr>
      <w:tr w:rsidR="00000000">
        <w:tblPrEx>
          <w:tblCellMar>
            <w:top w:w="0" w:type="dxa"/>
            <w:bottom w:w="0" w:type="dxa"/>
          </w:tblCellMar>
        </w:tblPrEx>
        <w:tc>
          <w:tcPr>
            <w:tcW w:w="3402" w:type="dxa"/>
          </w:tcPr>
          <w:p w:rsidR="00000000" w:rsidRDefault="00000000">
            <w:pPr>
              <w:spacing w:before="40" w:after="20" w:line="240" w:lineRule="auto"/>
              <w:rPr>
                <w:rFonts w:ascii="Arial" w:hAnsi="Arial"/>
                <w:sz w:val="16"/>
              </w:rPr>
            </w:pPr>
            <w:r>
              <w:rPr>
                <w:rFonts w:ascii="Arial" w:hAnsi="Arial"/>
                <w:sz w:val="16"/>
              </w:rPr>
              <w:t>ФУНКЦИОНАЛЬНО НЕГРАМОТНЫЕ</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15,6%</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13,8%</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14,6%</w:t>
            </w:r>
          </w:p>
        </w:tc>
      </w:tr>
      <w:tr w:rsidR="00000000">
        <w:tblPrEx>
          <w:tblCellMar>
            <w:top w:w="0" w:type="dxa"/>
            <w:bottom w:w="0" w:type="dxa"/>
          </w:tblCellMar>
        </w:tblPrEx>
        <w:tc>
          <w:tcPr>
            <w:tcW w:w="3402" w:type="dxa"/>
          </w:tcPr>
          <w:p w:rsidR="00000000" w:rsidRDefault="00000000">
            <w:pPr>
              <w:spacing w:before="40" w:after="20" w:line="240" w:lineRule="auto"/>
              <w:rPr>
                <w:rFonts w:ascii="Arial" w:hAnsi="Arial"/>
                <w:sz w:val="16"/>
              </w:rPr>
            </w:pPr>
            <w:r>
              <w:rPr>
                <w:rFonts w:ascii="Arial" w:hAnsi="Arial"/>
                <w:sz w:val="16"/>
              </w:rPr>
              <w:t>НЕГРАМОТНЫЕ</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7,5%</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8,4%</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8,0%</w:t>
            </w:r>
          </w:p>
        </w:tc>
      </w:tr>
      <w:tr w:rsidR="00000000">
        <w:tblPrEx>
          <w:tblCellMar>
            <w:top w:w="0" w:type="dxa"/>
            <w:bottom w:w="0" w:type="dxa"/>
          </w:tblCellMar>
        </w:tblPrEx>
        <w:tc>
          <w:tcPr>
            <w:tcW w:w="3402" w:type="dxa"/>
          </w:tcPr>
          <w:p w:rsidR="00000000" w:rsidRDefault="00000000">
            <w:pPr>
              <w:spacing w:before="40" w:after="20" w:line="240" w:lineRule="auto"/>
              <w:rPr>
                <w:rFonts w:ascii="Arial" w:hAnsi="Arial"/>
                <w:sz w:val="16"/>
              </w:rPr>
            </w:pPr>
            <w:r>
              <w:rPr>
                <w:rFonts w:ascii="Arial" w:hAnsi="Arial"/>
                <w:sz w:val="16"/>
              </w:rPr>
              <w:t>ВСЕГО</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100%</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100%</w:t>
            </w:r>
          </w:p>
        </w:tc>
        <w:tc>
          <w:tcPr>
            <w:tcW w:w="1701" w:type="dxa"/>
          </w:tcPr>
          <w:p w:rsidR="00000000" w:rsidRDefault="00000000">
            <w:pPr>
              <w:tabs>
                <w:tab w:val="clear" w:pos="340"/>
                <w:tab w:val="clear" w:pos="680"/>
                <w:tab w:val="decimal" w:pos="851"/>
              </w:tabs>
              <w:spacing w:before="40" w:after="20" w:line="240" w:lineRule="auto"/>
              <w:rPr>
                <w:rFonts w:ascii="Arial" w:hAnsi="Arial"/>
                <w:sz w:val="16"/>
              </w:rPr>
            </w:pPr>
            <w:r>
              <w:rPr>
                <w:rFonts w:ascii="Arial" w:hAnsi="Arial"/>
                <w:sz w:val="16"/>
              </w:rPr>
              <w:t>100%</w:t>
            </w:r>
          </w:p>
        </w:tc>
      </w:tr>
    </w:tbl>
    <w:p w:rsidR="00000000" w:rsidRDefault="00000000">
      <w:pPr>
        <w:spacing w:after="0"/>
        <w:rPr>
          <w:lang w:val="en-US"/>
        </w:rPr>
      </w:pPr>
    </w:p>
    <w:p w:rsidR="00000000" w:rsidRDefault="00000000">
      <w:pPr>
        <w:spacing w:after="0"/>
        <w:ind w:left="680" w:hanging="680"/>
        <w:jc w:val="left"/>
      </w:pPr>
      <w:r>
        <w:t>230.</w:t>
      </w:r>
      <w:r>
        <w:tab/>
      </w:r>
      <w:r>
        <w:rPr>
          <w:b/>
        </w:rPr>
        <w:t xml:space="preserve">Показатель числа отчисленных женщин (в процентах) с разбивкой по уровню </w:t>
      </w:r>
      <w:r>
        <w:rPr>
          <w:b/>
          <w:lang w:val="en-US"/>
        </w:rPr>
        <w:br/>
      </w:r>
      <w:r>
        <w:rPr>
          <w:b/>
        </w:rPr>
        <w:t>образования (Тринидад и Тобаго)</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59"/>
        <w:gridCol w:w="2552"/>
        <w:gridCol w:w="2552"/>
      </w:tblGrid>
      <w:tr w:rsidR="00000000">
        <w:tblPrEx>
          <w:tblCellMar>
            <w:top w:w="0" w:type="dxa"/>
            <w:bottom w:w="0" w:type="dxa"/>
          </w:tblCellMar>
        </w:tblPrEx>
        <w:tc>
          <w:tcPr>
            <w:tcW w:w="3459" w:type="dxa"/>
          </w:tcPr>
          <w:p w:rsidR="00000000" w:rsidRDefault="00000000">
            <w:pPr>
              <w:spacing w:before="80" w:after="20" w:line="240" w:lineRule="auto"/>
              <w:jc w:val="center"/>
              <w:rPr>
                <w:rFonts w:ascii="Arial" w:hAnsi="Arial"/>
                <w:sz w:val="16"/>
              </w:rPr>
            </w:pPr>
            <w:r>
              <w:rPr>
                <w:rFonts w:ascii="Arial" w:hAnsi="Arial"/>
                <w:sz w:val="16"/>
              </w:rPr>
              <w:t>Уровень образования</w:t>
            </w:r>
          </w:p>
        </w:tc>
        <w:tc>
          <w:tcPr>
            <w:tcW w:w="2552" w:type="dxa"/>
          </w:tcPr>
          <w:p w:rsidR="00000000" w:rsidRDefault="00000000">
            <w:pPr>
              <w:spacing w:before="80" w:after="20" w:line="240" w:lineRule="auto"/>
              <w:jc w:val="center"/>
              <w:rPr>
                <w:rFonts w:ascii="Arial" w:hAnsi="Arial"/>
                <w:sz w:val="16"/>
              </w:rPr>
            </w:pPr>
            <w:r>
              <w:rPr>
                <w:rFonts w:ascii="Arial" w:hAnsi="Arial"/>
                <w:sz w:val="16"/>
              </w:rPr>
              <w:t>1997/98 год</w:t>
            </w:r>
          </w:p>
        </w:tc>
        <w:tc>
          <w:tcPr>
            <w:tcW w:w="2552" w:type="dxa"/>
          </w:tcPr>
          <w:p w:rsidR="00000000" w:rsidRDefault="00000000">
            <w:pPr>
              <w:spacing w:before="80" w:after="20" w:line="240" w:lineRule="auto"/>
              <w:jc w:val="center"/>
              <w:rPr>
                <w:rFonts w:ascii="Arial" w:hAnsi="Arial"/>
                <w:sz w:val="16"/>
              </w:rPr>
            </w:pPr>
            <w:r>
              <w:rPr>
                <w:rFonts w:ascii="Arial" w:hAnsi="Arial"/>
                <w:sz w:val="16"/>
              </w:rPr>
              <w:t>1998/99 год</w:t>
            </w:r>
          </w:p>
        </w:tc>
      </w:tr>
      <w:tr w:rsidR="00000000">
        <w:tblPrEx>
          <w:tblCellMar>
            <w:top w:w="0" w:type="dxa"/>
            <w:bottom w:w="0" w:type="dxa"/>
          </w:tblCellMar>
        </w:tblPrEx>
        <w:tc>
          <w:tcPr>
            <w:tcW w:w="3459" w:type="dxa"/>
          </w:tcPr>
          <w:p w:rsidR="00000000" w:rsidRDefault="00000000">
            <w:pPr>
              <w:spacing w:before="80" w:after="20" w:line="240" w:lineRule="auto"/>
              <w:rPr>
                <w:rFonts w:ascii="Arial" w:hAnsi="Arial"/>
                <w:sz w:val="16"/>
              </w:rPr>
            </w:pPr>
            <w:r>
              <w:rPr>
                <w:rFonts w:ascii="Arial" w:hAnsi="Arial"/>
                <w:sz w:val="16"/>
              </w:rPr>
              <w:t>Начальное</w:t>
            </w:r>
          </w:p>
        </w:tc>
        <w:tc>
          <w:tcPr>
            <w:tcW w:w="2552" w:type="dxa"/>
          </w:tcPr>
          <w:p w:rsidR="00000000" w:rsidRDefault="00000000">
            <w:pPr>
              <w:spacing w:before="80" w:after="20" w:line="240" w:lineRule="auto"/>
              <w:jc w:val="center"/>
              <w:rPr>
                <w:rFonts w:ascii="Arial" w:hAnsi="Arial"/>
                <w:sz w:val="16"/>
              </w:rPr>
            </w:pPr>
            <w:r>
              <w:rPr>
                <w:rFonts w:ascii="Arial" w:hAnsi="Arial"/>
                <w:sz w:val="16"/>
              </w:rPr>
              <w:t>0,6</w:t>
            </w:r>
          </w:p>
        </w:tc>
        <w:tc>
          <w:tcPr>
            <w:tcW w:w="2552" w:type="dxa"/>
          </w:tcPr>
          <w:p w:rsidR="00000000" w:rsidRDefault="00000000">
            <w:pPr>
              <w:spacing w:before="80" w:after="20" w:line="240" w:lineRule="auto"/>
              <w:jc w:val="center"/>
              <w:rPr>
                <w:rFonts w:ascii="Arial" w:hAnsi="Arial"/>
                <w:sz w:val="16"/>
              </w:rPr>
            </w:pPr>
            <w:r>
              <w:rPr>
                <w:rFonts w:ascii="Arial" w:hAnsi="Arial"/>
                <w:sz w:val="16"/>
              </w:rPr>
              <w:t>0,5</w:t>
            </w:r>
          </w:p>
        </w:tc>
      </w:tr>
      <w:tr w:rsidR="00000000">
        <w:tblPrEx>
          <w:tblCellMar>
            <w:top w:w="0" w:type="dxa"/>
            <w:bottom w:w="0" w:type="dxa"/>
          </w:tblCellMar>
        </w:tblPrEx>
        <w:tc>
          <w:tcPr>
            <w:tcW w:w="3459" w:type="dxa"/>
          </w:tcPr>
          <w:p w:rsidR="00000000" w:rsidRDefault="00000000">
            <w:pPr>
              <w:spacing w:before="80" w:after="20" w:line="240" w:lineRule="auto"/>
              <w:rPr>
                <w:rFonts w:ascii="Arial" w:hAnsi="Arial"/>
                <w:sz w:val="16"/>
              </w:rPr>
            </w:pPr>
            <w:r>
              <w:rPr>
                <w:rFonts w:ascii="Arial" w:hAnsi="Arial"/>
                <w:sz w:val="16"/>
              </w:rPr>
              <w:t>Среднее</w:t>
            </w:r>
          </w:p>
        </w:tc>
        <w:tc>
          <w:tcPr>
            <w:tcW w:w="2552" w:type="dxa"/>
          </w:tcPr>
          <w:p w:rsidR="00000000" w:rsidRDefault="00000000">
            <w:pPr>
              <w:spacing w:before="80" w:after="20" w:line="240" w:lineRule="auto"/>
              <w:jc w:val="center"/>
              <w:rPr>
                <w:rFonts w:ascii="Arial" w:hAnsi="Arial"/>
                <w:sz w:val="16"/>
              </w:rPr>
            </w:pPr>
            <w:r>
              <w:rPr>
                <w:rFonts w:ascii="Arial" w:hAnsi="Arial"/>
                <w:sz w:val="16"/>
              </w:rPr>
              <w:t>0,8</w:t>
            </w:r>
          </w:p>
        </w:tc>
        <w:tc>
          <w:tcPr>
            <w:tcW w:w="2552" w:type="dxa"/>
          </w:tcPr>
          <w:p w:rsidR="00000000" w:rsidRDefault="00000000">
            <w:pPr>
              <w:spacing w:before="80" w:after="20" w:line="240" w:lineRule="auto"/>
              <w:jc w:val="center"/>
              <w:rPr>
                <w:rFonts w:ascii="Arial" w:hAnsi="Arial"/>
                <w:sz w:val="16"/>
              </w:rPr>
            </w:pPr>
            <w:r>
              <w:rPr>
                <w:rFonts w:ascii="Arial" w:hAnsi="Arial"/>
                <w:sz w:val="16"/>
              </w:rPr>
              <w:t>0,6</w:t>
            </w:r>
          </w:p>
        </w:tc>
      </w:tr>
    </w:tbl>
    <w:p w:rsidR="00000000" w:rsidRDefault="00000000">
      <w:pPr>
        <w:spacing w:after="120"/>
      </w:pPr>
    </w:p>
    <w:p w:rsidR="00000000" w:rsidRDefault="00000000">
      <w:pPr>
        <w:spacing w:after="0"/>
        <w:ind w:left="680" w:hanging="680"/>
        <w:jc w:val="left"/>
      </w:pPr>
      <w:r>
        <w:t>231.</w:t>
      </w:r>
      <w:r>
        <w:tab/>
      </w:r>
      <w:r>
        <w:rPr>
          <w:b/>
        </w:rPr>
        <w:t>Показатель отчисленных учащихся (в процентах) на уровне начального и среднего образования с</w:t>
      </w:r>
      <w:r>
        <w:rPr>
          <w:b/>
          <w:lang w:val="en-US"/>
        </w:rPr>
        <w:t> </w:t>
      </w:r>
      <w:r>
        <w:rPr>
          <w:b/>
        </w:rPr>
        <w:t xml:space="preserve">разбивкой по полу (Тринидад и Тобаго, 1991–2000 годы) </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1134"/>
        <w:gridCol w:w="1134"/>
        <w:gridCol w:w="1134"/>
        <w:gridCol w:w="1134"/>
        <w:gridCol w:w="1134"/>
        <w:gridCol w:w="1134"/>
      </w:tblGrid>
      <w:tr w:rsidR="00000000">
        <w:tblPrEx>
          <w:tblCellMar>
            <w:top w:w="0" w:type="dxa"/>
            <w:bottom w:w="0" w:type="dxa"/>
          </w:tblCellMar>
        </w:tblPrEx>
        <w:trPr>
          <w:cantSplit/>
        </w:trPr>
        <w:tc>
          <w:tcPr>
            <w:tcW w:w="1701" w:type="dxa"/>
            <w:vMerge w:val="restart"/>
          </w:tcPr>
          <w:p w:rsidR="00000000" w:rsidRDefault="00000000">
            <w:pPr>
              <w:spacing w:before="60" w:after="20" w:line="240" w:lineRule="auto"/>
              <w:jc w:val="center"/>
              <w:rPr>
                <w:rFonts w:ascii="Arial" w:hAnsi="Arial"/>
                <w:sz w:val="16"/>
              </w:rPr>
            </w:pPr>
            <w:r>
              <w:rPr>
                <w:rFonts w:ascii="Arial" w:hAnsi="Arial"/>
                <w:sz w:val="16"/>
              </w:rPr>
              <w:t>УЧЕБНЫЙ ГОД</w:t>
            </w:r>
          </w:p>
        </w:tc>
        <w:tc>
          <w:tcPr>
            <w:tcW w:w="3402" w:type="dxa"/>
            <w:gridSpan w:val="3"/>
          </w:tcPr>
          <w:p w:rsidR="00000000" w:rsidRDefault="00000000">
            <w:pPr>
              <w:spacing w:before="60" w:after="20" w:line="240" w:lineRule="auto"/>
              <w:jc w:val="center"/>
              <w:rPr>
                <w:rFonts w:ascii="Arial" w:hAnsi="Arial"/>
                <w:sz w:val="16"/>
              </w:rPr>
            </w:pPr>
            <w:r>
              <w:rPr>
                <w:rFonts w:ascii="Arial" w:hAnsi="Arial"/>
                <w:sz w:val="16"/>
              </w:rPr>
              <w:t>НАЧАЛЬНОЕ ОБРАЗОВАНИЕ</w:t>
            </w:r>
          </w:p>
        </w:tc>
        <w:tc>
          <w:tcPr>
            <w:tcW w:w="3402" w:type="dxa"/>
            <w:gridSpan w:val="3"/>
          </w:tcPr>
          <w:p w:rsidR="00000000" w:rsidRDefault="00000000">
            <w:pPr>
              <w:spacing w:before="60" w:after="20" w:line="240" w:lineRule="auto"/>
              <w:jc w:val="center"/>
              <w:rPr>
                <w:rFonts w:ascii="Arial" w:hAnsi="Arial"/>
                <w:sz w:val="16"/>
              </w:rPr>
            </w:pPr>
            <w:r>
              <w:rPr>
                <w:rFonts w:ascii="Arial" w:hAnsi="Arial"/>
                <w:sz w:val="16"/>
              </w:rPr>
              <w:t>СРЕДНЕЕ ОБРАЗОВАНИЕ</w:t>
            </w:r>
          </w:p>
        </w:tc>
      </w:tr>
      <w:tr w:rsidR="00000000">
        <w:tblPrEx>
          <w:tblCellMar>
            <w:top w:w="0" w:type="dxa"/>
            <w:bottom w:w="0" w:type="dxa"/>
          </w:tblCellMar>
        </w:tblPrEx>
        <w:trPr>
          <w:cantSplit/>
        </w:trPr>
        <w:tc>
          <w:tcPr>
            <w:tcW w:w="1701" w:type="dxa"/>
            <w:vMerge/>
          </w:tcPr>
          <w:p w:rsidR="00000000" w:rsidRDefault="00000000">
            <w:pPr>
              <w:spacing w:before="60" w:after="20" w:line="240" w:lineRule="auto"/>
              <w:jc w:val="center"/>
              <w:rPr>
                <w:rFonts w:ascii="Arial" w:hAnsi="Arial"/>
                <w:sz w:val="16"/>
              </w:rPr>
            </w:pPr>
          </w:p>
        </w:tc>
        <w:tc>
          <w:tcPr>
            <w:tcW w:w="1134"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134"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134" w:type="dxa"/>
          </w:tcPr>
          <w:p w:rsidR="00000000" w:rsidRDefault="00000000">
            <w:pPr>
              <w:spacing w:before="60" w:after="20" w:line="240" w:lineRule="auto"/>
              <w:jc w:val="center"/>
              <w:rPr>
                <w:rFonts w:ascii="Arial" w:hAnsi="Arial"/>
                <w:sz w:val="16"/>
              </w:rPr>
            </w:pPr>
            <w:r>
              <w:rPr>
                <w:rFonts w:ascii="Arial" w:hAnsi="Arial"/>
                <w:sz w:val="16"/>
              </w:rPr>
              <w:t>ВСЕГО</w:t>
            </w:r>
          </w:p>
        </w:tc>
        <w:tc>
          <w:tcPr>
            <w:tcW w:w="1134"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134"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134" w:type="dxa"/>
          </w:tcPr>
          <w:p w:rsidR="00000000" w:rsidRDefault="00000000">
            <w:pPr>
              <w:spacing w:before="60" w:after="20" w:line="240" w:lineRule="auto"/>
              <w:jc w:val="center"/>
              <w:rPr>
                <w:rFonts w:ascii="Arial" w:hAnsi="Arial"/>
                <w:sz w:val="16"/>
              </w:rPr>
            </w:pPr>
            <w:r>
              <w:rPr>
                <w:rFonts w:ascii="Arial" w:hAnsi="Arial"/>
                <w:sz w:val="16"/>
              </w:rPr>
              <w:t>ВСЕГО</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1991/92</w:t>
            </w:r>
          </w:p>
        </w:tc>
        <w:tc>
          <w:tcPr>
            <w:tcW w:w="1134" w:type="dxa"/>
          </w:tcPr>
          <w:p w:rsidR="00000000" w:rsidRDefault="00000000">
            <w:pPr>
              <w:spacing w:before="20" w:after="20" w:line="240" w:lineRule="auto"/>
              <w:rPr>
                <w:rFonts w:ascii="Arial" w:hAnsi="Arial"/>
                <w:sz w:val="16"/>
              </w:rPr>
            </w:pPr>
            <w:r>
              <w:rPr>
                <w:rFonts w:ascii="Arial" w:hAnsi="Arial"/>
                <w:sz w:val="16"/>
              </w:rPr>
              <w:t>0,7</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1,2</w:t>
            </w:r>
          </w:p>
        </w:tc>
        <w:tc>
          <w:tcPr>
            <w:tcW w:w="1134" w:type="dxa"/>
          </w:tcPr>
          <w:p w:rsidR="00000000" w:rsidRDefault="00000000">
            <w:pPr>
              <w:spacing w:before="20" w:after="20" w:line="240" w:lineRule="auto"/>
              <w:rPr>
                <w:rFonts w:ascii="Arial" w:hAnsi="Arial"/>
                <w:sz w:val="16"/>
              </w:rPr>
            </w:pPr>
            <w:r>
              <w:rPr>
                <w:rFonts w:ascii="Arial" w:hAnsi="Arial"/>
                <w:sz w:val="16"/>
              </w:rPr>
              <w:t>1,0</w:t>
            </w:r>
          </w:p>
        </w:tc>
        <w:tc>
          <w:tcPr>
            <w:tcW w:w="1134" w:type="dxa"/>
          </w:tcPr>
          <w:p w:rsidR="00000000" w:rsidRDefault="00000000">
            <w:pPr>
              <w:spacing w:before="20" w:after="20" w:line="240" w:lineRule="auto"/>
              <w:rPr>
                <w:rFonts w:ascii="Arial" w:hAnsi="Arial"/>
                <w:sz w:val="16"/>
              </w:rPr>
            </w:pPr>
            <w:r>
              <w:rPr>
                <w:rFonts w:ascii="Arial" w:hAnsi="Arial"/>
                <w:sz w:val="16"/>
              </w:rPr>
              <w:t>1,1</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1992/93</w:t>
            </w:r>
          </w:p>
        </w:tc>
        <w:tc>
          <w:tcPr>
            <w:tcW w:w="1134" w:type="dxa"/>
          </w:tcPr>
          <w:p w:rsidR="00000000" w:rsidRDefault="00000000">
            <w:pPr>
              <w:spacing w:before="20" w:after="20" w:line="240" w:lineRule="auto"/>
              <w:rPr>
                <w:rFonts w:ascii="Arial" w:hAnsi="Arial"/>
                <w:sz w:val="16"/>
              </w:rPr>
            </w:pPr>
            <w:r>
              <w:rPr>
                <w:rFonts w:ascii="Arial" w:hAnsi="Arial"/>
                <w:sz w:val="16"/>
              </w:rPr>
              <w:t>0,42</w:t>
            </w:r>
          </w:p>
        </w:tc>
        <w:tc>
          <w:tcPr>
            <w:tcW w:w="1134" w:type="dxa"/>
          </w:tcPr>
          <w:p w:rsidR="00000000" w:rsidRDefault="00000000">
            <w:pPr>
              <w:spacing w:before="20" w:after="20" w:line="240" w:lineRule="auto"/>
              <w:rPr>
                <w:rFonts w:ascii="Arial" w:hAnsi="Arial"/>
                <w:sz w:val="16"/>
              </w:rPr>
            </w:pPr>
            <w:r>
              <w:rPr>
                <w:rFonts w:ascii="Arial" w:hAnsi="Arial"/>
                <w:sz w:val="16"/>
              </w:rPr>
              <w:t>0,40</w:t>
            </w:r>
          </w:p>
        </w:tc>
        <w:tc>
          <w:tcPr>
            <w:tcW w:w="1134" w:type="dxa"/>
          </w:tcPr>
          <w:p w:rsidR="00000000" w:rsidRDefault="00000000">
            <w:pPr>
              <w:spacing w:before="20" w:after="20" w:line="240" w:lineRule="auto"/>
              <w:rPr>
                <w:rFonts w:ascii="Arial" w:hAnsi="Arial"/>
                <w:sz w:val="16"/>
              </w:rPr>
            </w:pPr>
            <w:r>
              <w:rPr>
                <w:rFonts w:ascii="Arial" w:hAnsi="Arial"/>
                <w:sz w:val="16"/>
              </w:rPr>
              <w:t>0,41</w:t>
            </w:r>
          </w:p>
        </w:tc>
        <w:tc>
          <w:tcPr>
            <w:tcW w:w="1134" w:type="dxa"/>
          </w:tcPr>
          <w:p w:rsidR="00000000" w:rsidRDefault="00000000">
            <w:pPr>
              <w:spacing w:before="20" w:after="20" w:line="240" w:lineRule="auto"/>
              <w:rPr>
                <w:rFonts w:ascii="Arial" w:hAnsi="Arial"/>
                <w:sz w:val="16"/>
              </w:rPr>
            </w:pPr>
            <w:r>
              <w:rPr>
                <w:rFonts w:ascii="Arial" w:hAnsi="Arial"/>
                <w:sz w:val="16"/>
              </w:rPr>
              <w:t>1,3</w:t>
            </w:r>
          </w:p>
        </w:tc>
        <w:tc>
          <w:tcPr>
            <w:tcW w:w="1134" w:type="dxa"/>
          </w:tcPr>
          <w:p w:rsidR="00000000" w:rsidRDefault="00000000">
            <w:pPr>
              <w:spacing w:before="20" w:after="20" w:line="240" w:lineRule="auto"/>
              <w:rPr>
                <w:rFonts w:ascii="Arial" w:hAnsi="Arial"/>
                <w:sz w:val="16"/>
              </w:rPr>
            </w:pPr>
            <w:r>
              <w:rPr>
                <w:rFonts w:ascii="Arial" w:hAnsi="Arial"/>
                <w:sz w:val="16"/>
              </w:rPr>
              <w:t>1,0</w:t>
            </w:r>
          </w:p>
        </w:tc>
        <w:tc>
          <w:tcPr>
            <w:tcW w:w="1134" w:type="dxa"/>
          </w:tcPr>
          <w:p w:rsidR="00000000" w:rsidRDefault="00000000">
            <w:pPr>
              <w:spacing w:before="20" w:after="20" w:line="240" w:lineRule="auto"/>
              <w:rPr>
                <w:rFonts w:ascii="Arial" w:hAnsi="Arial"/>
                <w:sz w:val="16"/>
              </w:rPr>
            </w:pPr>
            <w:r>
              <w:rPr>
                <w:rFonts w:ascii="Arial" w:hAnsi="Arial"/>
                <w:sz w:val="16"/>
              </w:rPr>
              <w:t>1,2</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1993/94</w:t>
            </w:r>
          </w:p>
        </w:tc>
        <w:tc>
          <w:tcPr>
            <w:tcW w:w="1134" w:type="dxa"/>
          </w:tcPr>
          <w:p w:rsidR="00000000" w:rsidRDefault="00000000">
            <w:pPr>
              <w:spacing w:before="20" w:after="20" w:line="240" w:lineRule="auto"/>
              <w:rPr>
                <w:rFonts w:ascii="Arial" w:hAnsi="Arial"/>
                <w:sz w:val="16"/>
              </w:rPr>
            </w:pPr>
            <w:r>
              <w:rPr>
                <w:rFonts w:ascii="Arial" w:hAnsi="Arial"/>
                <w:sz w:val="16"/>
              </w:rPr>
              <w:t>0,5</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1,7</w:t>
            </w:r>
          </w:p>
        </w:tc>
        <w:tc>
          <w:tcPr>
            <w:tcW w:w="1134" w:type="dxa"/>
          </w:tcPr>
          <w:p w:rsidR="00000000" w:rsidRDefault="00000000">
            <w:pPr>
              <w:spacing w:before="20" w:after="20" w:line="240" w:lineRule="auto"/>
              <w:rPr>
                <w:rFonts w:ascii="Arial" w:hAnsi="Arial"/>
                <w:sz w:val="16"/>
              </w:rPr>
            </w:pPr>
            <w:r>
              <w:rPr>
                <w:rFonts w:ascii="Arial" w:hAnsi="Arial"/>
                <w:sz w:val="16"/>
              </w:rPr>
              <w:t>1,1</w:t>
            </w:r>
          </w:p>
        </w:tc>
        <w:tc>
          <w:tcPr>
            <w:tcW w:w="1134" w:type="dxa"/>
          </w:tcPr>
          <w:p w:rsidR="00000000" w:rsidRDefault="00000000">
            <w:pPr>
              <w:spacing w:before="20" w:after="20" w:line="240" w:lineRule="auto"/>
              <w:rPr>
                <w:rFonts w:ascii="Arial" w:hAnsi="Arial"/>
                <w:sz w:val="16"/>
              </w:rPr>
            </w:pPr>
            <w:r>
              <w:rPr>
                <w:rFonts w:ascii="Arial" w:hAnsi="Arial"/>
                <w:sz w:val="16"/>
              </w:rPr>
              <w:t>1,4</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1994/95</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1,7</w:t>
            </w:r>
          </w:p>
        </w:tc>
        <w:tc>
          <w:tcPr>
            <w:tcW w:w="1134" w:type="dxa"/>
          </w:tcPr>
          <w:p w:rsidR="00000000" w:rsidRDefault="00000000">
            <w:pPr>
              <w:spacing w:before="20" w:after="20" w:line="240" w:lineRule="auto"/>
              <w:rPr>
                <w:rFonts w:ascii="Arial" w:hAnsi="Arial"/>
                <w:sz w:val="16"/>
              </w:rPr>
            </w:pPr>
            <w:r>
              <w:rPr>
                <w:rFonts w:ascii="Arial" w:hAnsi="Arial"/>
                <w:sz w:val="16"/>
              </w:rPr>
              <w:t>1,2</w:t>
            </w:r>
          </w:p>
        </w:tc>
        <w:tc>
          <w:tcPr>
            <w:tcW w:w="1134" w:type="dxa"/>
          </w:tcPr>
          <w:p w:rsidR="00000000" w:rsidRDefault="00000000">
            <w:pPr>
              <w:spacing w:before="20" w:after="20" w:line="240" w:lineRule="auto"/>
              <w:rPr>
                <w:rFonts w:ascii="Arial" w:hAnsi="Arial"/>
                <w:sz w:val="16"/>
              </w:rPr>
            </w:pPr>
            <w:r>
              <w:rPr>
                <w:rFonts w:ascii="Arial" w:hAnsi="Arial"/>
                <w:sz w:val="16"/>
              </w:rPr>
              <w:t>1,5</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1995/96</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0,3</w:t>
            </w:r>
          </w:p>
        </w:tc>
        <w:tc>
          <w:tcPr>
            <w:tcW w:w="1134" w:type="dxa"/>
          </w:tcPr>
          <w:p w:rsidR="00000000" w:rsidRDefault="00000000">
            <w:pPr>
              <w:spacing w:before="20" w:after="20" w:line="240" w:lineRule="auto"/>
              <w:rPr>
                <w:rFonts w:ascii="Arial" w:hAnsi="Arial"/>
                <w:sz w:val="16"/>
              </w:rPr>
            </w:pPr>
            <w:r>
              <w:rPr>
                <w:rFonts w:ascii="Arial" w:hAnsi="Arial"/>
                <w:sz w:val="16"/>
              </w:rPr>
              <w:t>0,3</w:t>
            </w:r>
          </w:p>
        </w:tc>
        <w:tc>
          <w:tcPr>
            <w:tcW w:w="1134" w:type="dxa"/>
          </w:tcPr>
          <w:p w:rsidR="00000000" w:rsidRDefault="00000000">
            <w:pPr>
              <w:spacing w:before="20" w:after="20" w:line="240" w:lineRule="auto"/>
              <w:rPr>
                <w:rFonts w:ascii="Arial" w:hAnsi="Arial"/>
                <w:sz w:val="16"/>
              </w:rPr>
            </w:pPr>
            <w:r>
              <w:rPr>
                <w:rFonts w:ascii="Arial" w:hAnsi="Arial"/>
                <w:sz w:val="16"/>
              </w:rPr>
              <w:t>1,5</w:t>
            </w:r>
          </w:p>
        </w:tc>
        <w:tc>
          <w:tcPr>
            <w:tcW w:w="1134" w:type="dxa"/>
          </w:tcPr>
          <w:p w:rsidR="00000000" w:rsidRDefault="00000000">
            <w:pPr>
              <w:spacing w:before="20" w:after="20" w:line="240" w:lineRule="auto"/>
              <w:rPr>
                <w:rFonts w:ascii="Arial" w:hAnsi="Arial"/>
                <w:sz w:val="16"/>
              </w:rPr>
            </w:pPr>
            <w:r>
              <w:rPr>
                <w:rFonts w:ascii="Arial" w:hAnsi="Arial"/>
                <w:sz w:val="16"/>
              </w:rPr>
              <w:t>1,2</w:t>
            </w:r>
          </w:p>
        </w:tc>
        <w:tc>
          <w:tcPr>
            <w:tcW w:w="1134" w:type="dxa"/>
          </w:tcPr>
          <w:p w:rsidR="00000000" w:rsidRDefault="00000000">
            <w:pPr>
              <w:spacing w:before="20" w:after="20" w:line="240" w:lineRule="auto"/>
              <w:rPr>
                <w:rFonts w:ascii="Arial" w:hAnsi="Arial"/>
                <w:sz w:val="16"/>
              </w:rPr>
            </w:pPr>
            <w:r>
              <w:rPr>
                <w:rFonts w:ascii="Arial" w:hAnsi="Arial"/>
                <w:sz w:val="16"/>
              </w:rPr>
              <w:t>1,4</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1996/97</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0,4</w:t>
            </w:r>
          </w:p>
        </w:tc>
        <w:tc>
          <w:tcPr>
            <w:tcW w:w="1134" w:type="dxa"/>
          </w:tcPr>
          <w:p w:rsidR="00000000" w:rsidRDefault="00000000">
            <w:pPr>
              <w:spacing w:before="20" w:after="20" w:line="240" w:lineRule="auto"/>
              <w:rPr>
                <w:rFonts w:ascii="Arial" w:hAnsi="Arial"/>
                <w:sz w:val="16"/>
              </w:rPr>
            </w:pPr>
            <w:r>
              <w:rPr>
                <w:rFonts w:ascii="Arial" w:hAnsi="Arial"/>
                <w:sz w:val="16"/>
              </w:rPr>
              <w:t>0,5</w:t>
            </w:r>
          </w:p>
        </w:tc>
        <w:tc>
          <w:tcPr>
            <w:tcW w:w="1134" w:type="dxa"/>
          </w:tcPr>
          <w:p w:rsidR="00000000" w:rsidRDefault="00000000">
            <w:pPr>
              <w:spacing w:before="20" w:after="20" w:line="240" w:lineRule="auto"/>
              <w:rPr>
                <w:rFonts w:ascii="Arial" w:hAnsi="Arial"/>
                <w:sz w:val="16"/>
              </w:rPr>
            </w:pPr>
            <w:r>
              <w:rPr>
                <w:rFonts w:ascii="Arial" w:hAnsi="Arial"/>
                <w:sz w:val="16"/>
              </w:rPr>
              <w:t>1,0</w:t>
            </w:r>
          </w:p>
        </w:tc>
        <w:tc>
          <w:tcPr>
            <w:tcW w:w="1134" w:type="dxa"/>
          </w:tcPr>
          <w:p w:rsidR="00000000" w:rsidRDefault="00000000">
            <w:pPr>
              <w:spacing w:before="20" w:after="20" w:line="240" w:lineRule="auto"/>
              <w:rPr>
                <w:rFonts w:ascii="Arial" w:hAnsi="Arial"/>
                <w:sz w:val="16"/>
              </w:rPr>
            </w:pPr>
            <w:r>
              <w:rPr>
                <w:rFonts w:ascii="Arial" w:hAnsi="Arial"/>
                <w:sz w:val="16"/>
              </w:rPr>
              <w:t>0,7</w:t>
            </w:r>
          </w:p>
        </w:tc>
        <w:tc>
          <w:tcPr>
            <w:tcW w:w="1134" w:type="dxa"/>
          </w:tcPr>
          <w:p w:rsidR="00000000" w:rsidRDefault="00000000">
            <w:pPr>
              <w:spacing w:before="20" w:after="20" w:line="240" w:lineRule="auto"/>
              <w:rPr>
                <w:rFonts w:ascii="Arial" w:hAnsi="Arial"/>
                <w:sz w:val="16"/>
              </w:rPr>
            </w:pPr>
            <w:r>
              <w:rPr>
                <w:rFonts w:ascii="Arial" w:hAnsi="Arial"/>
                <w:sz w:val="16"/>
              </w:rPr>
              <w:t>0,8</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1997/98</w:t>
            </w:r>
          </w:p>
        </w:tc>
        <w:tc>
          <w:tcPr>
            <w:tcW w:w="1134" w:type="dxa"/>
          </w:tcPr>
          <w:p w:rsidR="00000000" w:rsidRDefault="00000000">
            <w:pPr>
              <w:spacing w:before="20" w:after="20" w:line="240" w:lineRule="auto"/>
              <w:rPr>
                <w:rFonts w:ascii="Arial" w:hAnsi="Arial"/>
                <w:sz w:val="16"/>
              </w:rPr>
            </w:pPr>
            <w:r>
              <w:rPr>
                <w:rFonts w:ascii="Arial" w:hAnsi="Arial"/>
                <w:sz w:val="16"/>
              </w:rPr>
              <w:t>0,7</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1,0</w:t>
            </w:r>
          </w:p>
        </w:tc>
        <w:tc>
          <w:tcPr>
            <w:tcW w:w="1134" w:type="dxa"/>
          </w:tcPr>
          <w:p w:rsidR="00000000" w:rsidRDefault="00000000">
            <w:pPr>
              <w:spacing w:before="20" w:after="20" w:line="240" w:lineRule="auto"/>
              <w:rPr>
                <w:rFonts w:ascii="Arial" w:hAnsi="Arial"/>
                <w:sz w:val="16"/>
              </w:rPr>
            </w:pPr>
            <w:r>
              <w:rPr>
                <w:rFonts w:ascii="Arial" w:hAnsi="Arial"/>
                <w:sz w:val="16"/>
              </w:rPr>
              <w:t>0,8</w:t>
            </w:r>
          </w:p>
        </w:tc>
        <w:tc>
          <w:tcPr>
            <w:tcW w:w="1134" w:type="dxa"/>
          </w:tcPr>
          <w:p w:rsidR="00000000" w:rsidRDefault="00000000">
            <w:pPr>
              <w:spacing w:before="20" w:after="20" w:line="240" w:lineRule="auto"/>
              <w:rPr>
                <w:rFonts w:ascii="Arial" w:hAnsi="Arial"/>
                <w:sz w:val="16"/>
              </w:rPr>
            </w:pPr>
            <w:r>
              <w:rPr>
                <w:rFonts w:ascii="Arial" w:hAnsi="Arial"/>
                <w:sz w:val="16"/>
              </w:rPr>
              <w:t>0,9</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1998/99</w:t>
            </w:r>
          </w:p>
        </w:tc>
        <w:tc>
          <w:tcPr>
            <w:tcW w:w="1134" w:type="dxa"/>
          </w:tcPr>
          <w:p w:rsidR="00000000" w:rsidRDefault="00000000">
            <w:pPr>
              <w:spacing w:before="20" w:after="20" w:line="240" w:lineRule="auto"/>
              <w:rPr>
                <w:rFonts w:ascii="Arial" w:hAnsi="Arial"/>
                <w:sz w:val="16"/>
              </w:rPr>
            </w:pPr>
            <w:r>
              <w:rPr>
                <w:rFonts w:ascii="Arial" w:hAnsi="Arial"/>
                <w:sz w:val="16"/>
              </w:rPr>
              <w:t>0,5</w:t>
            </w:r>
          </w:p>
        </w:tc>
        <w:tc>
          <w:tcPr>
            <w:tcW w:w="1134" w:type="dxa"/>
          </w:tcPr>
          <w:p w:rsidR="00000000" w:rsidRDefault="00000000">
            <w:pPr>
              <w:spacing w:before="20" w:after="20" w:line="240" w:lineRule="auto"/>
              <w:rPr>
                <w:rFonts w:ascii="Arial" w:hAnsi="Arial"/>
                <w:sz w:val="16"/>
              </w:rPr>
            </w:pPr>
            <w:r>
              <w:rPr>
                <w:rFonts w:ascii="Arial" w:hAnsi="Arial"/>
                <w:sz w:val="16"/>
              </w:rPr>
              <w:t>0,7</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0,8</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0,7</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1999/2000</w:t>
            </w:r>
          </w:p>
        </w:tc>
        <w:tc>
          <w:tcPr>
            <w:tcW w:w="1134" w:type="dxa"/>
          </w:tcPr>
          <w:p w:rsidR="00000000" w:rsidRDefault="00000000">
            <w:pPr>
              <w:spacing w:before="20" w:after="20" w:line="240" w:lineRule="auto"/>
              <w:rPr>
                <w:rFonts w:ascii="Arial" w:hAnsi="Arial"/>
                <w:sz w:val="16"/>
              </w:rPr>
            </w:pPr>
            <w:r>
              <w:rPr>
                <w:rFonts w:ascii="Arial" w:hAnsi="Arial"/>
                <w:sz w:val="16"/>
              </w:rPr>
              <w:t>0,3</w:t>
            </w:r>
          </w:p>
        </w:tc>
        <w:tc>
          <w:tcPr>
            <w:tcW w:w="1134" w:type="dxa"/>
          </w:tcPr>
          <w:p w:rsidR="00000000" w:rsidRDefault="00000000">
            <w:pPr>
              <w:spacing w:before="20" w:after="20" w:line="240" w:lineRule="auto"/>
              <w:rPr>
                <w:rFonts w:ascii="Arial" w:hAnsi="Arial"/>
                <w:sz w:val="16"/>
              </w:rPr>
            </w:pPr>
            <w:r>
              <w:rPr>
                <w:rFonts w:ascii="Arial" w:hAnsi="Arial"/>
                <w:sz w:val="16"/>
              </w:rPr>
              <w:t>0,2</w:t>
            </w:r>
          </w:p>
        </w:tc>
        <w:tc>
          <w:tcPr>
            <w:tcW w:w="1134" w:type="dxa"/>
          </w:tcPr>
          <w:p w:rsidR="00000000" w:rsidRDefault="00000000">
            <w:pPr>
              <w:spacing w:before="20" w:after="20" w:line="240" w:lineRule="auto"/>
              <w:rPr>
                <w:rFonts w:ascii="Arial" w:hAnsi="Arial"/>
                <w:sz w:val="16"/>
              </w:rPr>
            </w:pPr>
            <w:r>
              <w:rPr>
                <w:rFonts w:ascii="Arial" w:hAnsi="Arial"/>
                <w:sz w:val="16"/>
              </w:rPr>
              <w:t>0,2</w:t>
            </w:r>
          </w:p>
        </w:tc>
        <w:tc>
          <w:tcPr>
            <w:tcW w:w="1134" w:type="dxa"/>
          </w:tcPr>
          <w:p w:rsidR="00000000" w:rsidRDefault="00000000">
            <w:pPr>
              <w:spacing w:before="20" w:after="20" w:line="240" w:lineRule="auto"/>
              <w:rPr>
                <w:rFonts w:ascii="Arial" w:hAnsi="Arial"/>
                <w:sz w:val="16"/>
              </w:rPr>
            </w:pPr>
            <w:r>
              <w:rPr>
                <w:rFonts w:ascii="Arial" w:hAnsi="Arial"/>
                <w:sz w:val="16"/>
              </w:rPr>
              <w:t>0,8 ,</w:t>
            </w:r>
          </w:p>
        </w:tc>
        <w:tc>
          <w:tcPr>
            <w:tcW w:w="1134" w:type="dxa"/>
          </w:tcPr>
          <w:p w:rsidR="00000000" w:rsidRDefault="00000000">
            <w:pPr>
              <w:spacing w:before="20" w:after="20" w:line="240" w:lineRule="auto"/>
              <w:rPr>
                <w:rFonts w:ascii="Arial" w:hAnsi="Arial"/>
                <w:sz w:val="16"/>
              </w:rPr>
            </w:pPr>
            <w:r>
              <w:rPr>
                <w:rFonts w:ascii="Arial" w:hAnsi="Arial"/>
                <w:sz w:val="16"/>
              </w:rPr>
              <w:t>0,6</w:t>
            </w:r>
          </w:p>
        </w:tc>
        <w:tc>
          <w:tcPr>
            <w:tcW w:w="1134" w:type="dxa"/>
          </w:tcPr>
          <w:p w:rsidR="00000000" w:rsidRDefault="00000000">
            <w:pPr>
              <w:spacing w:before="20" w:after="20" w:line="240" w:lineRule="auto"/>
              <w:rPr>
                <w:rFonts w:ascii="Arial" w:hAnsi="Arial"/>
                <w:sz w:val="16"/>
              </w:rPr>
            </w:pPr>
            <w:r>
              <w:rPr>
                <w:rFonts w:ascii="Arial" w:hAnsi="Arial"/>
                <w:sz w:val="16"/>
              </w:rPr>
              <w:t>0,7</w:t>
            </w:r>
          </w:p>
        </w:tc>
      </w:tr>
    </w:tbl>
    <w:p w:rsidR="00000000" w:rsidRDefault="00000000">
      <w:pPr>
        <w:spacing w:after="120"/>
      </w:pPr>
    </w:p>
    <w:p w:rsidR="00000000" w:rsidRDefault="00000000">
      <w:r>
        <w:t>232.</w:t>
      </w:r>
      <w:r>
        <w:tab/>
        <w:t xml:space="preserve">Хотя Министерство образования не имеет официально утвержденной политики в отношении беременных или состоящих в браке учащихся, которые посещают школу, сложившаяся практика заключается в том, что учащиеся не могут быть лишены права на образование на том основании, что они состоят в браке или беременны. Несмотря на отсутствие статистических данных о проценте отсеявшихся из школы беременных девочек, считается, что культурные предрассудки в отношении таких женщин и их экономическое положение оказывают негативное влияние на их образование. Центры непрерывного образования, которые предоставляют возможности получения образования лицам в возрасте 15 лет и старше, не посещающим начальную и/или среднюю школу или не получившим начальное и/или среднее образование, принимают также матерей-подростков, выбывших из школы. В рамках </w:t>
      </w:r>
      <w:r>
        <w:rPr>
          <w:lang w:val="en-US"/>
        </w:rPr>
        <w:t>CHOICES</w:t>
      </w:r>
      <w:r>
        <w:t>, совместного проекта Министерства здравоохранения, Министерства социального и общинного развития и Лиги охраны детства (неправительственная организация), также осуществляются программы для беременных подростков.</w:t>
      </w:r>
    </w:p>
    <w:p w:rsidR="00000000" w:rsidRDefault="00000000">
      <w:r>
        <w:t>233.</w:t>
      </w:r>
      <w:r>
        <w:tab/>
        <w:t>Нет программ обучения взрослых, специально предназначенных для девочек и женщин. Однако существующие программы обучения взрослых одинаково доступны представителям обоего пола и осуществляются по единому учебному плану как для мужчин, так и для женщин.</w:t>
      </w:r>
    </w:p>
    <w:p w:rsidR="00000000" w:rsidRDefault="00000000">
      <w:r>
        <w:t>234.</w:t>
      </w:r>
      <w:r>
        <w:tab/>
        <w:t xml:space="preserve">Что касается непрерывного образования, то этим вопросом занимается Отдел обучения взрослых, созданный в рамках Министерства образования. Этот Отдел располагает 45 центрами непрерывного образования по всей стране, которые создают возможности для получения образования лицам в возрасте 15 лет и старше, не посещающим начальную и/или среднюю школу или не получившим начального и/или среднего образования. На 1999/2000 финансовый год Министерство финансов выделило средства на открытие еще пяти таких центров, что позволит увеличить их общее число по всей стране до 50. В настоящее время в этих центрах работает 45 методистов и 370 учителей, которые обычно отбираются из вышедших на пенсию директоров, методистов и учителей Министерства образования. Их специальные знания и опыт находят здесь полное применение. В соответствии с этой программой в центрах обучают грамоте и преподают корректировочный курс в целях повышения грамотности, с тем чтобы удовлетворять особые потребности учащихся, которым был предоставлен "второй шанс" для получения образования. Вводные курсы профориентации включают конструирование одежды, слесарно-водопроводные работы, машинопись, домашний уход за престарелыми, компьютерную грамотность, переплетное дело, изготовление керамики, ремонт несложных бытовых приборов и т. д. Проводятся также просветительские занятия по вопросам семейной жизни и по программе неполного среднего образования. </w:t>
      </w:r>
    </w:p>
    <w:p w:rsidR="00000000" w:rsidRDefault="00000000">
      <w:r>
        <w:t>235.</w:t>
      </w:r>
      <w:r>
        <w:tab/>
        <w:t>"Женщины за социальный прогресс" (работающие женщины)</w:t>
      </w:r>
      <w:r>
        <w:rPr>
          <w:lang w:val="en-US"/>
        </w:rPr>
        <w:t xml:space="preserve"> </w:t>
      </w:r>
      <w:r>
        <w:t>– это неправительственная некоммерческая организация, содействующая развитию, которая была создана в 1985 году в целях проведения кампании и повышения сознательности в вопросах о положении женщин и о гендерных отношениях путем осуществления ряда мероприятий. Недавно эта организация приобрела здание для размещения в нем своей штаб-квартиры, в котором находится школа альтернативного образования. Эта школа была создана в целях решения задачи обучения взрослых и удовлетворения потребностей лиц, которые не решаются посещать обычные занятия по обучению взрослых. Первоначально в школе велись занятия по обучению грамоте, но с тех пор рамки ее деятельности расширились, и теперь в школе преподается английский язык на двух уровнях, испанский язык на двух уровнях, на общественных началах проводятся консультации по вопросу оказания поддержки нуждающимся в этом людям, занятия по местному диалекту, английскому языку для желающих поступить в высшие учебные заведения и разнообразные однодневные семинары (по таким вопросам, как воспитание детей без использования насильственных методов, сексуальное домогательство и способы общения между активистами неправительственных организаций).</w:t>
      </w:r>
    </w:p>
    <w:p w:rsidR="00000000" w:rsidRDefault="00000000">
      <w:r>
        <w:t>236.</w:t>
      </w:r>
      <w:r>
        <w:tab/>
        <w:t>В сентябре 1994 года для удовлетворения насущных потребностей общества Женская федерация институтов, являющаяся неправительственной организацией, создала Учебный центр для учащихся в возрасте 11</w:t>
      </w:r>
      <w:r>
        <w:rPr>
          <w:lang w:val="en-US"/>
        </w:rPr>
        <w:t> </w:t>
      </w:r>
      <w:r>
        <w:t>лет, которые не сдали общий вступительный экзамен и, соответственно, были вынуждены преждевременно прекратить учебу. Первоначально цель Федерации заключалась в организации корректировочного курса обучения и подготовки для значительного числа детей школьного возраста, которые в противном случае оставались бы без дела дома или слонялись по улицам, занимаясь противоправной деятельностью. В связи с этим Федерация расширила свою деятельность по оказанию поддержки матерям в выполнении ими своих родительских обязанностей. Большинство молодых людей, посещающих центр, живут только с работающими матерями-одиночками или их жизнь протекает в условиях, когда они предоставлены сами себе и имеют много свободного времени. Первоначально в центре занималось всего 6 детей, а сегодня он принимает примерно 160</w:t>
      </w:r>
      <w:r>
        <w:rPr>
          <w:lang w:val="en-US"/>
        </w:rPr>
        <w:t> </w:t>
      </w:r>
      <w:r>
        <w:t>подростков, причем значительное число из них составляют девочки.</w:t>
      </w:r>
    </w:p>
    <w:p w:rsidR="00000000" w:rsidRDefault="00000000">
      <w:pPr>
        <w:spacing w:after="0"/>
        <w:rPr>
          <w:b/>
        </w:rPr>
      </w:pPr>
      <w:r>
        <w:rPr>
          <w:b/>
          <w:lang w:val="en-US"/>
        </w:rPr>
        <w:tab/>
      </w:r>
      <w:r>
        <w:rPr>
          <w:b/>
        </w:rPr>
        <w:t>Число учащихся в учебном центре с разбивкой по полу, 1994–2000 годы</w:t>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5"/>
        <w:gridCol w:w="1701"/>
        <w:gridCol w:w="1701"/>
        <w:gridCol w:w="1701"/>
      </w:tblGrid>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b/>
                <w:sz w:val="16"/>
              </w:rPr>
            </w:pPr>
            <w:r>
              <w:rPr>
                <w:rFonts w:ascii="Arial" w:hAnsi="Arial"/>
                <w:b/>
                <w:sz w:val="16"/>
              </w:rPr>
              <w:t>ГОД</w:t>
            </w:r>
          </w:p>
        </w:tc>
        <w:tc>
          <w:tcPr>
            <w:tcW w:w="1701" w:type="dxa"/>
          </w:tcPr>
          <w:p w:rsidR="00000000" w:rsidRDefault="00000000">
            <w:pPr>
              <w:spacing w:before="40" w:after="20" w:line="240" w:lineRule="auto"/>
              <w:jc w:val="center"/>
              <w:rPr>
                <w:rFonts w:ascii="Arial" w:hAnsi="Arial"/>
                <w:b/>
                <w:sz w:val="16"/>
              </w:rPr>
            </w:pPr>
            <w:r>
              <w:rPr>
                <w:rFonts w:ascii="Arial" w:hAnsi="Arial"/>
                <w:b/>
                <w:sz w:val="16"/>
              </w:rPr>
              <w:t>МУЖЧИНЫ</w:t>
            </w:r>
          </w:p>
        </w:tc>
        <w:tc>
          <w:tcPr>
            <w:tcW w:w="1701" w:type="dxa"/>
          </w:tcPr>
          <w:p w:rsidR="00000000" w:rsidRDefault="00000000">
            <w:pPr>
              <w:spacing w:before="40" w:after="20" w:line="240" w:lineRule="auto"/>
              <w:jc w:val="center"/>
              <w:rPr>
                <w:rFonts w:ascii="Arial" w:hAnsi="Arial"/>
                <w:b/>
                <w:sz w:val="16"/>
              </w:rPr>
            </w:pPr>
            <w:r>
              <w:rPr>
                <w:rFonts w:ascii="Arial" w:hAnsi="Arial"/>
                <w:b/>
                <w:sz w:val="16"/>
              </w:rPr>
              <w:t>ЖЕНЩИНЫ</w:t>
            </w:r>
          </w:p>
        </w:tc>
        <w:tc>
          <w:tcPr>
            <w:tcW w:w="1701" w:type="dxa"/>
          </w:tcPr>
          <w:p w:rsidR="00000000" w:rsidRDefault="00000000">
            <w:pPr>
              <w:spacing w:before="40" w:after="20" w:line="240" w:lineRule="auto"/>
              <w:jc w:val="center"/>
              <w:rPr>
                <w:rFonts w:ascii="Arial" w:hAnsi="Arial"/>
                <w:b/>
                <w:sz w:val="16"/>
              </w:rPr>
            </w:pPr>
            <w:r>
              <w:rPr>
                <w:rFonts w:ascii="Arial" w:hAnsi="Arial"/>
                <w:b/>
                <w:sz w:val="16"/>
              </w:rPr>
              <w:t>ВСЕГО</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1994</w:t>
            </w:r>
          </w:p>
        </w:tc>
        <w:tc>
          <w:tcPr>
            <w:tcW w:w="1701" w:type="dxa"/>
          </w:tcPr>
          <w:p w:rsidR="00000000" w:rsidRDefault="00000000">
            <w:pPr>
              <w:spacing w:before="40" w:after="20" w:line="240" w:lineRule="auto"/>
              <w:jc w:val="center"/>
              <w:rPr>
                <w:rFonts w:ascii="Arial" w:hAnsi="Arial"/>
                <w:sz w:val="16"/>
              </w:rPr>
            </w:pPr>
            <w:r>
              <w:rPr>
                <w:rFonts w:ascii="Arial" w:hAnsi="Arial"/>
                <w:sz w:val="16"/>
              </w:rPr>
              <w:t>20</w:t>
            </w:r>
          </w:p>
        </w:tc>
        <w:tc>
          <w:tcPr>
            <w:tcW w:w="1701" w:type="dxa"/>
          </w:tcPr>
          <w:p w:rsidR="00000000" w:rsidRDefault="00000000">
            <w:pPr>
              <w:spacing w:before="40" w:after="20" w:line="240" w:lineRule="auto"/>
              <w:jc w:val="center"/>
              <w:rPr>
                <w:rFonts w:ascii="Arial" w:hAnsi="Arial"/>
                <w:sz w:val="16"/>
              </w:rPr>
            </w:pPr>
            <w:r>
              <w:rPr>
                <w:rFonts w:ascii="Arial" w:hAnsi="Arial"/>
                <w:sz w:val="16"/>
              </w:rPr>
              <w:t>32</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52</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1995</w:t>
            </w:r>
          </w:p>
        </w:tc>
        <w:tc>
          <w:tcPr>
            <w:tcW w:w="1701" w:type="dxa"/>
          </w:tcPr>
          <w:p w:rsidR="00000000" w:rsidRDefault="00000000">
            <w:pPr>
              <w:spacing w:before="40" w:after="20" w:line="240" w:lineRule="auto"/>
              <w:jc w:val="center"/>
              <w:rPr>
                <w:rFonts w:ascii="Arial" w:hAnsi="Arial"/>
                <w:sz w:val="16"/>
              </w:rPr>
            </w:pPr>
            <w:r>
              <w:rPr>
                <w:rFonts w:ascii="Arial" w:hAnsi="Arial"/>
                <w:sz w:val="16"/>
              </w:rPr>
              <w:t>74</w:t>
            </w:r>
          </w:p>
        </w:tc>
        <w:tc>
          <w:tcPr>
            <w:tcW w:w="1701" w:type="dxa"/>
          </w:tcPr>
          <w:p w:rsidR="00000000" w:rsidRDefault="00000000">
            <w:pPr>
              <w:spacing w:before="40" w:after="20" w:line="240" w:lineRule="auto"/>
              <w:jc w:val="center"/>
              <w:rPr>
                <w:rFonts w:ascii="Arial" w:hAnsi="Arial"/>
                <w:sz w:val="16"/>
              </w:rPr>
            </w:pPr>
            <w:r>
              <w:rPr>
                <w:rFonts w:ascii="Arial" w:hAnsi="Arial"/>
                <w:sz w:val="16"/>
              </w:rPr>
              <w:t>56</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130</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1996</w:t>
            </w:r>
          </w:p>
        </w:tc>
        <w:tc>
          <w:tcPr>
            <w:tcW w:w="1701" w:type="dxa"/>
          </w:tcPr>
          <w:p w:rsidR="00000000" w:rsidRDefault="00000000">
            <w:pPr>
              <w:spacing w:before="40" w:after="20" w:line="240" w:lineRule="auto"/>
              <w:jc w:val="center"/>
              <w:rPr>
                <w:rFonts w:ascii="Arial" w:hAnsi="Arial"/>
                <w:sz w:val="16"/>
              </w:rPr>
            </w:pPr>
            <w:r>
              <w:rPr>
                <w:rFonts w:ascii="Arial" w:hAnsi="Arial"/>
                <w:sz w:val="16"/>
              </w:rPr>
              <w:t>58</w:t>
            </w:r>
          </w:p>
        </w:tc>
        <w:tc>
          <w:tcPr>
            <w:tcW w:w="1701" w:type="dxa"/>
          </w:tcPr>
          <w:p w:rsidR="00000000" w:rsidRDefault="00000000">
            <w:pPr>
              <w:spacing w:before="40" w:after="20" w:line="240" w:lineRule="auto"/>
              <w:jc w:val="center"/>
              <w:rPr>
                <w:rFonts w:ascii="Arial" w:hAnsi="Arial"/>
                <w:sz w:val="16"/>
              </w:rPr>
            </w:pPr>
            <w:r>
              <w:rPr>
                <w:rFonts w:ascii="Arial" w:hAnsi="Arial"/>
                <w:sz w:val="16"/>
              </w:rPr>
              <w:t>27</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85</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1997</w:t>
            </w:r>
          </w:p>
        </w:tc>
        <w:tc>
          <w:tcPr>
            <w:tcW w:w="1701" w:type="dxa"/>
          </w:tcPr>
          <w:p w:rsidR="00000000" w:rsidRDefault="00000000">
            <w:pPr>
              <w:spacing w:before="40" w:after="20" w:line="240" w:lineRule="auto"/>
              <w:jc w:val="center"/>
              <w:rPr>
                <w:rFonts w:ascii="Arial" w:hAnsi="Arial"/>
                <w:sz w:val="16"/>
              </w:rPr>
            </w:pPr>
            <w:r>
              <w:rPr>
                <w:rFonts w:ascii="Arial" w:hAnsi="Arial"/>
                <w:sz w:val="16"/>
              </w:rPr>
              <w:t>32</w:t>
            </w:r>
          </w:p>
        </w:tc>
        <w:tc>
          <w:tcPr>
            <w:tcW w:w="1701" w:type="dxa"/>
          </w:tcPr>
          <w:p w:rsidR="00000000" w:rsidRDefault="00000000">
            <w:pPr>
              <w:spacing w:before="40" w:after="20" w:line="240" w:lineRule="auto"/>
              <w:jc w:val="center"/>
              <w:rPr>
                <w:rFonts w:ascii="Arial" w:hAnsi="Arial"/>
                <w:sz w:val="16"/>
              </w:rPr>
            </w:pPr>
            <w:r>
              <w:rPr>
                <w:rFonts w:ascii="Arial" w:hAnsi="Arial"/>
                <w:sz w:val="16"/>
              </w:rPr>
              <w:t>23</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55</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1998</w:t>
            </w:r>
          </w:p>
        </w:tc>
        <w:tc>
          <w:tcPr>
            <w:tcW w:w="1701" w:type="dxa"/>
          </w:tcPr>
          <w:p w:rsidR="00000000" w:rsidRDefault="00000000">
            <w:pPr>
              <w:spacing w:before="40" w:after="20" w:line="240" w:lineRule="auto"/>
              <w:jc w:val="center"/>
              <w:rPr>
                <w:rFonts w:ascii="Arial" w:hAnsi="Arial"/>
                <w:sz w:val="16"/>
              </w:rPr>
            </w:pPr>
            <w:r>
              <w:rPr>
                <w:rFonts w:ascii="Arial" w:hAnsi="Arial"/>
                <w:sz w:val="16"/>
              </w:rPr>
              <w:t>39</w:t>
            </w:r>
          </w:p>
        </w:tc>
        <w:tc>
          <w:tcPr>
            <w:tcW w:w="1701" w:type="dxa"/>
          </w:tcPr>
          <w:p w:rsidR="00000000" w:rsidRDefault="00000000">
            <w:pPr>
              <w:spacing w:before="40" w:after="20" w:line="240" w:lineRule="auto"/>
              <w:jc w:val="center"/>
              <w:rPr>
                <w:rFonts w:ascii="Arial" w:hAnsi="Arial"/>
                <w:sz w:val="16"/>
              </w:rPr>
            </w:pPr>
            <w:r>
              <w:rPr>
                <w:rFonts w:ascii="Arial" w:hAnsi="Arial"/>
                <w:sz w:val="16"/>
              </w:rPr>
              <w:t>21</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60</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1999</w:t>
            </w:r>
          </w:p>
        </w:tc>
        <w:tc>
          <w:tcPr>
            <w:tcW w:w="1701" w:type="dxa"/>
          </w:tcPr>
          <w:p w:rsidR="00000000" w:rsidRDefault="00000000">
            <w:pPr>
              <w:spacing w:before="40" w:after="20" w:line="240" w:lineRule="auto"/>
              <w:jc w:val="center"/>
              <w:rPr>
                <w:rFonts w:ascii="Arial" w:hAnsi="Arial"/>
                <w:sz w:val="16"/>
              </w:rPr>
            </w:pPr>
            <w:r>
              <w:rPr>
                <w:rFonts w:ascii="Arial" w:hAnsi="Arial"/>
                <w:sz w:val="16"/>
              </w:rPr>
              <w:t>30</w:t>
            </w:r>
          </w:p>
        </w:tc>
        <w:tc>
          <w:tcPr>
            <w:tcW w:w="1701" w:type="dxa"/>
          </w:tcPr>
          <w:p w:rsidR="00000000" w:rsidRDefault="00000000">
            <w:pPr>
              <w:spacing w:before="40" w:after="20" w:line="240" w:lineRule="auto"/>
              <w:jc w:val="center"/>
              <w:rPr>
                <w:rFonts w:ascii="Arial" w:hAnsi="Arial"/>
                <w:sz w:val="16"/>
              </w:rPr>
            </w:pPr>
            <w:r>
              <w:rPr>
                <w:rFonts w:ascii="Arial" w:hAnsi="Arial"/>
                <w:sz w:val="16"/>
              </w:rPr>
              <w:t>23</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53</w:t>
            </w:r>
          </w:p>
        </w:tc>
      </w:tr>
      <w:tr w:rsidR="00000000">
        <w:tblPrEx>
          <w:tblCellMar>
            <w:top w:w="0" w:type="dxa"/>
            <w:left w:w="0" w:type="dxa"/>
            <w:bottom w:w="0" w:type="dxa"/>
            <w:right w:w="0" w:type="dxa"/>
          </w:tblCellMar>
        </w:tblPrEx>
        <w:tc>
          <w:tcPr>
            <w:tcW w:w="2835" w:type="dxa"/>
          </w:tcPr>
          <w:p w:rsidR="00000000" w:rsidRDefault="00000000">
            <w:pPr>
              <w:spacing w:before="40" w:after="20" w:line="240" w:lineRule="auto"/>
              <w:jc w:val="center"/>
              <w:rPr>
                <w:rFonts w:ascii="Arial" w:hAnsi="Arial"/>
                <w:sz w:val="16"/>
              </w:rPr>
            </w:pPr>
            <w:r>
              <w:rPr>
                <w:rFonts w:ascii="Arial" w:hAnsi="Arial"/>
                <w:sz w:val="16"/>
              </w:rPr>
              <w:t>2000</w:t>
            </w:r>
          </w:p>
        </w:tc>
        <w:tc>
          <w:tcPr>
            <w:tcW w:w="1701" w:type="dxa"/>
          </w:tcPr>
          <w:p w:rsidR="00000000" w:rsidRDefault="00000000">
            <w:pPr>
              <w:spacing w:before="40" w:after="20" w:line="240" w:lineRule="auto"/>
              <w:jc w:val="center"/>
              <w:rPr>
                <w:rFonts w:ascii="Arial" w:hAnsi="Arial"/>
                <w:sz w:val="16"/>
              </w:rPr>
            </w:pPr>
            <w:r>
              <w:rPr>
                <w:rFonts w:ascii="Arial" w:hAnsi="Arial"/>
                <w:sz w:val="16"/>
              </w:rPr>
              <w:t>29</w:t>
            </w:r>
          </w:p>
        </w:tc>
        <w:tc>
          <w:tcPr>
            <w:tcW w:w="1701" w:type="dxa"/>
          </w:tcPr>
          <w:p w:rsidR="00000000" w:rsidRDefault="00000000">
            <w:pPr>
              <w:spacing w:before="40" w:after="20" w:line="240" w:lineRule="auto"/>
              <w:jc w:val="center"/>
              <w:rPr>
                <w:rFonts w:ascii="Arial" w:hAnsi="Arial"/>
                <w:sz w:val="16"/>
              </w:rPr>
            </w:pPr>
            <w:r>
              <w:rPr>
                <w:rFonts w:ascii="Arial" w:hAnsi="Arial"/>
                <w:sz w:val="16"/>
              </w:rPr>
              <w:t>18</w:t>
            </w:r>
          </w:p>
        </w:tc>
        <w:tc>
          <w:tcPr>
            <w:tcW w:w="1701" w:type="dxa"/>
          </w:tcPr>
          <w:p w:rsidR="00000000" w:rsidRDefault="00000000">
            <w:pPr>
              <w:tabs>
                <w:tab w:val="clear" w:pos="340"/>
                <w:tab w:val="clear" w:pos="680"/>
                <w:tab w:val="decimal" w:pos="1021"/>
              </w:tabs>
              <w:spacing w:before="40" w:after="20" w:line="240" w:lineRule="auto"/>
              <w:rPr>
                <w:rFonts w:ascii="Arial" w:hAnsi="Arial"/>
                <w:sz w:val="16"/>
              </w:rPr>
            </w:pPr>
            <w:r>
              <w:rPr>
                <w:rFonts w:ascii="Arial" w:hAnsi="Arial"/>
                <w:sz w:val="16"/>
              </w:rPr>
              <w:t>47</w:t>
            </w:r>
          </w:p>
        </w:tc>
      </w:tr>
    </w:tbl>
    <w:p w:rsidR="00000000" w:rsidRDefault="00000000">
      <w:pPr>
        <w:spacing w:after="120"/>
      </w:pPr>
    </w:p>
    <w:p w:rsidR="00000000" w:rsidRDefault="00000000">
      <w:r>
        <w:t>237.</w:t>
      </w:r>
      <w:r>
        <w:tab/>
        <w:t xml:space="preserve">Федерация также разработала программы, направленные на решение проблем инцеста, насилия в семье, злоупотребления наркотиками, алкоголизма, психических расстройств, безработицы и ВИЧ/СПИДа. Федерация проводит консультации, организует работу справочной службы, обеспечивает горячим питанием, распределяет одежду и продукты питания, занимается профессиональным обучением и организует чтение лекций по вопросам родительских обязанностей и семейной жизни. </w:t>
      </w:r>
    </w:p>
    <w:p w:rsidR="00000000" w:rsidRDefault="00000000">
      <w:r>
        <w:t>238.</w:t>
      </w:r>
      <w:r>
        <w:tab/>
        <w:t xml:space="preserve">Министерство образования не выделяет финансовые ресурсы целевым назначением на физическое воспитание, поскольку оно в качестве отдельного предмета входит в учебный план и финансируется так же, как и другие учебные дисциплины. Тем не менее на практике физическое воспитание является более низкоприоритетной дисциплиной по сравнению с другими. </w:t>
      </w:r>
    </w:p>
    <w:p w:rsidR="00000000" w:rsidRDefault="00000000">
      <w:r>
        <w:t>239.</w:t>
      </w:r>
      <w:r>
        <w:tab/>
        <w:t xml:space="preserve">Занятия по физическому воспитанию ведутся на уровне средней школы, в большинстве случаев одной преподавательницей и одним преподавателем. На уровне начальной школы учителя занимаются с детьми обоего пола. Физическое воспитание является обязательным до третьего года обучения в средней школе. Такое положение вызвано нехваткой учителей физкультуры. </w:t>
      </w:r>
    </w:p>
    <w:p w:rsidR="00000000" w:rsidRDefault="00000000">
      <w:r>
        <w:t>240.</w:t>
      </w:r>
      <w:r>
        <w:tab/>
        <w:t xml:space="preserve">Девочек поощряют участвовать во всех формах физического воспитания, однако такие факторы, как этническое происхождение, достижение половой зрелости и физические недостатки, как было установлено, отрицательно сказываются на степени их участия. Степень участия девочек в физическом воспитании не документируется, чем объясняется отсутствие соответствующих статистических данных. </w:t>
      </w:r>
    </w:p>
    <w:p w:rsidR="00000000" w:rsidRDefault="00000000">
      <w:r>
        <w:t>241.</w:t>
      </w:r>
      <w:r>
        <w:tab/>
        <w:t xml:space="preserve">Была начата подготовка работников системы образования и учителей с учетом гендерного фактора, с тем чтобы он принимался во внимание при составлении основного учебного плана в школах. К настоящему моменту Отдел гендерных проблем осуществил двухдневную программу подготовки директоров школ и учителей в восточном регионе страны. Ее прошли 4 директора и 38 учителей. </w:t>
      </w:r>
    </w:p>
    <w:p w:rsidR="00000000" w:rsidRDefault="00000000">
      <w:pPr>
        <w:spacing w:after="120"/>
      </w:pPr>
      <w:r>
        <w:t>242.</w:t>
      </w:r>
      <w:r>
        <w:tab/>
        <w:t>В рамках школьной системы по программе обучения семейной жизни ведется просвещение и консультирование по вопросам создания здоровой и благополучной семьи. Программа строится на основе четырех главных тем: здоровье и благосостояние, семья, просвещение населения и работа/досуг. Однако занятия по этой программе ведутся только на уровне начальной школы. В настоящее время рассматривается возможность обучения по этой программе учащихся средней школы, хотя занятия по планированию семьи входят в учебный план средней школы и включают следующие темы:</w:t>
      </w:r>
    </w:p>
    <w:p w:rsidR="00000000" w:rsidRDefault="00000000">
      <w:pPr>
        <w:numPr>
          <w:ilvl w:val="0"/>
          <w:numId w:val="529"/>
        </w:numPr>
        <w:spacing w:after="0"/>
      </w:pPr>
      <w:r>
        <w:t>сущность и значение планирования семьи;</w:t>
      </w:r>
    </w:p>
    <w:p w:rsidR="00000000" w:rsidRDefault="00000000">
      <w:pPr>
        <w:numPr>
          <w:ilvl w:val="0"/>
          <w:numId w:val="529"/>
        </w:numPr>
        <w:spacing w:after="0"/>
      </w:pPr>
      <w:r>
        <w:t>негативные последствия незапланированного отцовства и материнства;</w:t>
      </w:r>
    </w:p>
    <w:p w:rsidR="00000000" w:rsidRDefault="00000000">
      <w:pPr>
        <w:numPr>
          <w:ilvl w:val="0"/>
          <w:numId w:val="529"/>
        </w:numPr>
        <w:spacing w:after="0"/>
      </w:pPr>
      <w:r>
        <w:t>службы планирования семьи; и</w:t>
      </w:r>
    </w:p>
    <w:p w:rsidR="00000000" w:rsidRDefault="00000000">
      <w:pPr>
        <w:numPr>
          <w:ilvl w:val="0"/>
          <w:numId w:val="529"/>
        </w:numPr>
      </w:pPr>
      <w:r>
        <w:t>методы планирования семьи.</w:t>
      </w:r>
    </w:p>
    <w:p w:rsidR="00000000" w:rsidRDefault="00000000">
      <w:r>
        <w:t xml:space="preserve">Следует, однако, отметить, что программа обучения семейной жизни по-прежнему встречает ожесточенное сопротивление со стороны таких организаций, как школьные советы, церковь и родительско-учительские ассоциации. </w:t>
      </w:r>
    </w:p>
    <w:p w:rsidR="00000000" w:rsidRDefault="00000000">
      <w:pPr>
        <w:spacing w:after="120"/>
      </w:pPr>
      <w:r>
        <w:t>243.</w:t>
      </w:r>
      <w:r>
        <w:tab/>
        <w:t>В основной учебный план всех педагогических колледжей входит просвещение по проблемам семейной жизни, которое строится на основе ознакомления со следующими ключевыми вопросами:</w:t>
      </w:r>
    </w:p>
    <w:p w:rsidR="00000000" w:rsidRDefault="00000000">
      <w:pPr>
        <w:numPr>
          <w:ilvl w:val="0"/>
          <w:numId w:val="530"/>
        </w:numPr>
        <w:spacing w:after="0"/>
      </w:pPr>
      <w:r>
        <w:t>здоровье и благосостояние;</w:t>
      </w:r>
    </w:p>
    <w:p w:rsidR="00000000" w:rsidRDefault="00000000">
      <w:pPr>
        <w:numPr>
          <w:ilvl w:val="0"/>
          <w:numId w:val="530"/>
        </w:numPr>
        <w:spacing w:after="0"/>
      </w:pPr>
      <w:r>
        <w:t>злоупотребление наркотическими веществами;</w:t>
      </w:r>
    </w:p>
    <w:p w:rsidR="00000000" w:rsidRDefault="00000000">
      <w:pPr>
        <w:numPr>
          <w:ilvl w:val="0"/>
          <w:numId w:val="530"/>
        </w:numPr>
        <w:spacing w:after="0"/>
      </w:pPr>
      <w:r>
        <w:t>досуг;</w:t>
      </w:r>
    </w:p>
    <w:p w:rsidR="00000000" w:rsidRDefault="00000000">
      <w:pPr>
        <w:numPr>
          <w:ilvl w:val="0"/>
          <w:numId w:val="530"/>
        </w:numPr>
        <w:spacing w:after="0"/>
      </w:pPr>
      <w:r>
        <w:t>безопасность; и</w:t>
      </w:r>
    </w:p>
    <w:p w:rsidR="00000000" w:rsidRDefault="00000000">
      <w:pPr>
        <w:numPr>
          <w:ilvl w:val="0"/>
          <w:numId w:val="530"/>
        </w:numPr>
      </w:pPr>
      <w:r>
        <w:t xml:space="preserve">наследственность и продолжение рода. </w:t>
      </w:r>
    </w:p>
    <w:p w:rsidR="00000000" w:rsidRDefault="00000000">
      <w:pPr>
        <w:pStyle w:val="Heading3"/>
      </w:pPr>
      <w:r>
        <w:t>Статья 11</w:t>
      </w:r>
    </w:p>
    <w:p w:rsidR="00000000" w:rsidRDefault="00000000">
      <w:r>
        <w:t>244.</w:t>
      </w:r>
      <w:r>
        <w:tab/>
        <w:t xml:space="preserve">Одним из принципов, на которых основывается Конституция Республики Тринидад и Тобаго, является принцип социальной справедливости. Согласно этому принципу функционирование экономической системы должно обеспечивать, в частности, такое распределение материальных ресурсов общества, чтобы они служили всеобщему благу и обеспечивали надлежащие средства существования для всех. В Конституции заявляется также, что основные права и свободы "будут осуществляться без дискриминации на основании расы, происхождения, цвета кожи, вероисповедания или пола". Таким образом, Конституция, по существу, признает право каждого гражданина на труд для получения необходимых средств существования. Однако, хотя многие направления политики правительства могут быть специально нацелены на обеспечение занятости, сегодня ни одному гражданину, будь то мужчина или женщина, нигде не гарантировано право на работу. </w:t>
      </w:r>
    </w:p>
    <w:p w:rsidR="00000000" w:rsidRDefault="00000000">
      <w:r>
        <w:t>245.</w:t>
      </w:r>
      <w:r>
        <w:tab/>
        <w:t xml:space="preserve">Нерезидентам разрешается работать, только если они имеют надлежаще оформленное разрешение на работу. Супруги-иностранцы могут ходатайствовать о получении вида на жительство через три года после вступления в брак, а о предоставлении им гражданства – после пятилетнего проживания. </w:t>
      </w:r>
    </w:p>
    <w:p w:rsidR="00000000" w:rsidRDefault="00000000">
      <w:r>
        <w:t>246.</w:t>
      </w:r>
      <w:r>
        <w:tab/>
        <w:t xml:space="preserve">В общем, набор персонала на рабочие места в Тринидаде и Тобаго осуществляется по единой схеме: объявление в печати, интервью и направление на работу. Правительство, одно из крупнейших работодателей в стране, обязано соблюдать правила набора, которые применяются к представителям обоего пола. Например, правила набора сотрудников полиции одинаковы для всех, как мужчин, так и женщин. Женщины-полицейские выполняют те же обязанности, что и их коллеги-мужчины во всех полицейских подразделениях. Однако занятость женщин на службе в местах заключения ограничена численностью женщин-заключенных. Недавно пожарная служба приступила к набору женщин. </w:t>
      </w:r>
    </w:p>
    <w:p w:rsidR="00000000" w:rsidRDefault="00000000">
      <w:r>
        <w:t>247.</w:t>
      </w:r>
      <w:r>
        <w:tab/>
        <w:t>Министерство труда и кооперативов в дополнение к выполнению своих функций в области трудовых отношений и заключения коллективных договоров руководит также службой набора рабочей силы, услугами которой могут пользоваться граждане. Хотя Министерство не осуществляло каких-либо программ, специально предназначенных для женщин, оно предпринимало инициативы, направленные на сокращение безработицы, включая женскую безработицу, и содействие в приобретении квалификации, которая необходима для эффективного вхождения в состав трудовых ресурсов. Министерство уделяет первоочередное внимание разработке и осуществлению тех направлений политики и методов, которые будут способствовать устойчивому экономическому развитию и полной продуктивной занятости. Деятельность Министерства в этой области может быть представлена как охватывающая следующие службы:</w:t>
      </w:r>
    </w:p>
    <w:p w:rsidR="00000000" w:rsidRDefault="00000000">
      <w:pPr>
        <w:numPr>
          <w:ilvl w:val="0"/>
          <w:numId w:val="534"/>
        </w:numPr>
        <w:spacing w:after="0"/>
      </w:pPr>
      <w:r>
        <w:t>национальную службу занятости;</w:t>
      </w:r>
    </w:p>
    <w:p w:rsidR="00000000" w:rsidRDefault="00000000">
      <w:pPr>
        <w:numPr>
          <w:ilvl w:val="0"/>
          <w:numId w:val="534"/>
        </w:numPr>
        <w:spacing w:after="0"/>
      </w:pPr>
      <w:r>
        <w:t>национальную службу информации об управлении людскими ресурсами;</w:t>
      </w:r>
    </w:p>
    <w:p w:rsidR="00000000" w:rsidRDefault="00000000">
      <w:pPr>
        <w:numPr>
          <w:ilvl w:val="0"/>
          <w:numId w:val="534"/>
        </w:numPr>
      </w:pPr>
      <w:r>
        <w:t>управление трудовыми отношениями.</w:t>
      </w:r>
    </w:p>
    <w:p w:rsidR="00000000" w:rsidRDefault="00000000">
      <w:r>
        <w:t xml:space="preserve">Женщины имеют равные с мужчинами возможности при поступлении на работу в эти службы. </w:t>
      </w:r>
    </w:p>
    <w:p w:rsidR="00000000" w:rsidRDefault="00000000">
      <w:r>
        <w:t>248.</w:t>
      </w:r>
      <w:r>
        <w:tab/>
        <w:t>Национальная служба занятости (НСЗ) подчиняется Министерству труда и кооперативов и состоит из бирж труда, Центра регистрации и Отдела фермерских программ. НСЗ предоставляет бесплатные услуги работодателям и членам общества. Ее задача заключается в том, чтобы</w:t>
      </w:r>
    </w:p>
    <w:p w:rsidR="00000000" w:rsidRDefault="00000000">
      <w:pPr>
        <w:tabs>
          <w:tab w:val="clear" w:pos="340"/>
        </w:tabs>
        <w:ind w:left="680" w:right="680" w:hanging="680"/>
        <w:rPr>
          <w:i/>
        </w:rPr>
      </w:pPr>
      <w:r>
        <w:tab/>
      </w:r>
      <w:r>
        <w:rPr>
          <w:i/>
        </w:rPr>
        <w:t>содействовать занятости и оптимальному использованию рабочей силы страны путем набора, консультирования, отбора и трудоустройства работников для всех видов общественных и других работ.</w:t>
      </w:r>
    </w:p>
    <w:p w:rsidR="00000000" w:rsidRDefault="00000000">
      <w:r>
        <w:t>249.</w:t>
      </w:r>
      <w:r>
        <w:tab/>
        <w:t xml:space="preserve">Министерство труда и кооперативов в настоящее время занимается реорганизацией своего Отдела трудовых ресурсов (которому подчиняется НСЗ) в целях его превращения в высокоорганизованную службу с точки зрения ее структуры, укомплектования кадрами, физической инфраструктуры и функционирования, с тем чтобы эффективно решать проблемы </w:t>
      </w:r>
      <w:r>
        <w:rPr>
          <w:lang w:val="en-US"/>
        </w:rPr>
        <w:t>XXI</w:t>
      </w:r>
      <w:r>
        <w:t xml:space="preserve"> века. Для обеспечения качества услуг, предоставляемых НСЗ, необходимо выполнение ряда предварительных условий, которые включают:</w:t>
      </w:r>
    </w:p>
    <w:p w:rsidR="00000000" w:rsidRDefault="00000000">
      <w:pPr>
        <w:numPr>
          <w:ilvl w:val="0"/>
          <w:numId w:val="535"/>
        </w:numPr>
        <w:spacing w:after="0"/>
      </w:pPr>
      <w:r>
        <w:t>создание необходимой законодательной основы;</w:t>
      </w:r>
    </w:p>
    <w:p w:rsidR="00000000" w:rsidRDefault="00000000">
      <w:pPr>
        <w:numPr>
          <w:ilvl w:val="0"/>
          <w:numId w:val="535"/>
        </w:numPr>
        <w:spacing w:after="0"/>
      </w:pPr>
      <w:r>
        <w:t>совершенствование физической инфраструктуры;</w:t>
      </w:r>
    </w:p>
    <w:p w:rsidR="00000000" w:rsidRDefault="00000000">
      <w:pPr>
        <w:numPr>
          <w:ilvl w:val="0"/>
          <w:numId w:val="535"/>
        </w:numPr>
        <w:spacing w:after="0"/>
      </w:pPr>
      <w:r>
        <w:t>подготовку кадров;</w:t>
      </w:r>
    </w:p>
    <w:p w:rsidR="00000000" w:rsidRDefault="00000000">
      <w:pPr>
        <w:numPr>
          <w:ilvl w:val="0"/>
          <w:numId w:val="535"/>
        </w:numPr>
        <w:spacing w:after="0"/>
      </w:pPr>
      <w:r>
        <w:t>разработку стандартов функционирования;</w:t>
      </w:r>
    </w:p>
    <w:p w:rsidR="00000000" w:rsidRDefault="00000000">
      <w:pPr>
        <w:numPr>
          <w:ilvl w:val="0"/>
          <w:numId w:val="535"/>
        </w:numPr>
        <w:spacing w:after="0"/>
      </w:pPr>
      <w:r>
        <w:t>надлежащий доступ к вакантным рабочим местам; и</w:t>
      </w:r>
    </w:p>
    <w:p w:rsidR="00000000" w:rsidRDefault="00000000">
      <w:pPr>
        <w:numPr>
          <w:ilvl w:val="0"/>
          <w:numId w:val="535"/>
        </w:numPr>
      </w:pPr>
      <w:r>
        <w:t>наличие тщательно составленной программы по связям с общественностью.</w:t>
      </w:r>
    </w:p>
    <w:p w:rsidR="00000000" w:rsidRDefault="00000000">
      <w:r>
        <w:t>В связи с этим основная функция бирж труда будет связана с трудоустройством, опросом работодателей о наличии вакансий и предоставлением консультационных услуг предприятиям как в стране, так и за рубежом, информированием о профессиях и профессиональной ориентацией, профессионально-техническим обучением и представлением статистических данных.</w:t>
      </w:r>
    </w:p>
    <w:p w:rsidR="00000000" w:rsidRDefault="00000000">
      <w:r>
        <w:t>250.</w:t>
      </w:r>
      <w:r>
        <w:tab/>
        <w:t>Министерство труда и кооперативов также планирует организовать ярмарки вакансий в трех региональных зонах, охватывающих всю Тринидад и Тобаго. Они призваны содействовать регистрации как работодателей, так и работников для учета имеющихся рабочих мест и квалификации работников. Это, как ожидается, будет способствовать расширению базы трудоустройства заявителей, как и расширению рамок консультационных услуг по вопросу о программе переподготовки государственных работодателей и служащих.</w:t>
      </w:r>
    </w:p>
    <w:p w:rsidR="00000000" w:rsidRDefault="00000000">
      <w:r>
        <w:t>251.</w:t>
      </w:r>
      <w:r>
        <w:tab/>
        <w:t>Министерство труда и кооперативов активно участвует в осуществлении политики и мер, направленных на снижение уровня безработицы в стране, выделяя лицам, занятым поиском работы, средства, благодаря которым они могут воспользоваться услугами НСЗ для своего трудоустройства. Компонент фермерской программы этой службы имеет жизненно важное значение, так как позволяет экспортировать местную рабочую силу. Национальная служба информации об управлении людскими ресурсами (</w:t>
      </w:r>
      <w:r>
        <w:rPr>
          <w:lang w:val="en-US"/>
        </w:rPr>
        <w:t>NHRMIS</w:t>
      </w:r>
      <w:r>
        <w:t>) также играет важную роль в этой области. Она представляет собой всеобъемлющий информационный инструмент получения и своевременного и непрерывного распространения новейшей информации среди пользователей. Данная система собирает, анализирует и распространяет информацию о рынке труда, донося ее до различных целевых пользователей. Она позволяет заниматься планированием трудовых ресурсов, с тем чтобы добиваться оптимального использования людских ресурсов страны. Одна из основных целей планирования трудовых ресурсов заключается в прогнозировании будущих потребностей в рабочей силе, что позволит учебным заведениям с помощью своих учебных планов удовлетворять потребности рынка труда и гарантировать всем учащимся приобретение соответствующих навыков, с тем чтобы они могли удовлетворять будущие запросы работодателей.</w:t>
      </w:r>
    </w:p>
    <w:p w:rsidR="00000000" w:rsidRDefault="00000000">
      <w:r>
        <w:t>252.</w:t>
      </w:r>
      <w:r>
        <w:tab/>
        <w:t xml:space="preserve">Правительство Тринидада и Тобаго признало, что самые крупные инвестиции в будущее приходятся на область трудовых ресурсов. Поэтому правительство предоставляет мужчинам и женщинам возможности для налаживания успешной и продуктивной жизни через осуществление проекта по созданию центра заочного обучения на базе общины, разработанного Министерством подготовки кадров и заочного обучения. Благодаря участию в этом проекте члены общины могут, по своему выбору, заниматься на учебных, ремесленных, технических курсах и курсах повышения квалификации, организуемых различными местными, региональными и международными учреждениями. Помещения для проведения этих курсов предоставляются центром заочного обучения на базе общины. По окончании учащимся выдается соответствующее удостоверение о полученной подготовке. Центр располагается в общине, где местные жители могут получить помощь преподавателя по изучаемому курсу, воспользовавшись телевидением, радио, аудио- или видеокассетами либо Интернетом. Это оказалось идеальным выходом для женщин, у которых много семейных обязанностей. Учебные центры обеспечивают незамедлительный доступ и гибкий учебный график всем членам общины, желающим участвовать в любой программе заочного обучения. В настоящее время центр связан с Секретариатом по заочному обучению, который является оперативным подразделением Министерства подготовки кадров и заочного обучения. Секретариат отвечает за обеспечение возможностей по приобретению и повышению квалификации в Тринидаде и Тобаго. В настоящее время благодаря совместным усилиям центров заочного обучения на базе общины и Секретариата читается курс по компьютерной грамотности. За период с мая 1999 года по октябрь 2000 года этот курс закончили 2236 женщин и 832 мужчин. </w:t>
      </w:r>
    </w:p>
    <w:p w:rsidR="00000000" w:rsidRDefault="00000000">
      <w:r>
        <w:t>253.</w:t>
      </w:r>
      <w:r>
        <w:tab/>
        <w:t>Изменения в экономике Тринидада и Тобаго в период 70–90-х</w:t>
      </w:r>
      <w:r>
        <w:rPr>
          <w:lang w:val="en-US"/>
        </w:rPr>
        <w:t> </w:t>
      </w:r>
      <w:r>
        <w:t>годов нашли отражение в уровнях занятости в стране. За период с октября 1998 года по март 1999 года численность рабочей силы составляла в среднем 562</w:t>
      </w:r>
      <w:r>
        <w:rPr>
          <w:lang w:val="en-US"/>
        </w:rPr>
        <w:t> </w:t>
      </w:r>
      <w:r>
        <w:t>600</w:t>
      </w:r>
      <w:r>
        <w:rPr>
          <w:lang w:val="en-US"/>
        </w:rPr>
        <w:t> </w:t>
      </w:r>
      <w:r>
        <w:t>человек – на 3,4 процента больше численности рабочей силы за аналогичный период 1997–1998</w:t>
      </w:r>
      <w:r>
        <w:rPr>
          <w:lang w:val="en-US"/>
        </w:rPr>
        <w:t> </w:t>
      </w:r>
      <w:r>
        <w:t>годов. Занятость выросла на 2,8 процента, или на 13</w:t>
      </w:r>
      <w:r>
        <w:rPr>
          <w:lang w:val="en-US"/>
        </w:rPr>
        <w:t> </w:t>
      </w:r>
      <w:r>
        <w:t>000 рабочих мест, до 480</w:t>
      </w:r>
      <w:r>
        <w:rPr>
          <w:lang w:val="en-US"/>
        </w:rPr>
        <w:t> </w:t>
      </w:r>
      <w:r>
        <w:t>600</w:t>
      </w:r>
      <w:r>
        <w:rPr>
          <w:lang w:val="en-US"/>
        </w:rPr>
        <w:t> </w:t>
      </w:r>
      <w:r>
        <w:t>человек за первые шесть месяцев текущего финансового года (с октября 1998 года по март 1999 года) по сравнению с 467</w:t>
      </w:r>
      <w:r>
        <w:rPr>
          <w:lang w:val="en-US"/>
        </w:rPr>
        <w:t> </w:t>
      </w:r>
      <w:r>
        <w:t>600</w:t>
      </w:r>
      <w:r>
        <w:rPr>
          <w:lang w:val="en-US"/>
        </w:rPr>
        <w:t> </w:t>
      </w:r>
      <w:r>
        <w:t>человек за соответствующий период 1997–1998 годов. В первые шесть месяцев 1999/2000 финансового года мужчины составляли 63,9</w:t>
      </w:r>
      <w:r>
        <w:rPr>
          <w:lang w:val="en-US"/>
        </w:rPr>
        <w:t> </w:t>
      </w:r>
      <w:r>
        <w:t>процента, или 307</w:t>
      </w:r>
      <w:r>
        <w:rPr>
          <w:lang w:val="en-US"/>
        </w:rPr>
        <w:t> </w:t>
      </w:r>
      <w:r>
        <w:t>300</w:t>
      </w:r>
      <w:r>
        <w:rPr>
          <w:lang w:val="en-US"/>
        </w:rPr>
        <w:t> </w:t>
      </w:r>
      <w:r>
        <w:t>человек, от общего числа работающих, в то время как число работающих женщин достигало 35,1</w:t>
      </w:r>
      <w:r>
        <w:rPr>
          <w:lang w:val="en-US"/>
        </w:rPr>
        <w:t> </w:t>
      </w:r>
      <w:r>
        <w:t>процента, или 173</w:t>
      </w:r>
      <w:r>
        <w:rPr>
          <w:lang w:val="en-US"/>
        </w:rPr>
        <w:t> </w:t>
      </w:r>
      <w:r>
        <w:t>300</w:t>
      </w:r>
      <w:r>
        <w:rPr>
          <w:lang w:val="en-US"/>
        </w:rPr>
        <w:t> </w:t>
      </w:r>
      <w:r>
        <w:t>человек. Доля безработных в последнем квартале 1998 года (июнь–сентябрь), составлявшая 15,1 процента, сократилась до 11,7</w:t>
      </w:r>
      <w:r>
        <w:rPr>
          <w:lang w:val="en-US"/>
        </w:rPr>
        <w:t> </w:t>
      </w:r>
      <w:r>
        <w:t>процента во втором квартале 1999 года (апрель–июнь). Уровень безработицы среди мужчин, как и среди женщин, продолжал снижаться и составил 9,8</w:t>
      </w:r>
      <w:r>
        <w:rPr>
          <w:lang w:val="en-US"/>
        </w:rPr>
        <w:t> </w:t>
      </w:r>
      <w:r>
        <w:t>процента для мужчин и 14,9</w:t>
      </w:r>
      <w:r>
        <w:rPr>
          <w:lang w:val="en-US"/>
        </w:rPr>
        <w:t> </w:t>
      </w:r>
      <w:r>
        <w:t xml:space="preserve">процента для женщин. Самые высокие уровни безработицы как для мужчин, так и для женщин по-прежнему отмечаются в возрастной группе 15–19-летних. Процент безработных, который составлял 14,8 процента в 1975 году, вырос до 22,3 процента в 1987 году и сократился до 11,7 процента в 1999 году. Совершенно очевидно, что макроэкономическая политика правительства сказывается на экономическом росте и развитии страны, а также на уровне занятости. Однако государство больше не может зависеть от того, что оно является крупнейшим работодателем для рабочей силы страны. В связи с этим изучаются новые возможности по возрождению типа развития, которое обеспечивает максимальное использование рабочей силы. Министерство труда и кооперативов в целях выполнения своей задачи приняло меры, направленные на сокращение безработицы и обеспечение возможностей получения квалификации, необходимой для эффективного вступления в ряды рабочей силы. Министерство придает большое значение разработке и осуществлению политики и методов, способствующих устойчивому экономическому развитию и полной продуктивной занятости. </w:t>
      </w:r>
    </w:p>
    <w:p w:rsidR="00000000" w:rsidRDefault="00000000">
      <w:pPr>
        <w:spacing w:after="0"/>
      </w:pPr>
      <w:r>
        <w:t>254.</w:t>
      </w:r>
      <w:r>
        <w:tab/>
      </w:r>
      <w:r>
        <w:rPr>
          <w:b/>
        </w:rPr>
        <w:t>Суммарные показатели участия женщин в рабочей силе, 1991–1995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134"/>
        <w:gridCol w:w="1134"/>
        <w:gridCol w:w="1134"/>
        <w:gridCol w:w="1134"/>
        <w:gridCol w:w="1134"/>
      </w:tblGrid>
      <w:tr w:rsidR="00000000">
        <w:tblPrEx>
          <w:tblCellMar>
            <w:top w:w="0" w:type="dxa"/>
            <w:bottom w:w="0" w:type="dxa"/>
          </w:tblCellMar>
        </w:tblPrEx>
        <w:tc>
          <w:tcPr>
            <w:tcW w:w="3289" w:type="dxa"/>
          </w:tcPr>
          <w:p w:rsidR="00000000" w:rsidRDefault="00000000">
            <w:pPr>
              <w:spacing w:before="120" w:after="40" w:line="240" w:lineRule="auto"/>
              <w:jc w:val="center"/>
              <w:rPr>
                <w:rFonts w:ascii="Arial" w:hAnsi="Arial"/>
                <w:sz w:val="16"/>
              </w:rPr>
            </w:pPr>
            <w:r>
              <w:rPr>
                <w:rFonts w:ascii="Arial" w:hAnsi="Arial"/>
                <w:sz w:val="16"/>
              </w:rPr>
              <w:t>Показатель</w:t>
            </w:r>
          </w:p>
        </w:tc>
        <w:tc>
          <w:tcPr>
            <w:tcW w:w="1134" w:type="dxa"/>
          </w:tcPr>
          <w:p w:rsidR="00000000" w:rsidRDefault="00000000">
            <w:pPr>
              <w:spacing w:before="120" w:after="40" w:line="240" w:lineRule="auto"/>
              <w:jc w:val="center"/>
              <w:rPr>
                <w:rFonts w:ascii="Arial" w:hAnsi="Arial"/>
                <w:sz w:val="16"/>
              </w:rPr>
            </w:pPr>
            <w:r>
              <w:rPr>
                <w:rFonts w:ascii="Arial" w:hAnsi="Arial"/>
                <w:sz w:val="16"/>
              </w:rPr>
              <w:t>1991 год</w:t>
            </w:r>
          </w:p>
        </w:tc>
        <w:tc>
          <w:tcPr>
            <w:tcW w:w="1134" w:type="dxa"/>
          </w:tcPr>
          <w:p w:rsidR="00000000" w:rsidRDefault="00000000">
            <w:pPr>
              <w:spacing w:before="120" w:after="40" w:line="240" w:lineRule="auto"/>
              <w:jc w:val="center"/>
              <w:rPr>
                <w:rFonts w:ascii="Arial" w:hAnsi="Arial"/>
                <w:sz w:val="16"/>
              </w:rPr>
            </w:pPr>
            <w:r>
              <w:rPr>
                <w:rFonts w:ascii="Arial" w:hAnsi="Arial"/>
                <w:sz w:val="16"/>
              </w:rPr>
              <w:t>1992 год</w:t>
            </w:r>
          </w:p>
        </w:tc>
        <w:tc>
          <w:tcPr>
            <w:tcW w:w="1134" w:type="dxa"/>
          </w:tcPr>
          <w:p w:rsidR="00000000" w:rsidRDefault="00000000">
            <w:pPr>
              <w:spacing w:before="120" w:after="40" w:line="240" w:lineRule="auto"/>
              <w:jc w:val="center"/>
              <w:rPr>
                <w:rFonts w:ascii="Arial" w:hAnsi="Arial"/>
                <w:sz w:val="16"/>
              </w:rPr>
            </w:pPr>
            <w:r>
              <w:rPr>
                <w:rFonts w:ascii="Arial" w:hAnsi="Arial"/>
                <w:sz w:val="16"/>
              </w:rPr>
              <w:t>1993 год</w:t>
            </w:r>
          </w:p>
        </w:tc>
        <w:tc>
          <w:tcPr>
            <w:tcW w:w="1134" w:type="dxa"/>
          </w:tcPr>
          <w:p w:rsidR="00000000" w:rsidRDefault="00000000">
            <w:pPr>
              <w:spacing w:before="120" w:after="40" w:line="240" w:lineRule="auto"/>
              <w:jc w:val="center"/>
              <w:rPr>
                <w:rFonts w:ascii="Arial" w:hAnsi="Arial"/>
                <w:sz w:val="16"/>
              </w:rPr>
            </w:pPr>
            <w:r>
              <w:rPr>
                <w:rFonts w:ascii="Arial" w:hAnsi="Arial"/>
                <w:sz w:val="16"/>
              </w:rPr>
              <w:t>1994 год</w:t>
            </w:r>
          </w:p>
        </w:tc>
        <w:tc>
          <w:tcPr>
            <w:tcW w:w="1134" w:type="dxa"/>
          </w:tcPr>
          <w:p w:rsidR="00000000" w:rsidRDefault="00000000">
            <w:pPr>
              <w:spacing w:before="120" w:after="40" w:line="240" w:lineRule="auto"/>
              <w:jc w:val="center"/>
              <w:rPr>
                <w:rFonts w:ascii="Arial" w:hAnsi="Arial"/>
                <w:sz w:val="16"/>
              </w:rPr>
            </w:pPr>
            <w:r>
              <w:rPr>
                <w:rFonts w:ascii="Arial" w:hAnsi="Arial"/>
                <w:sz w:val="16"/>
              </w:rPr>
              <w:t>1995 год</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Соотношение работающих женщин и всей рабочей силы</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36,0</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37,1</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37,0</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37,4</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37,2</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Соотношение работающих мужчин и всей рабочей силы</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64,0</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63,0</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63,0</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62,6</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62,8</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Доля участия женщин в рабочей силе</w:t>
            </w:r>
          </w:p>
        </w:tc>
        <w:tc>
          <w:tcPr>
            <w:tcW w:w="1134" w:type="dxa"/>
          </w:tcPr>
          <w:p w:rsidR="00000000" w:rsidRDefault="00000000">
            <w:pPr>
              <w:spacing w:before="60" w:after="20" w:line="240" w:lineRule="auto"/>
              <w:jc w:val="center"/>
              <w:rPr>
                <w:rFonts w:ascii="Arial" w:hAnsi="Arial"/>
                <w:sz w:val="16"/>
              </w:rPr>
            </w:pPr>
            <w:r>
              <w:rPr>
                <w:rFonts w:ascii="Arial" w:hAnsi="Arial"/>
                <w:sz w:val="16"/>
              </w:rPr>
              <w:t>42,0</w:t>
            </w:r>
          </w:p>
        </w:tc>
        <w:tc>
          <w:tcPr>
            <w:tcW w:w="1134" w:type="dxa"/>
          </w:tcPr>
          <w:p w:rsidR="00000000" w:rsidRDefault="00000000">
            <w:pPr>
              <w:spacing w:before="60" w:after="20" w:line="240" w:lineRule="auto"/>
              <w:jc w:val="center"/>
              <w:rPr>
                <w:rFonts w:ascii="Arial" w:hAnsi="Arial"/>
                <w:sz w:val="16"/>
              </w:rPr>
            </w:pPr>
            <w:r>
              <w:rPr>
                <w:rFonts w:ascii="Arial" w:hAnsi="Arial"/>
                <w:sz w:val="16"/>
              </w:rPr>
              <w:t>44,1</w:t>
            </w:r>
          </w:p>
        </w:tc>
        <w:tc>
          <w:tcPr>
            <w:tcW w:w="1134" w:type="dxa"/>
          </w:tcPr>
          <w:p w:rsidR="00000000" w:rsidRDefault="00000000">
            <w:pPr>
              <w:spacing w:before="60" w:after="20" w:line="240" w:lineRule="auto"/>
              <w:jc w:val="center"/>
              <w:rPr>
                <w:rFonts w:ascii="Arial" w:hAnsi="Arial"/>
                <w:sz w:val="16"/>
              </w:rPr>
            </w:pPr>
            <w:r>
              <w:rPr>
                <w:rFonts w:ascii="Arial" w:hAnsi="Arial"/>
                <w:sz w:val="16"/>
              </w:rPr>
              <w:t>43,7</w:t>
            </w:r>
          </w:p>
        </w:tc>
        <w:tc>
          <w:tcPr>
            <w:tcW w:w="1134" w:type="dxa"/>
          </w:tcPr>
          <w:p w:rsidR="00000000" w:rsidRDefault="00000000">
            <w:pPr>
              <w:spacing w:before="60" w:after="20" w:line="240" w:lineRule="auto"/>
              <w:jc w:val="center"/>
              <w:rPr>
                <w:rFonts w:ascii="Arial" w:hAnsi="Arial"/>
                <w:sz w:val="16"/>
              </w:rPr>
            </w:pPr>
            <w:r>
              <w:rPr>
                <w:rFonts w:ascii="Arial" w:hAnsi="Arial"/>
                <w:sz w:val="16"/>
              </w:rPr>
              <w:t>44,3</w:t>
            </w:r>
          </w:p>
        </w:tc>
        <w:tc>
          <w:tcPr>
            <w:tcW w:w="1134" w:type="dxa"/>
          </w:tcPr>
          <w:p w:rsidR="00000000" w:rsidRDefault="00000000">
            <w:pPr>
              <w:spacing w:before="60" w:after="20" w:line="240" w:lineRule="auto"/>
              <w:jc w:val="center"/>
              <w:rPr>
                <w:rFonts w:ascii="Arial" w:hAnsi="Arial"/>
                <w:sz w:val="16"/>
              </w:rPr>
            </w:pPr>
            <w:r>
              <w:rPr>
                <w:rFonts w:ascii="Arial" w:hAnsi="Arial"/>
                <w:sz w:val="16"/>
              </w:rPr>
              <w:t>44,9</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Доля участия мужчин в рабочей силе</w:t>
            </w:r>
          </w:p>
        </w:tc>
        <w:tc>
          <w:tcPr>
            <w:tcW w:w="1134" w:type="dxa"/>
          </w:tcPr>
          <w:p w:rsidR="00000000" w:rsidRDefault="00000000">
            <w:pPr>
              <w:spacing w:before="60" w:after="20" w:line="240" w:lineRule="auto"/>
              <w:jc w:val="center"/>
              <w:rPr>
                <w:rFonts w:ascii="Arial" w:hAnsi="Arial"/>
                <w:sz w:val="16"/>
              </w:rPr>
            </w:pPr>
            <w:r>
              <w:rPr>
                <w:rFonts w:ascii="Arial" w:hAnsi="Arial"/>
                <w:sz w:val="16"/>
              </w:rPr>
              <w:t>75,8</w:t>
            </w:r>
          </w:p>
        </w:tc>
        <w:tc>
          <w:tcPr>
            <w:tcW w:w="1134" w:type="dxa"/>
          </w:tcPr>
          <w:p w:rsidR="00000000" w:rsidRDefault="00000000">
            <w:pPr>
              <w:spacing w:before="60" w:after="20" w:line="240" w:lineRule="auto"/>
              <w:jc w:val="center"/>
              <w:rPr>
                <w:rFonts w:ascii="Arial" w:hAnsi="Arial"/>
                <w:sz w:val="16"/>
              </w:rPr>
            </w:pPr>
            <w:r>
              <w:rPr>
                <w:rFonts w:ascii="Arial" w:hAnsi="Arial"/>
                <w:sz w:val="16"/>
              </w:rPr>
              <w:t>76,1</w:t>
            </w:r>
          </w:p>
        </w:tc>
        <w:tc>
          <w:tcPr>
            <w:tcW w:w="1134" w:type="dxa"/>
          </w:tcPr>
          <w:p w:rsidR="00000000" w:rsidRDefault="00000000">
            <w:pPr>
              <w:spacing w:before="60" w:after="20" w:line="240" w:lineRule="auto"/>
              <w:jc w:val="center"/>
              <w:rPr>
                <w:rFonts w:ascii="Arial" w:hAnsi="Arial"/>
                <w:sz w:val="16"/>
              </w:rPr>
            </w:pPr>
            <w:r>
              <w:rPr>
                <w:rFonts w:ascii="Arial" w:hAnsi="Arial"/>
                <w:sz w:val="16"/>
              </w:rPr>
              <w:t>75,5</w:t>
            </w:r>
          </w:p>
        </w:tc>
        <w:tc>
          <w:tcPr>
            <w:tcW w:w="1134" w:type="dxa"/>
          </w:tcPr>
          <w:p w:rsidR="00000000" w:rsidRDefault="00000000">
            <w:pPr>
              <w:spacing w:before="60" w:after="20" w:line="240" w:lineRule="auto"/>
              <w:jc w:val="center"/>
              <w:rPr>
                <w:rFonts w:ascii="Arial" w:hAnsi="Arial"/>
                <w:sz w:val="16"/>
              </w:rPr>
            </w:pPr>
            <w:r>
              <w:rPr>
                <w:rFonts w:ascii="Arial" w:hAnsi="Arial"/>
                <w:sz w:val="16"/>
              </w:rPr>
              <w:t>74,6</w:t>
            </w:r>
          </w:p>
        </w:tc>
        <w:tc>
          <w:tcPr>
            <w:tcW w:w="1134" w:type="dxa"/>
          </w:tcPr>
          <w:p w:rsidR="00000000" w:rsidRDefault="00000000">
            <w:pPr>
              <w:spacing w:before="60" w:after="20" w:line="240" w:lineRule="auto"/>
              <w:jc w:val="center"/>
              <w:rPr>
                <w:rFonts w:ascii="Arial" w:hAnsi="Arial"/>
                <w:sz w:val="16"/>
              </w:rPr>
            </w:pPr>
            <w:r>
              <w:rPr>
                <w:rFonts w:ascii="Arial" w:hAnsi="Arial"/>
                <w:sz w:val="16"/>
              </w:rPr>
              <w:t>75,5</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Уровень женской безработицы</w:t>
            </w:r>
          </w:p>
        </w:tc>
        <w:tc>
          <w:tcPr>
            <w:tcW w:w="1134" w:type="dxa"/>
          </w:tcPr>
          <w:p w:rsidR="00000000" w:rsidRDefault="00000000">
            <w:pPr>
              <w:spacing w:before="60" w:after="20" w:line="240" w:lineRule="auto"/>
              <w:jc w:val="center"/>
              <w:rPr>
                <w:rFonts w:ascii="Arial" w:hAnsi="Arial"/>
                <w:sz w:val="16"/>
              </w:rPr>
            </w:pPr>
            <w:r>
              <w:rPr>
                <w:rFonts w:ascii="Arial" w:hAnsi="Arial"/>
                <w:sz w:val="16"/>
              </w:rPr>
              <w:t>23,4</w:t>
            </w:r>
          </w:p>
        </w:tc>
        <w:tc>
          <w:tcPr>
            <w:tcW w:w="1134" w:type="dxa"/>
          </w:tcPr>
          <w:p w:rsidR="00000000" w:rsidRDefault="00000000">
            <w:pPr>
              <w:spacing w:before="60" w:after="20" w:line="240" w:lineRule="auto"/>
              <w:jc w:val="center"/>
              <w:rPr>
                <w:rFonts w:ascii="Arial" w:hAnsi="Arial"/>
                <w:sz w:val="16"/>
              </w:rPr>
            </w:pPr>
            <w:r>
              <w:rPr>
                <w:rFonts w:ascii="Arial" w:hAnsi="Arial"/>
                <w:sz w:val="16"/>
              </w:rPr>
              <w:t>23,9</w:t>
            </w:r>
          </w:p>
        </w:tc>
        <w:tc>
          <w:tcPr>
            <w:tcW w:w="1134" w:type="dxa"/>
          </w:tcPr>
          <w:p w:rsidR="00000000" w:rsidRDefault="00000000">
            <w:pPr>
              <w:spacing w:before="60" w:after="20" w:line="240" w:lineRule="auto"/>
              <w:jc w:val="center"/>
              <w:rPr>
                <w:rFonts w:ascii="Arial" w:hAnsi="Arial"/>
                <w:sz w:val="16"/>
              </w:rPr>
            </w:pPr>
            <w:r>
              <w:rPr>
                <w:rFonts w:ascii="Arial" w:hAnsi="Arial"/>
                <w:sz w:val="16"/>
              </w:rPr>
              <w:t>23,4</w:t>
            </w:r>
          </w:p>
        </w:tc>
        <w:tc>
          <w:tcPr>
            <w:tcW w:w="1134" w:type="dxa"/>
          </w:tcPr>
          <w:p w:rsidR="00000000" w:rsidRDefault="00000000">
            <w:pPr>
              <w:spacing w:before="60" w:after="20" w:line="240" w:lineRule="auto"/>
              <w:jc w:val="center"/>
              <w:rPr>
                <w:rFonts w:ascii="Arial" w:hAnsi="Arial"/>
                <w:sz w:val="16"/>
              </w:rPr>
            </w:pPr>
            <w:r>
              <w:rPr>
                <w:rFonts w:ascii="Arial" w:hAnsi="Arial"/>
                <w:sz w:val="16"/>
              </w:rPr>
              <w:t>22,3</w:t>
            </w:r>
          </w:p>
        </w:tc>
        <w:tc>
          <w:tcPr>
            <w:tcW w:w="1134" w:type="dxa"/>
          </w:tcPr>
          <w:p w:rsidR="00000000" w:rsidRDefault="00000000">
            <w:pPr>
              <w:spacing w:before="60" w:after="20" w:line="240" w:lineRule="auto"/>
              <w:jc w:val="center"/>
              <w:rPr>
                <w:rFonts w:ascii="Arial" w:hAnsi="Arial"/>
                <w:sz w:val="16"/>
              </w:rPr>
            </w:pPr>
            <w:r>
              <w:rPr>
                <w:rFonts w:ascii="Arial" w:hAnsi="Arial"/>
                <w:sz w:val="16"/>
              </w:rPr>
              <w:t>20,6</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Уровень мужской безработицы</w:t>
            </w:r>
          </w:p>
        </w:tc>
        <w:tc>
          <w:tcPr>
            <w:tcW w:w="1134" w:type="dxa"/>
          </w:tcPr>
          <w:p w:rsidR="00000000" w:rsidRDefault="00000000">
            <w:pPr>
              <w:spacing w:before="60" w:after="20" w:line="240" w:lineRule="auto"/>
              <w:jc w:val="center"/>
              <w:rPr>
                <w:rFonts w:ascii="Arial" w:hAnsi="Arial"/>
                <w:sz w:val="16"/>
              </w:rPr>
            </w:pPr>
            <w:r>
              <w:rPr>
                <w:rFonts w:ascii="Arial" w:hAnsi="Arial"/>
                <w:sz w:val="16"/>
              </w:rPr>
              <w:t>15,7</w:t>
            </w:r>
          </w:p>
        </w:tc>
        <w:tc>
          <w:tcPr>
            <w:tcW w:w="1134" w:type="dxa"/>
          </w:tcPr>
          <w:p w:rsidR="00000000" w:rsidRDefault="00000000">
            <w:pPr>
              <w:spacing w:before="60" w:after="20" w:line="240" w:lineRule="auto"/>
              <w:jc w:val="center"/>
              <w:rPr>
                <w:rFonts w:ascii="Arial" w:hAnsi="Arial"/>
                <w:sz w:val="16"/>
              </w:rPr>
            </w:pPr>
            <w:r>
              <w:rPr>
                <w:rFonts w:ascii="Arial" w:hAnsi="Arial"/>
                <w:sz w:val="16"/>
              </w:rPr>
              <w:t>17,0</w:t>
            </w:r>
          </w:p>
        </w:tc>
        <w:tc>
          <w:tcPr>
            <w:tcW w:w="1134" w:type="dxa"/>
          </w:tcPr>
          <w:p w:rsidR="00000000" w:rsidRDefault="00000000">
            <w:pPr>
              <w:spacing w:before="60" w:after="20" w:line="240" w:lineRule="auto"/>
              <w:jc w:val="center"/>
              <w:rPr>
                <w:rFonts w:ascii="Arial" w:hAnsi="Arial"/>
                <w:sz w:val="16"/>
              </w:rPr>
            </w:pPr>
            <w:r>
              <w:rPr>
                <w:rFonts w:ascii="Arial" w:hAnsi="Arial"/>
                <w:sz w:val="16"/>
              </w:rPr>
              <w:t>17,6</w:t>
            </w:r>
          </w:p>
        </w:tc>
        <w:tc>
          <w:tcPr>
            <w:tcW w:w="1134" w:type="dxa"/>
          </w:tcPr>
          <w:p w:rsidR="00000000" w:rsidRDefault="00000000">
            <w:pPr>
              <w:spacing w:before="60" w:after="20" w:line="240" w:lineRule="auto"/>
              <w:jc w:val="center"/>
              <w:rPr>
                <w:rFonts w:ascii="Arial" w:hAnsi="Arial"/>
                <w:sz w:val="16"/>
              </w:rPr>
            </w:pPr>
            <w:r>
              <w:rPr>
                <w:rFonts w:ascii="Arial" w:hAnsi="Arial"/>
                <w:sz w:val="16"/>
              </w:rPr>
              <w:t>16,1</w:t>
            </w:r>
          </w:p>
        </w:tc>
        <w:tc>
          <w:tcPr>
            <w:tcW w:w="1134" w:type="dxa"/>
          </w:tcPr>
          <w:p w:rsidR="00000000" w:rsidRDefault="00000000">
            <w:pPr>
              <w:spacing w:before="60" w:after="20" w:line="240" w:lineRule="auto"/>
              <w:jc w:val="center"/>
              <w:rPr>
                <w:rFonts w:ascii="Arial" w:hAnsi="Arial"/>
                <w:sz w:val="16"/>
              </w:rPr>
            </w:pPr>
            <w:r>
              <w:rPr>
                <w:rFonts w:ascii="Arial" w:hAnsi="Arial"/>
                <w:sz w:val="16"/>
              </w:rPr>
              <w:t>15,1</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Соотношение работающих женщин и всех рабочих, получающих заработную плату</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34,4</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36,1</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36,6</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36,5</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37,2</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Соотношение работающих мужчин и всех рабочих, получающих заработную плату</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61,6</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60,3</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65,1</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64,5</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65,7</w:t>
            </w:r>
          </w:p>
        </w:tc>
      </w:tr>
      <w:tr w:rsidR="00000000">
        <w:tblPrEx>
          <w:tblCellMar>
            <w:top w:w="0" w:type="dxa"/>
            <w:bottom w:w="0" w:type="dxa"/>
          </w:tblCellMar>
        </w:tblPrEx>
        <w:tc>
          <w:tcPr>
            <w:tcW w:w="3289" w:type="dxa"/>
          </w:tcPr>
          <w:p w:rsidR="00000000" w:rsidRDefault="00000000">
            <w:pPr>
              <w:spacing w:before="60" w:after="20" w:line="240" w:lineRule="auto"/>
              <w:jc w:val="left"/>
              <w:rPr>
                <w:rFonts w:ascii="Arial" w:hAnsi="Arial"/>
                <w:sz w:val="16"/>
              </w:rPr>
            </w:pPr>
            <w:r>
              <w:rPr>
                <w:rFonts w:ascii="Arial" w:hAnsi="Arial"/>
                <w:sz w:val="16"/>
              </w:rPr>
              <w:t>Соотношение женщин и всех неоплачиваемых рабочих</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61,6</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60,3</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65,1</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64,5</w:t>
            </w:r>
          </w:p>
        </w:tc>
        <w:tc>
          <w:tcPr>
            <w:tcW w:w="1134" w:type="dxa"/>
            <w:vAlign w:val="bottom"/>
          </w:tcPr>
          <w:p w:rsidR="00000000" w:rsidRDefault="00000000">
            <w:pPr>
              <w:spacing w:before="60" w:after="20" w:line="240" w:lineRule="auto"/>
              <w:jc w:val="center"/>
              <w:rPr>
                <w:rFonts w:ascii="Arial" w:hAnsi="Arial"/>
                <w:sz w:val="16"/>
              </w:rPr>
            </w:pPr>
            <w:r>
              <w:rPr>
                <w:rFonts w:ascii="Arial" w:hAnsi="Arial"/>
                <w:sz w:val="16"/>
              </w:rPr>
              <w:t>65,7</w:t>
            </w:r>
          </w:p>
        </w:tc>
      </w:tr>
    </w:tbl>
    <w:p w:rsidR="00000000" w:rsidRDefault="00000000"/>
    <w:p w:rsidR="00000000" w:rsidRDefault="00000000">
      <w:pPr>
        <w:spacing w:after="0"/>
      </w:pPr>
      <w:r>
        <w:t>255.</w:t>
      </w:r>
      <w:r>
        <w:tab/>
      </w:r>
      <w:r>
        <w:rPr>
          <w:b/>
        </w:rPr>
        <w:t>Рабочая сила с разбивкой по занятости и полу, 1995–1999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1077"/>
        <w:gridCol w:w="1077"/>
        <w:gridCol w:w="1077"/>
        <w:gridCol w:w="1077"/>
        <w:gridCol w:w="1077"/>
        <w:gridCol w:w="1077"/>
      </w:tblGrid>
      <w:tr w:rsidR="00000000">
        <w:tblPrEx>
          <w:tblCellMar>
            <w:top w:w="0" w:type="dxa"/>
            <w:bottom w:w="0" w:type="dxa"/>
          </w:tblCellMar>
        </w:tblPrEx>
        <w:trPr>
          <w:cantSplit/>
        </w:trPr>
        <w:tc>
          <w:tcPr>
            <w:tcW w:w="2552" w:type="dxa"/>
            <w:vMerge w:val="restart"/>
          </w:tcPr>
          <w:p w:rsidR="00000000" w:rsidRDefault="00000000">
            <w:pPr>
              <w:spacing w:before="60" w:after="20" w:line="240" w:lineRule="auto"/>
              <w:jc w:val="center"/>
              <w:rPr>
                <w:rFonts w:ascii="Arial" w:hAnsi="Arial"/>
                <w:sz w:val="16"/>
              </w:rPr>
            </w:pPr>
            <w:r>
              <w:rPr>
                <w:rFonts w:ascii="Arial" w:hAnsi="Arial"/>
                <w:sz w:val="16"/>
              </w:rPr>
              <w:t>ЗАНЯТОСТЬ</w:t>
            </w:r>
          </w:p>
        </w:tc>
        <w:tc>
          <w:tcPr>
            <w:tcW w:w="1077" w:type="dxa"/>
            <w:vMerge w:val="restart"/>
          </w:tcPr>
          <w:p w:rsidR="00000000" w:rsidRDefault="00000000">
            <w:pPr>
              <w:spacing w:before="60" w:after="20" w:line="240" w:lineRule="auto"/>
              <w:jc w:val="center"/>
              <w:rPr>
                <w:rFonts w:ascii="Arial" w:hAnsi="Arial"/>
                <w:sz w:val="16"/>
              </w:rPr>
            </w:pPr>
            <w:r>
              <w:rPr>
                <w:rFonts w:ascii="Arial" w:hAnsi="Arial"/>
                <w:sz w:val="16"/>
              </w:rPr>
              <w:t>ПОЛ</w:t>
            </w:r>
          </w:p>
        </w:tc>
        <w:tc>
          <w:tcPr>
            <w:tcW w:w="5385" w:type="dxa"/>
            <w:gridSpan w:val="5"/>
          </w:tcPr>
          <w:p w:rsidR="00000000" w:rsidRDefault="00000000">
            <w:pPr>
              <w:spacing w:before="60" w:after="20" w:line="240" w:lineRule="auto"/>
              <w:jc w:val="center"/>
              <w:rPr>
                <w:rFonts w:ascii="Arial" w:hAnsi="Arial"/>
                <w:sz w:val="16"/>
              </w:rPr>
            </w:pPr>
            <w:r>
              <w:rPr>
                <w:rFonts w:ascii="Arial" w:hAnsi="Arial"/>
                <w:sz w:val="16"/>
              </w:rPr>
              <w:t>ГОД</w:t>
            </w:r>
          </w:p>
        </w:tc>
      </w:tr>
      <w:tr w:rsidR="00000000">
        <w:tblPrEx>
          <w:tblCellMar>
            <w:top w:w="0" w:type="dxa"/>
            <w:bottom w:w="0" w:type="dxa"/>
          </w:tblCellMar>
        </w:tblPrEx>
        <w:trPr>
          <w:cantSplit/>
        </w:trPr>
        <w:tc>
          <w:tcPr>
            <w:tcW w:w="2552" w:type="dxa"/>
            <w:vMerge/>
            <w:tcBorders>
              <w:bottom w:val="nil"/>
            </w:tcBorders>
          </w:tcPr>
          <w:p w:rsidR="00000000" w:rsidRDefault="00000000">
            <w:pPr>
              <w:spacing w:before="60" w:after="20" w:line="240" w:lineRule="auto"/>
              <w:rPr>
                <w:rFonts w:ascii="Arial" w:hAnsi="Arial"/>
                <w:sz w:val="16"/>
              </w:rPr>
            </w:pPr>
          </w:p>
        </w:tc>
        <w:tc>
          <w:tcPr>
            <w:tcW w:w="1077" w:type="dxa"/>
            <w:vMerge/>
          </w:tcPr>
          <w:p w:rsidR="00000000" w:rsidRDefault="00000000">
            <w:pPr>
              <w:spacing w:before="60" w:after="20" w:line="240" w:lineRule="auto"/>
              <w:rPr>
                <w:rFonts w:ascii="Arial" w:hAnsi="Arial"/>
                <w:sz w:val="16"/>
              </w:rPr>
            </w:pPr>
          </w:p>
        </w:tc>
        <w:tc>
          <w:tcPr>
            <w:tcW w:w="1077" w:type="dxa"/>
          </w:tcPr>
          <w:p w:rsidR="00000000" w:rsidRDefault="00000000">
            <w:pPr>
              <w:spacing w:before="60" w:after="20" w:line="240" w:lineRule="auto"/>
              <w:jc w:val="center"/>
              <w:rPr>
                <w:rFonts w:ascii="Arial" w:hAnsi="Arial"/>
                <w:sz w:val="16"/>
              </w:rPr>
            </w:pPr>
            <w:r>
              <w:rPr>
                <w:rFonts w:ascii="Arial" w:hAnsi="Arial"/>
                <w:sz w:val="16"/>
              </w:rPr>
              <w:t>1995</w:t>
            </w:r>
          </w:p>
        </w:tc>
        <w:tc>
          <w:tcPr>
            <w:tcW w:w="1077" w:type="dxa"/>
          </w:tcPr>
          <w:p w:rsidR="00000000" w:rsidRDefault="00000000">
            <w:pPr>
              <w:spacing w:before="60" w:after="20" w:line="240" w:lineRule="auto"/>
              <w:jc w:val="center"/>
              <w:rPr>
                <w:rFonts w:ascii="Arial" w:hAnsi="Arial"/>
                <w:sz w:val="16"/>
              </w:rPr>
            </w:pPr>
            <w:r>
              <w:rPr>
                <w:rFonts w:ascii="Arial" w:hAnsi="Arial"/>
                <w:sz w:val="16"/>
              </w:rPr>
              <w:t>1996</w:t>
            </w:r>
          </w:p>
        </w:tc>
        <w:tc>
          <w:tcPr>
            <w:tcW w:w="1077" w:type="dxa"/>
          </w:tcPr>
          <w:p w:rsidR="00000000" w:rsidRDefault="00000000">
            <w:pPr>
              <w:spacing w:before="60" w:after="20" w:line="240" w:lineRule="auto"/>
              <w:jc w:val="center"/>
              <w:rPr>
                <w:rFonts w:ascii="Arial" w:hAnsi="Arial"/>
                <w:sz w:val="16"/>
              </w:rPr>
            </w:pPr>
            <w:r>
              <w:rPr>
                <w:rFonts w:ascii="Arial" w:hAnsi="Arial"/>
                <w:sz w:val="16"/>
              </w:rPr>
              <w:t>1997</w:t>
            </w:r>
          </w:p>
        </w:tc>
        <w:tc>
          <w:tcPr>
            <w:tcW w:w="1077" w:type="dxa"/>
          </w:tcPr>
          <w:p w:rsidR="00000000" w:rsidRDefault="00000000">
            <w:pPr>
              <w:spacing w:before="60" w:after="20" w:line="240" w:lineRule="auto"/>
              <w:jc w:val="center"/>
              <w:rPr>
                <w:rFonts w:ascii="Arial" w:hAnsi="Arial"/>
                <w:sz w:val="16"/>
              </w:rPr>
            </w:pPr>
            <w:r>
              <w:rPr>
                <w:rFonts w:ascii="Arial" w:hAnsi="Arial"/>
                <w:sz w:val="16"/>
              </w:rPr>
              <w:t>1998</w:t>
            </w:r>
          </w:p>
        </w:tc>
        <w:tc>
          <w:tcPr>
            <w:tcW w:w="1077" w:type="dxa"/>
          </w:tcPr>
          <w:p w:rsidR="00000000" w:rsidRDefault="00000000">
            <w:pPr>
              <w:spacing w:before="60" w:after="20" w:line="240" w:lineRule="auto"/>
              <w:jc w:val="center"/>
              <w:rPr>
                <w:rFonts w:ascii="Arial" w:hAnsi="Arial"/>
                <w:sz w:val="16"/>
              </w:rPr>
            </w:pPr>
            <w:r>
              <w:rPr>
                <w:rFonts w:ascii="Arial" w:hAnsi="Arial"/>
                <w:sz w:val="16"/>
              </w:rPr>
              <w:t>1999</w:t>
            </w:r>
          </w:p>
        </w:tc>
      </w:tr>
      <w:tr w:rsidR="00000000">
        <w:tblPrEx>
          <w:tblCellMar>
            <w:top w:w="0" w:type="dxa"/>
            <w:bottom w:w="0" w:type="dxa"/>
          </w:tblCellMar>
        </w:tblPrEx>
        <w:trPr>
          <w:cantSplit/>
        </w:trPr>
        <w:tc>
          <w:tcPr>
            <w:tcW w:w="2552" w:type="dxa"/>
            <w:tcBorders>
              <w:top w:val="nil"/>
            </w:tcBorders>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ОБА ПОЛА</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521 000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530 400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541 000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558 700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563 300</w:t>
            </w:r>
          </w:p>
        </w:tc>
      </w:tr>
      <w:tr w:rsidR="00000000">
        <w:tblPrEx>
          <w:tblCellMar>
            <w:top w:w="0" w:type="dxa"/>
            <w:bottom w:w="0" w:type="dxa"/>
          </w:tblCellMar>
        </w:tblPrEx>
        <w:trPr>
          <w:cantSplit/>
        </w:trPr>
        <w:tc>
          <w:tcPr>
            <w:tcW w:w="2552" w:type="dxa"/>
            <w:vMerge w:val="restart"/>
            <w:vAlign w:val="center"/>
          </w:tcPr>
          <w:p w:rsidR="00000000" w:rsidRDefault="00000000">
            <w:pPr>
              <w:spacing w:before="60" w:after="20" w:line="240" w:lineRule="auto"/>
              <w:jc w:val="left"/>
              <w:rPr>
                <w:rFonts w:ascii="Arial" w:hAnsi="Arial"/>
                <w:sz w:val="16"/>
              </w:rPr>
            </w:pPr>
            <w:r>
              <w:rPr>
                <w:rFonts w:ascii="Arial" w:hAnsi="Arial"/>
                <w:sz w:val="16"/>
              </w:rPr>
              <w:t>ОБЩАЯ РАБОЧАЯ СИЛА</w:t>
            </w:r>
          </w:p>
        </w:tc>
        <w:tc>
          <w:tcPr>
            <w:tcW w:w="1077" w:type="dxa"/>
          </w:tcPr>
          <w:p w:rsidR="00000000" w:rsidRDefault="00000000">
            <w:pPr>
              <w:spacing w:before="60" w:after="20" w:line="240" w:lineRule="auto"/>
              <w:rPr>
                <w:rFonts w:ascii="Arial" w:hAnsi="Arial"/>
                <w:sz w:val="16"/>
              </w:rPr>
            </w:pPr>
            <w:r>
              <w:rPr>
                <w:rFonts w:ascii="Arial" w:hAnsi="Arial"/>
                <w:sz w:val="16"/>
              </w:rPr>
              <w:t>МУЖЧИНЫ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327 000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325 700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335 800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344 600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347 900</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ЖЕНЩИНЫ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194 000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204 700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205 200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212 400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215 400</w:t>
            </w:r>
          </w:p>
        </w:tc>
      </w:tr>
      <w:tr w:rsidR="00000000">
        <w:tblPrEx>
          <w:tblCellMar>
            <w:top w:w="0" w:type="dxa"/>
            <w:bottom w:w="0" w:type="dxa"/>
          </w:tblCellMar>
        </w:tblPrEx>
        <w:trPr>
          <w:cantSplit/>
        </w:trPr>
        <w:tc>
          <w:tcPr>
            <w:tcW w:w="2552" w:type="dxa"/>
            <w:vMerge w:val="restart"/>
          </w:tcPr>
          <w:p w:rsidR="00000000" w:rsidRDefault="00000000">
            <w:pPr>
              <w:spacing w:before="60" w:after="20" w:line="240" w:lineRule="auto"/>
              <w:jc w:val="left"/>
              <w:rPr>
                <w:rFonts w:ascii="Arial" w:hAnsi="Arial"/>
                <w:sz w:val="16"/>
              </w:rPr>
            </w:pPr>
            <w:r>
              <w:rPr>
                <w:rFonts w:ascii="Arial" w:hAnsi="Arial"/>
                <w:sz w:val="16"/>
              </w:rPr>
              <w:t>НЕ СОСТОЯЩЕЕ В ПРОФСОЮЗАХ НАСЕЛЕНИЕ(15</w:t>
            </w:r>
            <w:r>
              <w:rPr>
                <w:rFonts w:ascii="Arial" w:hAnsi="Arial"/>
                <w:sz w:val="16"/>
                <w:lang w:val="en-US"/>
              </w:rPr>
              <w:t> </w:t>
            </w:r>
            <w:r>
              <w:rPr>
                <w:rFonts w:ascii="Arial" w:hAnsi="Arial"/>
                <w:sz w:val="16"/>
              </w:rPr>
              <w:t>ЛЕТ И СТАРШЕ)</w:t>
            </w:r>
          </w:p>
        </w:tc>
        <w:tc>
          <w:tcPr>
            <w:tcW w:w="1077" w:type="dxa"/>
          </w:tcPr>
          <w:p w:rsidR="00000000" w:rsidRDefault="00000000">
            <w:pPr>
              <w:spacing w:before="60" w:after="20" w:line="240" w:lineRule="auto"/>
              <w:rPr>
                <w:rFonts w:ascii="Arial" w:hAnsi="Arial"/>
                <w:sz w:val="16"/>
              </w:rPr>
            </w:pPr>
            <w:r>
              <w:rPr>
                <w:rFonts w:ascii="Arial" w:hAnsi="Arial"/>
                <w:sz w:val="16"/>
              </w:rPr>
              <w:t>ОБА ПОЛА</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864 900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876 700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896 600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913 400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926 000</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МУЖЧИНЫ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433 300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439 200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449 200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457 600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463 900</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ЖЕНЩИНЫ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431 600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437 500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447 400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455 800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462 100</w:t>
            </w:r>
          </w:p>
        </w:tc>
      </w:tr>
      <w:tr w:rsidR="00000000">
        <w:tblPrEx>
          <w:tblCellMar>
            <w:top w:w="0" w:type="dxa"/>
            <w:bottom w:w="0" w:type="dxa"/>
          </w:tblCellMar>
        </w:tblPrEx>
        <w:trPr>
          <w:cantSplit/>
        </w:trPr>
        <w:tc>
          <w:tcPr>
            <w:tcW w:w="2552" w:type="dxa"/>
            <w:vMerge w:val="restart"/>
            <w:vAlign w:val="center"/>
          </w:tcPr>
          <w:p w:rsidR="00000000" w:rsidRDefault="00000000">
            <w:pPr>
              <w:spacing w:before="60" w:after="20" w:line="240" w:lineRule="auto"/>
              <w:jc w:val="left"/>
              <w:rPr>
                <w:rFonts w:ascii="Arial" w:hAnsi="Arial"/>
                <w:sz w:val="16"/>
              </w:rPr>
            </w:pPr>
            <w:r>
              <w:rPr>
                <w:rFonts w:ascii="Arial" w:hAnsi="Arial"/>
                <w:sz w:val="16"/>
              </w:rPr>
              <w:t>ЧИСЛО РАБОТАЮЩИХ</w:t>
            </w:r>
          </w:p>
        </w:tc>
        <w:tc>
          <w:tcPr>
            <w:tcW w:w="1077" w:type="dxa"/>
          </w:tcPr>
          <w:p w:rsidR="00000000" w:rsidRDefault="00000000">
            <w:pPr>
              <w:spacing w:before="60" w:after="20" w:line="240" w:lineRule="auto"/>
              <w:rPr>
                <w:rFonts w:ascii="Arial" w:hAnsi="Arial"/>
                <w:sz w:val="16"/>
              </w:rPr>
            </w:pPr>
            <w:r>
              <w:rPr>
                <w:rFonts w:ascii="Arial" w:hAnsi="Arial"/>
                <w:sz w:val="16"/>
              </w:rPr>
              <w:t>ОБА ПОЛА</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431 500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444 200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459 800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479 300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489 300</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МУЖЧИНЫ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277 500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282 500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294 500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305 500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310 000</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ЖЕНЩИНЫ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154 000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161 700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165 300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173 800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179 300</w:t>
            </w:r>
          </w:p>
        </w:tc>
      </w:tr>
      <w:tr w:rsidR="00000000">
        <w:tblPrEx>
          <w:tblCellMar>
            <w:top w:w="0" w:type="dxa"/>
            <w:bottom w:w="0" w:type="dxa"/>
          </w:tblCellMar>
        </w:tblPrEx>
        <w:trPr>
          <w:cantSplit/>
        </w:trPr>
        <w:tc>
          <w:tcPr>
            <w:tcW w:w="2552" w:type="dxa"/>
            <w:vMerge w:val="restart"/>
            <w:vAlign w:val="center"/>
          </w:tcPr>
          <w:p w:rsidR="00000000" w:rsidRDefault="00000000">
            <w:pPr>
              <w:spacing w:before="60" w:after="20" w:line="240" w:lineRule="auto"/>
              <w:jc w:val="left"/>
              <w:rPr>
                <w:rFonts w:ascii="Arial" w:hAnsi="Arial"/>
                <w:sz w:val="16"/>
              </w:rPr>
            </w:pPr>
            <w:r>
              <w:rPr>
                <w:rFonts w:ascii="Arial" w:hAnsi="Arial"/>
                <w:sz w:val="16"/>
              </w:rPr>
              <w:t>УРОВЕНЬ УЧАСТИЯ В</w:t>
            </w:r>
            <w:r>
              <w:rPr>
                <w:rFonts w:ascii="Arial" w:hAnsi="Arial"/>
                <w:sz w:val="16"/>
                <w:lang w:val="en-US"/>
              </w:rPr>
              <w:t> </w:t>
            </w:r>
            <w:r>
              <w:rPr>
                <w:rFonts w:ascii="Arial" w:hAnsi="Arial"/>
                <w:sz w:val="16"/>
              </w:rPr>
              <w:t>РАБОЧЕЙ СИЛЕ (%)*</w:t>
            </w:r>
          </w:p>
        </w:tc>
        <w:tc>
          <w:tcPr>
            <w:tcW w:w="1077" w:type="dxa"/>
          </w:tcPr>
          <w:p w:rsidR="00000000" w:rsidRDefault="00000000">
            <w:pPr>
              <w:spacing w:before="60" w:after="20" w:line="240" w:lineRule="auto"/>
              <w:rPr>
                <w:rFonts w:ascii="Arial" w:hAnsi="Arial"/>
                <w:sz w:val="16"/>
              </w:rPr>
            </w:pPr>
            <w:r>
              <w:rPr>
                <w:rFonts w:ascii="Arial" w:hAnsi="Arial"/>
                <w:sz w:val="16"/>
              </w:rPr>
              <w:t>ОБА ПОЛА</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60,2</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60,5</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60,3</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61,2</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60,8</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МУЖЧИНЫ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75,5</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74,2</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74,8</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75,3</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74,9</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ЖЕНЩИНЫ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44,9</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46,8</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45,9</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47,0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46,6</w:t>
            </w:r>
          </w:p>
        </w:tc>
      </w:tr>
      <w:tr w:rsidR="00000000">
        <w:tblPrEx>
          <w:tblCellMar>
            <w:top w:w="0" w:type="dxa"/>
            <w:bottom w:w="0" w:type="dxa"/>
          </w:tblCellMar>
        </w:tblPrEx>
        <w:trPr>
          <w:cantSplit/>
        </w:trPr>
        <w:tc>
          <w:tcPr>
            <w:tcW w:w="2552" w:type="dxa"/>
            <w:vMerge w:val="restart"/>
            <w:vAlign w:val="center"/>
          </w:tcPr>
          <w:p w:rsidR="00000000" w:rsidRDefault="00000000">
            <w:pPr>
              <w:spacing w:before="60" w:after="20" w:line="240" w:lineRule="auto"/>
              <w:jc w:val="left"/>
              <w:rPr>
                <w:rFonts w:ascii="Arial" w:hAnsi="Arial"/>
                <w:sz w:val="16"/>
              </w:rPr>
            </w:pPr>
            <w:r>
              <w:rPr>
                <w:rFonts w:ascii="Arial" w:hAnsi="Arial"/>
                <w:sz w:val="16"/>
              </w:rPr>
              <w:t>ЧИСЛО БЕЗРАБОТНЫХ</w:t>
            </w:r>
          </w:p>
        </w:tc>
        <w:tc>
          <w:tcPr>
            <w:tcW w:w="1077" w:type="dxa"/>
          </w:tcPr>
          <w:p w:rsidR="00000000" w:rsidRDefault="00000000">
            <w:pPr>
              <w:spacing w:before="60" w:after="20" w:line="240" w:lineRule="auto"/>
              <w:rPr>
                <w:rFonts w:ascii="Arial" w:hAnsi="Arial"/>
                <w:sz w:val="16"/>
              </w:rPr>
            </w:pPr>
            <w:r>
              <w:rPr>
                <w:rFonts w:ascii="Arial" w:hAnsi="Arial"/>
                <w:sz w:val="16"/>
              </w:rPr>
              <w:t>ОБА ПОЛА</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89 400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86 100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81 200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79 400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74 000</w:t>
            </w:r>
          </w:p>
        </w:tc>
      </w:tr>
      <w:tr w:rsidR="00000000">
        <w:tblPrEx>
          <w:tblCellMar>
            <w:top w:w="0" w:type="dxa"/>
            <w:bottom w:w="0" w:type="dxa"/>
          </w:tblCellMar>
        </w:tblPrEx>
        <w:trPr>
          <w:cantSplit/>
        </w:trPr>
        <w:tc>
          <w:tcPr>
            <w:tcW w:w="2552" w:type="dxa"/>
            <w:vMerge/>
            <w:vAlign w:val="center"/>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МУЖЧИНЫ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49 500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43 100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41 300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39 000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38 000</w:t>
            </w:r>
          </w:p>
        </w:tc>
      </w:tr>
      <w:tr w:rsidR="00000000">
        <w:tblPrEx>
          <w:tblCellMar>
            <w:top w:w="0" w:type="dxa"/>
            <w:bottom w:w="0" w:type="dxa"/>
          </w:tblCellMar>
        </w:tblPrEx>
        <w:trPr>
          <w:cantSplit/>
        </w:trPr>
        <w:tc>
          <w:tcPr>
            <w:tcW w:w="2552" w:type="dxa"/>
            <w:vMerge/>
            <w:vAlign w:val="center"/>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ЖЕНЩИНЫ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39 900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43 000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39 900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40 400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36 000</w:t>
            </w:r>
          </w:p>
        </w:tc>
      </w:tr>
      <w:tr w:rsidR="00000000">
        <w:tblPrEx>
          <w:tblCellMar>
            <w:top w:w="0" w:type="dxa"/>
            <w:bottom w:w="0" w:type="dxa"/>
          </w:tblCellMar>
        </w:tblPrEx>
        <w:trPr>
          <w:cantSplit/>
        </w:trPr>
        <w:tc>
          <w:tcPr>
            <w:tcW w:w="2552" w:type="dxa"/>
            <w:vMerge w:val="restart"/>
            <w:vAlign w:val="center"/>
          </w:tcPr>
          <w:p w:rsidR="00000000" w:rsidRDefault="00000000">
            <w:pPr>
              <w:spacing w:before="60" w:after="20" w:line="240" w:lineRule="auto"/>
              <w:jc w:val="left"/>
              <w:rPr>
                <w:rFonts w:ascii="Arial" w:hAnsi="Arial"/>
                <w:sz w:val="16"/>
              </w:rPr>
            </w:pPr>
            <w:r>
              <w:rPr>
                <w:rFonts w:ascii="Arial" w:hAnsi="Arial"/>
                <w:sz w:val="16"/>
              </w:rPr>
              <w:t>УРОВЕНЬ БЕЗРАБОТНЫХ</w:t>
            </w:r>
            <w:r>
              <w:rPr>
                <w:rFonts w:ascii="Arial" w:hAnsi="Arial"/>
                <w:sz w:val="16"/>
                <w:lang w:val="en-US"/>
              </w:rPr>
              <w:t xml:space="preserve"> </w:t>
            </w:r>
            <w:r>
              <w:rPr>
                <w:rFonts w:ascii="Arial" w:hAnsi="Arial"/>
                <w:sz w:val="16"/>
              </w:rPr>
              <w:t>(%)</w:t>
            </w:r>
          </w:p>
        </w:tc>
        <w:tc>
          <w:tcPr>
            <w:tcW w:w="1077" w:type="dxa"/>
          </w:tcPr>
          <w:p w:rsidR="00000000" w:rsidRDefault="00000000">
            <w:pPr>
              <w:spacing w:before="60" w:after="20" w:line="240" w:lineRule="auto"/>
              <w:rPr>
                <w:rFonts w:ascii="Arial" w:hAnsi="Arial"/>
                <w:sz w:val="16"/>
              </w:rPr>
            </w:pPr>
            <w:r>
              <w:rPr>
                <w:rFonts w:ascii="Arial" w:hAnsi="Arial"/>
                <w:sz w:val="16"/>
              </w:rPr>
              <w:t>ОБА ПОЛА</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17,2</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16,2</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15,0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14,2</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13,1</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rPr>
                <w:rFonts w:ascii="Arial" w:hAnsi="Arial"/>
                <w:sz w:val="16"/>
              </w:rPr>
            </w:pPr>
          </w:p>
        </w:tc>
        <w:tc>
          <w:tcPr>
            <w:tcW w:w="1077" w:type="dxa"/>
            <w:tcBorders>
              <w:bottom w:val="nil"/>
            </w:tcBorders>
          </w:tcPr>
          <w:p w:rsidR="00000000" w:rsidRDefault="00000000">
            <w:pPr>
              <w:spacing w:before="60" w:after="20" w:line="240" w:lineRule="auto"/>
              <w:rPr>
                <w:rFonts w:ascii="Arial" w:hAnsi="Arial"/>
                <w:sz w:val="16"/>
              </w:rPr>
            </w:pPr>
            <w:r>
              <w:rPr>
                <w:rFonts w:ascii="Arial" w:hAnsi="Arial"/>
                <w:sz w:val="16"/>
              </w:rPr>
              <w:t>МУЖЧИНЫ</w:t>
            </w:r>
          </w:p>
        </w:tc>
        <w:tc>
          <w:tcPr>
            <w:tcW w:w="1077" w:type="dxa"/>
            <w:tcBorders>
              <w:bottom w:val="nil"/>
            </w:tcBorders>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15,1</w:t>
            </w:r>
          </w:p>
        </w:tc>
        <w:tc>
          <w:tcPr>
            <w:tcW w:w="1077" w:type="dxa"/>
            <w:tcBorders>
              <w:bottom w:val="nil"/>
            </w:tcBorders>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13,2</w:t>
            </w:r>
          </w:p>
        </w:tc>
        <w:tc>
          <w:tcPr>
            <w:tcW w:w="1077" w:type="dxa"/>
            <w:tcBorders>
              <w:bottom w:val="nil"/>
            </w:tcBorders>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12,3</w:t>
            </w:r>
          </w:p>
        </w:tc>
        <w:tc>
          <w:tcPr>
            <w:tcW w:w="1077" w:type="dxa"/>
            <w:tcBorders>
              <w:bottom w:val="nil"/>
            </w:tcBorders>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11,3</w:t>
            </w:r>
          </w:p>
        </w:tc>
        <w:tc>
          <w:tcPr>
            <w:tcW w:w="1077" w:type="dxa"/>
            <w:tcBorders>
              <w:bottom w:val="nil"/>
            </w:tcBorders>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10,9</w:t>
            </w:r>
          </w:p>
        </w:tc>
      </w:tr>
      <w:tr w:rsidR="00000000">
        <w:tblPrEx>
          <w:tblCellMar>
            <w:top w:w="0" w:type="dxa"/>
            <w:bottom w:w="0" w:type="dxa"/>
          </w:tblCellMar>
        </w:tblPrEx>
        <w:trPr>
          <w:cantSplit/>
        </w:trPr>
        <w:tc>
          <w:tcPr>
            <w:tcW w:w="2552" w:type="dxa"/>
            <w:vMerge/>
          </w:tcPr>
          <w:p w:rsidR="00000000" w:rsidRDefault="00000000">
            <w:pPr>
              <w:spacing w:before="60" w:after="20" w:line="240" w:lineRule="auto"/>
              <w:rPr>
                <w:rFonts w:ascii="Arial" w:hAnsi="Arial"/>
                <w:sz w:val="16"/>
              </w:rPr>
            </w:pPr>
          </w:p>
        </w:tc>
        <w:tc>
          <w:tcPr>
            <w:tcW w:w="1077" w:type="dxa"/>
          </w:tcPr>
          <w:p w:rsidR="00000000" w:rsidRDefault="00000000">
            <w:pPr>
              <w:spacing w:before="60" w:after="20" w:line="240" w:lineRule="auto"/>
              <w:rPr>
                <w:rFonts w:ascii="Arial" w:hAnsi="Arial"/>
                <w:sz w:val="16"/>
              </w:rPr>
            </w:pPr>
            <w:r>
              <w:rPr>
                <w:rFonts w:ascii="Arial" w:hAnsi="Arial"/>
                <w:sz w:val="16"/>
              </w:rPr>
              <w:t>ЖЕНЩИНЫ</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20,6</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21,0</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19,4</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18,9</w:t>
            </w:r>
          </w:p>
        </w:tc>
        <w:tc>
          <w:tcPr>
            <w:tcW w:w="1077" w:type="dxa"/>
          </w:tcPr>
          <w:p w:rsidR="00000000" w:rsidRDefault="00000000">
            <w:pPr>
              <w:tabs>
                <w:tab w:val="clear" w:pos="340"/>
                <w:tab w:val="clear" w:pos="680"/>
              </w:tabs>
              <w:spacing w:before="60" w:after="20" w:line="240" w:lineRule="auto"/>
              <w:ind w:right="284"/>
              <w:jc w:val="right"/>
              <w:rPr>
                <w:rFonts w:ascii="Arial" w:hAnsi="Arial"/>
                <w:sz w:val="16"/>
              </w:rPr>
            </w:pPr>
            <w:r>
              <w:rPr>
                <w:rFonts w:ascii="Arial" w:hAnsi="Arial"/>
                <w:sz w:val="16"/>
              </w:rPr>
              <w:t>16,7</w:t>
            </w:r>
          </w:p>
        </w:tc>
      </w:tr>
    </w:tbl>
    <w:p w:rsidR="00000000" w:rsidRDefault="00000000">
      <w:pPr>
        <w:rPr>
          <w:sz w:val="16"/>
        </w:rPr>
      </w:pPr>
      <w:r>
        <w:rPr>
          <w:sz w:val="16"/>
        </w:rPr>
        <w:tab/>
      </w:r>
      <w:r>
        <w:rPr>
          <w:sz w:val="16"/>
        </w:rPr>
        <w:tab/>
        <w:t xml:space="preserve">*Участие в рабочей силе рассчитывается путем деления общей рабочей силы на не состоящее в профсоюзах население. </w:t>
      </w:r>
    </w:p>
    <w:p w:rsidR="00000000" w:rsidRDefault="00000000">
      <w:pPr>
        <w:spacing w:after="0"/>
      </w:pPr>
      <w:r>
        <w:t>256.</w:t>
      </w:r>
      <w:r>
        <w:tab/>
      </w:r>
      <w:r>
        <w:rPr>
          <w:b/>
        </w:rPr>
        <w:t>Рабочая сила с разбивкой по отраслям промышленности и полу, 2-й квартал 1999 года</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06"/>
        <w:gridCol w:w="1418"/>
        <w:gridCol w:w="1418"/>
        <w:gridCol w:w="1418"/>
      </w:tblGrid>
      <w:tr w:rsidR="00000000">
        <w:tblPrEx>
          <w:tblCellMar>
            <w:top w:w="0" w:type="dxa"/>
            <w:bottom w:w="0" w:type="dxa"/>
          </w:tblCellMar>
        </w:tblPrEx>
        <w:trPr>
          <w:cantSplit/>
        </w:trPr>
        <w:tc>
          <w:tcPr>
            <w:tcW w:w="4706" w:type="dxa"/>
            <w:vMerge w:val="restart"/>
          </w:tcPr>
          <w:p w:rsidR="00000000" w:rsidRDefault="00000000">
            <w:pPr>
              <w:spacing w:before="80" w:after="20" w:line="240" w:lineRule="auto"/>
              <w:jc w:val="center"/>
              <w:rPr>
                <w:rFonts w:ascii="Arial" w:hAnsi="Arial"/>
                <w:sz w:val="16"/>
              </w:rPr>
            </w:pPr>
            <w:r>
              <w:rPr>
                <w:rFonts w:ascii="Arial" w:hAnsi="Arial"/>
                <w:sz w:val="16"/>
              </w:rPr>
              <w:t>Отрасль промышленности</w:t>
            </w:r>
          </w:p>
        </w:tc>
        <w:tc>
          <w:tcPr>
            <w:tcW w:w="4254" w:type="dxa"/>
            <w:gridSpan w:val="3"/>
          </w:tcPr>
          <w:p w:rsidR="00000000" w:rsidRDefault="00000000">
            <w:pPr>
              <w:spacing w:before="80" w:after="20" w:line="240" w:lineRule="auto"/>
              <w:jc w:val="center"/>
              <w:rPr>
                <w:rFonts w:ascii="Arial" w:hAnsi="Arial"/>
                <w:sz w:val="16"/>
              </w:rPr>
            </w:pPr>
            <w:r>
              <w:rPr>
                <w:rFonts w:ascii="Arial" w:hAnsi="Arial"/>
                <w:sz w:val="16"/>
              </w:rPr>
              <w:t>Работающие по найму (%)</w:t>
            </w:r>
          </w:p>
        </w:tc>
      </w:tr>
      <w:tr w:rsidR="00000000">
        <w:tblPrEx>
          <w:tblCellMar>
            <w:top w:w="0" w:type="dxa"/>
            <w:bottom w:w="0" w:type="dxa"/>
          </w:tblCellMar>
        </w:tblPrEx>
        <w:trPr>
          <w:cantSplit/>
        </w:trPr>
        <w:tc>
          <w:tcPr>
            <w:tcW w:w="4706" w:type="dxa"/>
            <w:vMerge/>
          </w:tcPr>
          <w:p w:rsidR="00000000" w:rsidRDefault="00000000">
            <w:pPr>
              <w:spacing w:before="60" w:after="20" w:line="240" w:lineRule="auto"/>
              <w:jc w:val="left"/>
              <w:rPr>
                <w:rFonts w:ascii="Arial" w:hAnsi="Arial"/>
                <w:sz w:val="16"/>
              </w:rPr>
            </w:pPr>
          </w:p>
        </w:tc>
        <w:tc>
          <w:tcPr>
            <w:tcW w:w="1418" w:type="dxa"/>
          </w:tcPr>
          <w:p w:rsidR="00000000" w:rsidRDefault="00000000">
            <w:pPr>
              <w:spacing w:before="60" w:after="20" w:line="240" w:lineRule="auto"/>
              <w:jc w:val="center"/>
              <w:rPr>
                <w:rFonts w:ascii="Arial" w:hAnsi="Arial"/>
                <w:sz w:val="16"/>
              </w:rPr>
            </w:pPr>
            <w:r>
              <w:rPr>
                <w:rFonts w:ascii="Arial" w:hAnsi="Arial"/>
                <w:sz w:val="16"/>
              </w:rPr>
              <w:t>всего</w:t>
            </w:r>
          </w:p>
        </w:tc>
        <w:tc>
          <w:tcPr>
            <w:tcW w:w="1418"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418" w:type="dxa"/>
          </w:tcPr>
          <w:p w:rsidR="00000000" w:rsidRDefault="00000000">
            <w:pPr>
              <w:spacing w:before="60" w:after="20" w:line="240" w:lineRule="auto"/>
              <w:jc w:val="center"/>
              <w:rPr>
                <w:rFonts w:ascii="Arial" w:hAnsi="Arial"/>
                <w:sz w:val="16"/>
              </w:rPr>
            </w:pPr>
            <w:r>
              <w:rPr>
                <w:rFonts w:ascii="Arial" w:hAnsi="Arial"/>
                <w:sz w:val="16"/>
              </w:rPr>
              <w:t>женщины</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Сахарная промышленность (возделывание и производство)</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2,8</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4,3</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0,3</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Сельское хозяйство, лесное хозяйство, охотничий промысел и рыболовство</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5,8</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7,7</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2,8</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Нефтегазовая отрасль</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2,9</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3,9</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1,2</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Другие горнодобывающие отрасли</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0,2</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0,3</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Другие производства (включая сахарную и нефтяную отрасли)</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10,9</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11,5</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9,8</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Электроэнергетика и водоснабжение</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1,2</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1,7</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0,3</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Строительство</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12,9</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19,0</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2,7</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Оптовая и розничная торговля, ресторанный и гостиничный бизнес</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17,4</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12,3</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26,0</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Транспорт, хранение и связь</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6,9</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9,0</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3,3</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Финансы, страхование, услуги, связанные с недвижимостью и бизнесом</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7,8</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6,2</w:t>
            </w:r>
          </w:p>
        </w:tc>
        <w:tc>
          <w:tcPr>
            <w:tcW w:w="1418" w:type="dxa"/>
            <w:vAlign w:val="bottom"/>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10,4</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Общинные, социальные и личные услуги</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31,2</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24,1</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43,1</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Не установлено</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0,1</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0,1</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w:t>
            </w:r>
          </w:p>
        </w:tc>
      </w:tr>
      <w:tr w:rsidR="00000000">
        <w:tblPrEx>
          <w:tblCellMar>
            <w:top w:w="0" w:type="dxa"/>
            <w:bottom w:w="0" w:type="dxa"/>
          </w:tblCellMar>
        </w:tblPrEx>
        <w:trPr>
          <w:cantSplit/>
        </w:trPr>
        <w:tc>
          <w:tcPr>
            <w:tcW w:w="4706" w:type="dxa"/>
          </w:tcPr>
          <w:p w:rsidR="00000000" w:rsidRDefault="00000000">
            <w:pPr>
              <w:spacing w:before="40" w:after="20" w:line="240" w:lineRule="auto"/>
              <w:jc w:val="left"/>
              <w:rPr>
                <w:rFonts w:ascii="Arial" w:hAnsi="Arial"/>
                <w:sz w:val="16"/>
              </w:rPr>
            </w:pPr>
            <w:r>
              <w:rPr>
                <w:rFonts w:ascii="Arial" w:hAnsi="Arial"/>
                <w:sz w:val="16"/>
              </w:rPr>
              <w:t xml:space="preserve">ВСЕГО </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100</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100</w:t>
            </w:r>
          </w:p>
        </w:tc>
        <w:tc>
          <w:tcPr>
            <w:tcW w:w="1418" w:type="dxa"/>
          </w:tcPr>
          <w:p w:rsidR="00000000" w:rsidRDefault="00000000">
            <w:pPr>
              <w:tabs>
                <w:tab w:val="clear" w:pos="340"/>
                <w:tab w:val="clear" w:pos="680"/>
                <w:tab w:val="decimal" w:pos="737"/>
              </w:tabs>
              <w:spacing w:before="40" w:after="20" w:line="240" w:lineRule="auto"/>
              <w:rPr>
                <w:rFonts w:ascii="Arial" w:hAnsi="Arial"/>
                <w:sz w:val="16"/>
              </w:rPr>
            </w:pPr>
            <w:r>
              <w:rPr>
                <w:rFonts w:ascii="Arial" w:hAnsi="Arial"/>
                <w:sz w:val="16"/>
              </w:rPr>
              <w:t>100</w:t>
            </w:r>
          </w:p>
        </w:tc>
      </w:tr>
    </w:tbl>
    <w:p w:rsidR="00000000" w:rsidRDefault="00000000">
      <w:pPr>
        <w:spacing w:after="0"/>
      </w:pPr>
    </w:p>
    <w:p w:rsidR="00000000" w:rsidRDefault="00000000">
      <w:pPr>
        <w:spacing w:after="0"/>
        <w:ind w:left="680" w:hanging="680"/>
        <w:jc w:val="left"/>
        <w:rPr>
          <w:b/>
        </w:rPr>
      </w:pPr>
      <w:r>
        <w:t>257.</w:t>
      </w:r>
      <w:r>
        <w:tab/>
      </w:r>
      <w:r>
        <w:rPr>
          <w:b/>
        </w:rPr>
        <w:t xml:space="preserve">Процент безработных женщин с разбивкой по возрастным группам (1991–1995 годы и </w:t>
      </w:r>
      <w:r>
        <w:rPr>
          <w:b/>
          <w:lang w:val="en-US"/>
        </w:rPr>
        <w:br/>
      </w:r>
      <w:r>
        <w:rPr>
          <w:b/>
        </w:rPr>
        <w:t>2-й квартал 1999 года)</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56"/>
        <w:gridCol w:w="851"/>
        <w:gridCol w:w="851"/>
        <w:gridCol w:w="851"/>
        <w:gridCol w:w="851"/>
        <w:gridCol w:w="851"/>
        <w:gridCol w:w="851"/>
      </w:tblGrid>
      <w:tr w:rsidR="00000000">
        <w:tblPrEx>
          <w:tblCellMar>
            <w:top w:w="0" w:type="dxa"/>
            <w:bottom w:w="0" w:type="dxa"/>
          </w:tblCellMar>
        </w:tblPrEx>
        <w:tc>
          <w:tcPr>
            <w:tcW w:w="3856" w:type="dxa"/>
          </w:tcPr>
          <w:p w:rsidR="00000000" w:rsidRDefault="00000000">
            <w:pPr>
              <w:spacing w:before="80" w:after="20" w:line="240" w:lineRule="auto"/>
              <w:jc w:val="center"/>
              <w:rPr>
                <w:rFonts w:ascii="Arial" w:hAnsi="Arial"/>
                <w:sz w:val="16"/>
              </w:rPr>
            </w:pPr>
            <w:r>
              <w:rPr>
                <w:rFonts w:ascii="Arial" w:hAnsi="Arial"/>
                <w:sz w:val="16"/>
              </w:rPr>
              <w:t>ВОЗРАСТНАЯ ГРУППА</w:t>
            </w:r>
          </w:p>
        </w:tc>
        <w:tc>
          <w:tcPr>
            <w:tcW w:w="851" w:type="dxa"/>
          </w:tcPr>
          <w:p w:rsidR="00000000" w:rsidRDefault="00000000">
            <w:pPr>
              <w:spacing w:before="80" w:after="20" w:line="240" w:lineRule="auto"/>
              <w:jc w:val="center"/>
              <w:rPr>
                <w:rFonts w:ascii="Arial" w:hAnsi="Arial"/>
                <w:sz w:val="16"/>
              </w:rPr>
            </w:pPr>
            <w:r>
              <w:rPr>
                <w:rFonts w:ascii="Arial" w:hAnsi="Arial"/>
                <w:sz w:val="16"/>
              </w:rPr>
              <w:t>1991 год</w:t>
            </w:r>
          </w:p>
        </w:tc>
        <w:tc>
          <w:tcPr>
            <w:tcW w:w="851" w:type="dxa"/>
          </w:tcPr>
          <w:p w:rsidR="00000000" w:rsidRDefault="00000000">
            <w:pPr>
              <w:spacing w:before="80" w:after="20" w:line="240" w:lineRule="auto"/>
              <w:jc w:val="center"/>
              <w:rPr>
                <w:rFonts w:ascii="Arial" w:hAnsi="Arial"/>
                <w:sz w:val="16"/>
              </w:rPr>
            </w:pPr>
            <w:r>
              <w:rPr>
                <w:rFonts w:ascii="Arial" w:hAnsi="Arial"/>
                <w:sz w:val="16"/>
              </w:rPr>
              <w:t>1992 год</w:t>
            </w:r>
          </w:p>
        </w:tc>
        <w:tc>
          <w:tcPr>
            <w:tcW w:w="851" w:type="dxa"/>
          </w:tcPr>
          <w:p w:rsidR="00000000" w:rsidRDefault="00000000">
            <w:pPr>
              <w:spacing w:before="80" w:after="20" w:line="240" w:lineRule="auto"/>
              <w:jc w:val="center"/>
              <w:rPr>
                <w:rFonts w:ascii="Arial" w:hAnsi="Arial"/>
                <w:sz w:val="16"/>
              </w:rPr>
            </w:pPr>
            <w:r>
              <w:rPr>
                <w:rFonts w:ascii="Arial" w:hAnsi="Arial"/>
                <w:sz w:val="16"/>
              </w:rPr>
              <w:t>1993 год</w:t>
            </w:r>
          </w:p>
        </w:tc>
        <w:tc>
          <w:tcPr>
            <w:tcW w:w="851" w:type="dxa"/>
          </w:tcPr>
          <w:p w:rsidR="00000000" w:rsidRDefault="00000000">
            <w:pPr>
              <w:spacing w:before="80" w:after="20" w:line="240" w:lineRule="auto"/>
              <w:jc w:val="center"/>
              <w:rPr>
                <w:rFonts w:ascii="Arial" w:hAnsi="Arial"/>
                <w:sz w:val="16"/>
              </w:rPr>
            </w:pPr>
            <w:r>
              <w:rPr>
                <w:rFonts w:ascii="Arial" w:hAnsi="Arial"/>
                <w:sz w:val="16"/>
              </w:rPr>
              <w:t>1994 год</w:t>
            </w:r>
          </w:p>
        </w:tc>
        <w:tc>
          <w:tcPr>
            <w:tcW w:w="851" w:type="dxa"/>
          </w:tcPr>
          <w:p w:rsidR="00000000" w:rsidRDefault="00000000">
            <w:pPr>
              <w:spacing w:before="80" w:after="20" w:line="240" w:lineRule="auto"/>
              <w:jc w:val="center"/>
              <w:rPr>
                <w:rFonts w:ascii="Arial" w:hAnsi="Arial"/>
                <w:sz w:val="16"/>
              </w:rPr>
            </w:pPr>
            <w:r>
              <w:rPr>
                <w:rFonts w:ascii="Arial" w:hAnsi="Arial"/>
                <w:sz w:val="16"/>
              </w:rPr>
              <w:t>1995 год</w:t>
            </w:r>
          </w:p>
        </w:tc>
        <w:tc>
          <w:tcPr>
            <w:tcW w:w="851" w:type="dxa"/>
          </w:tcPr>
          <w:p w:rsidR="00000000" w:rsidRDefault="00000000">
            <w:pPr>
              <w:spacing w:before="80" w:after="20" w:line="240" w:lineRule="auto"/>
              <w:jc w:val="center"/>
              <w:rPr>
                <w:rFonts w:ascii="Arial" w:hAnsi="Arial"/>
                <w:sz w:val="16"/>
              </w:rPr>
            </w:pPr>
            <w:r>
              <w:rPr>
                <w:rFonts w:ascii="Arial" w:hAnsi="Arial"/>
                <w:sz w:val="16"/>
              </w:rPr>
              <w:t>1999 год*</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15</w:t>
            </w:r>
            <w:r>
              <w:rPr>
                <w:rFonts w:ascii="Arial" w:hAnsi="Arial"/>
                <w:sz w:val="16"/>
                <w:lang w:val="en-US"/>
              </w:rPr>
              <w:t>–</w:t>
            </w:r>
            <w:r>
              <w:rPr>
                <w:rFonts w:ascii="Arial" w:hAnsi="Arial"/>
                <w:sz w:val="16"/>
              </w:rPr>
              <w:t>19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56,6</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52,2</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59,7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47,5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44,7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47,4</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20</w:t>
            </w:r>
            <w:r>
              <w:rPr>
                <w:rFonts w:ascii="Arial" w:hAnsi="Arial"/>
                <w:sz w:val="16"/>
                <w:lang w:val="en-US"/>
              </w:rPr>
              <w:t>–</w:t>
            </w:r>
            <w:r>
              <w:rPr>
                <w:rFonts w:ascii="Arial" w:hAnsi="Arial"/>
                <w:sz w:val="16"/>
              </w:rPr>
              <w:t>24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35,7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34,8</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32,5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34,9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31,5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21,1</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25</w:t>
            </w:r>
            <w:r>
              <w:rPr>
                <w:rFonts w:ascii="Arial" w:hAnsi="Arial"/>
                <w:sz w:val="16"/>
                <w:lang w:val="en-US"/>
              </w:rPr>
              <w:t>–</w:t>
            </w:r>
            <w:r>
              <w:rPr>
                <w:rFonts w:ascii="Arial" w:hAnsi="Arial"/>
                <w:sz w:val="16"/>
              </w:rPr>
              <w:t>29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25,8</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28,3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24,3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22,8</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18,3</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30</w:t>
            </w:r>
            <w:r>
              <w:rPr>
                <w:rFonts w:ascii="Arial" w:hAnsi="Arial"/>
                <w:sz w:val="16"/>
                <w:lang w:val="en-US"/>
              </w:rPr>
              <w:t>–</w:t>
            </w:r>
            <w:r>
              <w:rPr>
                <w:rFonts w:ascii="Arial" w:hAnsi="Arial"/>
                <w:sz w:val="16"/>
              </w:rPr>
              <w:t>34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18,4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23,1</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23,8</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20,1</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20,7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11,9</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35</w:t>
            </w:r>
            <w:r>
              <w:rPr>
                <w:rFonts w:ascii="Arial" w:hAnsi="Arial"/>
                <w:sz w:val="16"/>
                <w:lang w:val="en-US"/>
              </w:rPr>
              <w:t>–</w:t>
            </w:r>
            <w:r>
              <w:rPr>
                <w:rFonts w:ascii="Arial" w:hAnsi="Arial"/>
                <w:sz w:val="16"/>
              </w:rPr>
              <w:t>39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17,4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19,3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18,7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16,2</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17,0</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9,9</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40</w:t>
            </w:r>
            <w:r>
              <w:rPr>
                <w:rFonts w:ascii="Arial" w:hAnsi="Arial"/>
                <w:sz w:val="16"/>
                <w:lang w:val="en-US"/>
              </w:rPr>
              <w:t>–</w:t>
            </w:r>
            <w:r>
              <w:rPr>
                <w:rFonts w:ascii="Arial" w:hAnsi="Arial"/>
                <w:sz w:val="16"/>
              </w:rPr>
              <w:t>44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14,4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14,4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14,2</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13,3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12,7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8,1</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45</w:t>
            </w:r>
            <w:r>
              <w:rPr>
                <w:rFonts w:ascii="Arial" w:hAnsi="Arial"/>
                <w:sz w:val="16"/>
                <w:lang w:val="en-US"/>
              </w:rPr>
              <w:t>–</w:t>
            </w:r>
            <w:r>
              <w:rPr>
                <w:rFonts w:ascii="Arial" w:hAnsi="Arial"/>
                <w:sz w:val="16"/>
              </w:rPr>
              <w:t>49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12,8</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13,5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15,7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15,4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8,3</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50</w:t>
            </w:r>
            <w:r>
              <w:rPr>
                <w:rFonts w:ascii="Arial" w:hAnsi="Arial"/>
                <w:sz w:val="16"/>
                <w:lang w:val="en-US"/>
              </w:rPr>
              <w:t>–</w:t>
            </w:r>
            <w:r>
              <w:rPr>
                <w:rFonts w:ascii="Arial" w:hAnsi="Arial"/>
                <w:sz w:val="16"/>
              </w:rPr>
              <w:t>54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12,1</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12,8</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9,4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9,4</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55</w:t>
            </w:r>
            <w:r>
              <w:rPr>
                <w:rFonts w:ascii="Arial" w:hAnsi="Arial"/>
                <w:sz w:val="16"/>
                <w:lang w:val="en-US"/>
              </w:rPr>
              <w:t>–</w:t>
            </w:r>
            <w:r>
              <w:rPr>
                <w:rFonts w:ascii="Arial" w:hAnsi="Arial"/>
                <w:sz w:val="16"/>
              </w:rPr>
              <w:t>59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9,1</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7,3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11,1</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11,7</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9,5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8,9</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60</w:t>
            </w:r>
            <w:r>
              <w:rPr>
                <w:rFonts w:ascii="Arial" w:hAnsi="Arial"/>
                <w:sz w:val="16"/>
                <w:lang w:val="en-US"/>
              </w:rPr>
              <w:t>–</w:t>
            </w:r>
            <w:r>
              <w:rPr>
                <w:rFonts w:ascii="Arial" w:hAnsi="Arial"/>
                <w:sz w:val="16"/>
              </w:rPr>
              <w:t>64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10,5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11,4</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7,2</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10,3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6,9</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3,8</w:t>
            </w:r>
          </w:p>
        </w:tc>
      </w:tr>
      <w:tr w:rsidR="00000000">
        <w:tblPrEx>
          <w:tblCellMar>
            <w:top w:w="0" w:type="dxa"/>
            <w:bottom w:w="0" w:type="dxa"/>
          </w:tblCellMar>
        </w:tblPrEx>
        <w:tc>
          <w:tcPr>
            <w:tcW w:w="3856" w:type="dxa"/>
          </w:tcPr>
          <w:p w:rsidR="00000000" w:rsidRDefault="00000000">
            <w:pPr>
              <w:spacing w:before="60" w:after="20" w:line="240" w:lineRule="auto"/>
              <w:jc w:val="center"/>
              <w:rPr>
                <w:rFonts w:ascii="Arial" w:hAnsi="Arial"/>
                <w:sz w:val="16"/>
              </w:rPr>
            </w:pPr>
            <w:r>
              <w:rPr>
                <w:rFonts w:ascii="Arial" w:hAnsi="Arial"/>
                <w:sz w:val="16"/>
              </w:rPr>
              <w:t>65+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3,3</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4,5</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3,3</w:t>
            </w:r>
          </w:p>
        </w:tc>
        <w:tc>
          <w:tcPr>
            <w:tcW w:w="851" w:type="dxa"/>
          </w:tcPr>
          <w:p w:rsidR="00000000" w:rsidRDefault="00000000">
            <w:pPr>
              <w:tabs>
                <w:tab w:val="clear" w:pos="340"/>
                <w:tab w:val="clear" w:pos="680"/>
                <w:tab w:val="decimal" w:pos="454"/>
              </w:tabs>
              <w:spacing w:before="60" w:after="20" w:line="240" w:lineRule="auto"/>
              <w:rPr>
                <w:rFonts w:ascii="Arial" w:hAnsi="Arial"/>
                <w:sz w:val="16"/>
                <w:lang w:val="en-US"/>
              </w:rPr>
            </w:pPr>
            <w:r>
              <w:rPr>
                <w:rFonts w:ascii="Arial" w:hAnsi="Arial"/>
                <w:sz w:val="16"/>
                <w:lang w:val="en-US"/>
              </w:rPr>
              <w:t>–</w:t>
            </w:r>
          </w:p>
        </w:tc>
        <w:tc>
          <w:tcPr>
            <w:tcW w:w="851" w:type="dxa"/>
          </w:tcPr>
          <w:p w:rsidR="00000000" w:rsidRDefault="00000000">
            <w:pPr>
              <w:tabs>
                <w:tab w:val="clear" w:pos="340"/>
                <w:tab w:val="clear" w:pos="680"/>
                <w:tab w:val="decimal" w:pos="454"/>
              </w:tabs>
              <w:spacing w:before="60" w:after="20" w:line="240" w:lineRule="auto"/>
              <w:rPr>
                <w:rFonts w:ascii="Arial" w:hAnsi="Arial"/>
                <w:sz w:val="16"/>
              </w:rPr>
            </w:pPr>
            <w:r>
              <w:rPr>
                <w:rFonts w:ascii="Arial" w:hAnsi="Arial"/>
                <w:sz w:val="16"/>
              </w:rPr>
              <w:t>3,3</w:t>
            </w:r>
          </w:p>
        </w:tc>
        <w:tc>
          <w:tcPr>
            <w:tcW w:w="851" w:type="dxa"/>
          </w:tcPr>
          <w:p w:rsidR="00000000" w:rsidRDefault="00000000">
            <w:pPr>
              <w:tabs>
                <w:tab w:val="clear" w:pos="340"/>
                <w:tab w:val="clear" w:pos="680"/>
                <w:tab w:val="decimal" w:pos="454"/>
              </w:tabs>
              <w:spacing w:before="60" w:after="20" w:line="240" w:lineRule="auto"/>
              <w:rPr>
                <w:rFonts w:ascii="Arial" w:hAnsi="Arial"/>
                <w:sz w:val="16"/>
                <w:lang w:val="en-US"/>
              </w:rPr>
            </w:pPr>
            <w:r>
              <w:rPr>
                <w:rFonts w:ascii="Arial" w:hAnsi="Arial"/>
                <w:sz w:val="16"/>
                <w:lang w:val="en-US"/>
              </w:rPr>
              <w:t>–</w:t>
            </w:r>
          </w:p>
        </w:tc>
      </w:tr>
    </w:tbl>
    <w:p w:rsidR="00000000" w:rsidRDefault="00000000">
      <w:pPr>
        <w:rPr>
          <w:sz w:val="16"/>
        </w:rPr>
      </w:pPr>
      <w:r>
        <w:rPr>
          <w:sz w:val="16"/>
          <w:lang w:val="en-US"/>
        </w:rPr>
        <w:tab/>
      </w:r>
      <w:r>
        <w:rPr>
          <w:sz w:val="16"/>
          <w:lang w:val="en-US"/>
        </w:rPr>
        <w:tab/>
      </w:r>
      <w:r>
        <w:rPr>
          <w:sz w:val="16"/>
        </w:rPr>
        <w:t>* Охватывает период с апреля по июнь 1999 года.</w:t>
      </w:r>
    </w:p>
    <w:p w:rsidR="00000000" w:rsidRDefault="00000000">
      <w:pPr>
        <w:spacing w:after="0"/>
      </w:pPr>
      <w:r>
        <w:t>258.</w:t>
      </w:r>
      <w:r>
        <w:tab/>
      </w:r>
      <w:r>
        <w:rPr>
          <w:b/>
        </w:rPr>
        <w:t>Безработица как процентное отношение к рабочей силе и уровням участия (15 лет и старше)</w:t>
      </w:r>
    </w:p>
    <w:tbl>
      <w:tblPr>
        <w:tblW w:w="0" w:type="auto"/>
        <w:tblInd w:w="654" w:type="dxa"/>
        <w:tblBorders>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40"/>
        <w:gridCol w:w="1004"/>
        <w:gridCol w:w="796"/>
        <w:gridCol w:w="1047"/>
        <w:gridCol w:w="850"/>
        <w:gridCol w:w="993"/>
        <w:gridCol w:w="850"/>
      </w:tblGrid>
      <w:tr w:rsidR="00000000">
        <w:tblPrEx>
          <w:tblCellMar>
            <w:top w:w="0" w:type="dxa"/>
            <w:bottom w:w="0" w:type="dxa"/>
          </w:tblCellMar>
        </w:tblPrEx>
        <w:trPr>
          <w:cantSplit/>
        </w:trPr>
        <w:tc>
          <w:tcPr>
            <w:tcW w:w="2540" w:type="dxa"/>
            <w:vMerge w:val="restart"/>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Период</w:t>
            </w:r>
          </w:p>
        </w:tc>
        <w:tc>
          <w:tcPr>
            <w:tcW w:w="1800" w:type="dxa"/>
            <w:gridSpan w:val="2"/>
            <w:tcBorders>
              <w:top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Женщины</w:t>
            </w:r>
          </w:p>
        </w:tc>
        <w:tc>
          <w:tcPr>
            <w:tcW w:w="1897" w:type="dxa"/>
            <w:gridSpan w:val="2"/>
            <w:tcBorders>
              <w:top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Мужчины</w:t>
            </w:r>
          </w:p>
        </w:tc>
        <w:tc>
          <w:tcPr>
            <w:tcW w:w="1843" w:type="dxa"/>
            <w:gridSpan w:val="2"/>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Всего</w:t>
            </w:r>
          </w:p>
        </w:tc>
      </w:tr>
      <w:tr w:rsidR="00000000">
        <w:tblPrEx>
          <w:tblCellMar>
            <w:top w:w="0" w:type="dxa"/>
            <w:bottom w:w="0" w:type="dxa"/>
          </w:tblCellMar>
        </w:tblPrEx>
        <w:trPr>
          <w:cantSplit/>
        </w:trPr>
        <w:tc>
          <w:tcPr>
            <w:tcW w:w="2540" w:type="dxa"/>
            <w:vMerge/>
            <w:tcBorders>
              <w:top w:val="single" w:sz="4" w:space="0" w:color="auto"/>
              <w:left w:val="single" w:sz="4" w:space="0" w:color="auto"/>
              <w:bottom w:val="single" w:sz="4" w:space="0" w:color="auto"/>
            </w:tcBorders>
          </w:tcPr>
          <w:p w:rsidR="00000000" w:rsidRDefault="00000000">
            <w:pPr>
              <w:spacing w:before="60" w:after="20" w:line="240" w:lineRule="auto"/>
              <w:rPr>
                <w:rFonts w:ascii="Arial" w:hAnsi="Arial"/>
                <w:sz w:val="16"/>
              </w:rPr>
            </w:pPr>
          </w:p>
        </w:tc>
        <w:tc>
          <w:tcPr>
            <w:tcW w:w="1004" w:type="dxa"/>
            <w:tcBorders>
              <w:top w:val="nil"/>
            </w:tcBorders>
          </w:tcPr>
          <w:p w:rsidR="00000000" w:rsidRDefault="00000000">
            <w:pPr>
              <w:spacing w:before="60" w:after="20" w:line="240" w:lineRule="auto"/>
              <w:jc w:val="center"/>
              <w:rPr>
                <w:rFonts w:ascii="Arial" w:hAnsi="Arial"/>
                <w:sz w:val="16"/>
              </w:rPr>
            </w:pPr>
            <w:r>
              <w:rPr>
                <w:rFonts w:ascii="Arial" w:hAnsi="Arial"/>
                <w:sz w:val="16"/>
              </w:rPr>
              <w:t>занятость</w:t>
            </w:r>
          </w:p>
        </w:tc>
        <w:tc>
          <w:tcPr>
            <w:tcW w:w="796" w:type="dxa"/>
            <w:tcBorders>
              <w:top w:val="nil"/>
            </w:tcBorders>
          </w:tcPr>
          <w:p w:rsidR="00000000" w:rsidRDefault="00000000">
            <w:pPr>
              <w:spacing w:before="60" w:after="20" w:line="240" w:lineRule="auto"/>
              <w:jc w:val="center"/>
              <w:rPr>
                <w:rFonts w:ascii="Arial" w:hAnsi="Arial"/>
                <w:sz w:val="16"/>
              </w:rPr>
            </w:pPr>
            <w:r>
              <w:rPr>
                <w:rFonts w:ascii="Arial" w:hAnsi="Arial"/>
                <w:sz w:val="16"/>
              </w:rPr>
              <w:t>участие</w:t>
            </w:r>
          </w:p>
        </w:tc>
        <w:tc>
          <w:tcPr>
            <w:tcW w:w="1047" w:type="dxa"/>
            <w:tcBorders>
              <w:top w:val="nil"/>
            </w:tcBorders>
          </w:tcPr>
          <w:p w:rsidR="00000000" w:rsidRDefault="00000000">
            <w:pPr>
              <w:spacing w:before="60" w:after="20" w:line="240" w:lineRule="auto"/>
              <w:jc w:val="center"/>
              <w:rPr>
                <w:rFonts w:ascii="Arial" w:hAnsi="Arial"/>
                <w:sz w:val="16"/>
              </w:rPr>
            </w:pPr>
            <w:r>
              <w:rPr>
                <w:rFonts w:ascii="Arial" w:hAnsi="Arial"/>
                <w:sz w:val="16"/>
              </w:rPr>
              <w:t>занятость</w:t>
            </w:r>
          </w:p>
        </w:tc>
        <w:tc>
          <w:tcPr>
            <w:tcW w:w="850" w:type="dxa"/>
            <w:tcBorders>
              <w:top w:val="nil"/>
            </w:tcBorders>
          </w:tcPr>
          <w:p w:rsidR="00000000" w:rsidRDefault="00000000">
            <w:pPr>
              <w:spacing w:before="60" w:after="20" w:line="240" w:lineRule="auto"/>
              <w:jc w:val="center"/>
              <w:rPr>
                <w:rFonts w:ascii="Arial" w:hAnsi="Arial"/>
                <w:sz w:val="16"/>
              </w:rPr>
            </w:pPr>
            <w:r>
              <w:rPr>
                <w:rFonts w:ascii="Arial" w:hAnsi="Arial"/>
                <w:sz w:val="16"/>
              </w:rPr>
              <w:t>участие</w:t>
            </w:r>
          </w:p>
        </w:tc>
        <w:tc>
          <w:tcPr>
            <w:tcW w:w="993" w:type="dxa"/>
            <w:tcBorders>
              <w:top w:val="nil"/>
            </w:tcBorders>
          </w:tcPr>
          <w:p w:rsidR="00000000" w:rsidRDefault="00000000">
            <w:pPr>
              <w:spacing w:before="60" w:after="20" w:line="240" w:lineRule="auto"/>
              <w:jc w:val="center"/>
              <w:rPr>
                <w:rFonts w:ascii="Arial" w:hAnsi="Arial"/>
                <w:sz w:val="16"/>
              </w:rPr>
            </w:pPr>
            <w:r>
              <w:rPr>
                <w:rFonts w:ascii="Arial" w:hAnsi="Arial"/>
                <w:sz w:val="16"/>
              </w:rPr>
              <w:t>занятость</w:t>
            </w:r>
          </w:p>
        </w:tc>
        <w:tc>
          <w:tcPr>
            <w:tcW w:w="850" w:type="dxa"/>
            <w:tcBorders>
              <w:top w:val="nil"/>
              <w:right w:val="single" w:sz="4" w:space="0" w:color="auto"/>
            </w:tcBorders>
          </w:tcPr>
          <w:p w:rsidR="00000000" w:rsidRDefault="00000000">
            <w:pPr>
              <w:spacing w:before="60" w:after="20" w:line="240" w:lineRule="auto"/>
              <w:jc w:val="center"/>
              <w:rPr>
                <w:rFonts w:ascii="Arial" w:hAnsi="Arial"/>
                <w:sz w:val="16"/>
              </w:rPr>
            </w:pPr>
            <w:r>
              <w:rPr>
                <w:rFonts w:ascii="Arial" w:hAnsi="Arial"/>
                <w:sz w:val="16"/>
              </w:rPr>
              <w:t>участие</w:t>
            </w:r>
          </w:p>
        </w:tc>
      </w:tr>
      <w:tr w:rsidR="00000000">
        <w:tblPrEx>
          <w:tblCellMar>
            <w:top w:w="0" w:type="dxa"/>
            <w:bottom w:w="0" w:type="dxa"/>
          </w:tblCellMar>
        </w:tblPrEx>
        <w:trPr>
          <w:cantSplit/>
        </w:trPr>
        <w:tc>
          <w:tcPr>
            <w:tcW w:w="2540"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2-й квартал 1998 года</w:t>
            </w:r>
          </w:p>
        </w:tc>
        <w:tc>
          <w:tcPr>
            <w:tcW w:w="1004"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18,8</w:t>
            </w:r>
          </w:p>
        </w:tc>
        <w:tc>
          <w:tcPr>
            <w:tcW w:w="796"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46,5</w:t>
            </w:r>
          </w:p>
        </w:tc>
        <w:tc>
          <w:tcPr>
            <w:tcW w:w="1047"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10,1</w:t>
            </w:r>
          </w:p>
        </w:tc>
        <w:tc>
          <w:tcPr>
            <w:tcW w:w="850"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75,5</w:t>
            </w:r>
          </w:p>
        </w:tc>
        <w:tc>
          <w:tcPr>
            <w:tcW w:w="993"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13,4</w:t>
            </w:r>
          </w:p>
        </w:tc>
        <w:tc>
          <w:tcPr>
            <w:tcW w:w="850" w:type="dxa"/>
            <w:tcBorders>
              <w:right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61,4</w:t>
            </w:r>
          </w:p>
        </w:tc>
      </w:tr>
      <w:tr w:rsidR="00000000">
        <w:tblPrEx>
          <w:tblCellMar>
            <w:top w:w="0" w:type="dxa"/>
            <w:bottom w:w="0" w:type="dxa"/>
          </w:tblCellMar>
        </w:tblPrEx>
        <w:trPr>
          <w:cantSplit/>
        </w:trPr>
        <w:tc>
          <w:tcPr>
            <w:tcW w:w="2540"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3-й квартал 1998 года</w:t>
            </w:r>
          </w:p>
        </w:tc>
        <w:tc>
          <w:tcPr>
            <w:tcW w:w="1004"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18,0</w:t>
            </w:r>
          </w:p>
        </w:tc>
        <w:tc>
          <w:tcPr>
            <w:tcW w:w="796"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47,9</w:t>
            </w:r>
          </w:p>
        </w:tc>
        <w:tc>
          <w:tcPr>
            <w:tcW w:w="1047"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11,1</w:t>
            </w:r>
          </w:p>
        </w:tc>
        <w:tc>
          <w:tcPr>
            <w:tcW w:w="850"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75,6</w:t>
            </w:r>
          </w:p>
        </w:tc>
        <w:tc>
          <w:tcPr>
            <w:tcW w:w="993"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13,8</w:t>
            </w:r>
          </w:p>
        </w:tc>
        <w:tc>
          <w:tcPr>
            <w:tcW w:w="850" w:type="dxa"/>
            <w:tcBorders>
              <w:right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61,8</w:t>
            </w:r>
          </w:p>
        </w:tc>
      </w:tr>
      <w:tr w:rsidR="00000000">
        <w:tblPrEx>
          <w:tblCellMar>
            <w:top w:w="0" w:type="dxa"/>
            <w:bottom w:w="0" w:type="dxa"/>
          </w:tblCellMar>
        </w:tblPrEx>
        <w:trPr>
          <w:cantSplit/>
        </w:trPr>
        <w:tc>
          <w:tcPr>
            <w:tcW w:w="2540"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4-й квартал 1998 года</w:t>
            </w:r>
          </w:p>
        </w:tc>
        <w:tc>
          <w:tcPr>
            <w:tcW w:w="1004"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20,3</w:t>
            </w:r>
          </w:p>
        </w:tc>
        <w:tc>
          <w:tcPr>
            <w:tcW w:w="796"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47,2</w:t>
            </w:r>
          </w:p>
        </w:tc>
        <w:tc>
          <w:tcPr>
            <w:tcW w:w="1047"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11,9</w:t>
            </w:r>
          </w:p>
        </w:tc>
        <w:tc>
          <w:tcPr>
            <w:tcW w:w="850"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752</w:t>
            </w:r>
          </w:p>
        </w:tc>
        <w:tc>
          <w:tcPr>
            <w:tcW w:w="993" w:type="dxa"/>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15,1</w:t>
            </w:r>
          </w:p>
        </w:tc>
        <w:tc>
          <w:tcPr>
            <w:tcW w:w="850" w:type="dxa"/>
            <w:tcBorders>
              <w:right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61,2</w:t>
            </w:r>
          </w:p>
        </w:tc>
      </w:tr>
      <w:tr w:rsidR="00000000">
        <w:tblPrEx>
          <w:tblCellMar>
            <w:top w:w="0" w:type="dxa"/>
            <w:bottom w:w="0" w:type="dxa"/>
          </w:tblCellMar>
        </w:tblPrEx>
        <w:trPr>
          <w:cantSplit/>
        </w:trPr>
        <w:tc>
          <w:tcPr>
            <w:tcW w:w="2540" w:type="dxa"/>
            <w:tcBorders>
              <w:top w:val="single" w:sz="4" w:space="0" w:color="auto"/>
              <w:left w:val="single" w:sz="4" w:space="0" w:color="auto"/>
              <w:bottom w:val="nil"/>
            </w:tcBorders>
          </w:tcPr>
          <w:p w:rsidR="00000000" w:rsidRDefault="00000000">
            <w:pPr>
              <w:spacing w:before="80" w:after="20" w:line="240" w:lineRule="auto"/>
              <w:jc w:val="center"/>
              <w:rPr>
                <w:rFonts w:ascii="Arial" w:hAnsi="Arial"/>
                <w:sz w:val="16"/>
              </w:rPr>
            </w:pPr>
            <w:r>
              <w:rPr>
                <w:rFonts w:ascii="Arial" w:hAnsi="Arial"/>
                <w:sz w:val="16"/>
              </w:rPr>
              <w:t>1-й квартал 1999 года</w:t>
            </w:r>
          </w:p>
        </w:tc>
        <w:tc>
          <w:tcPr>
            <w:tcW w:w="1004" w:type="dxa"/>
            <w:tcBorders>
              <w:bottom w:val="nil"/>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18,6</w:t>
            </w:r>
          </w:p>
        </w:tc>
        <w:tc>
          <w:tcPr>
            <w:tcW w:w="796" w:type="dxa"/>
            <w:tcBorders>
              <w:bottom w:val="nil"/>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46,7</w:t>
            </w:r>
          </w:p>
        </w:tc>
        <w:tc>
          <w:tcPr>
            <w:tcW w:w="1047" w:type="dxa"/>
            <w:tcBorders>
              <w:bottom w:val="nil"/>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11,3</w:t>
            </w:r>
          </w:p>
        </w:tc>
        <w:tc>
          <w:tcPr>
            <w:tcW w:w="850" w:type="dxa"/>
            <w:tcBorders>
              <w:bottom w:val="nil"/>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75,9</w:t>
            </w:r>
          </w:p>
        </w:tc>
        <w:tc>
          <w:tcPr>
            <w:tcW w:w="993" w:type="dxa"/>
            <w:tcBorders>
              <w:bottom w:val="nil"/>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14,1</w:t>
            </w:r>
          </w:p>
        </w:tc>
        <w:tc>
          <w:tcPr>
            <w:tcW w:w="850" w:type="dxa"/>
            <w:tcBorders>
              <w:bottom w:val="nil"/>
              <w:right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61,3</w:t>
            </w:r>
          </w:p>
        </w:tc>
      </w:tr>
      <w:tr w:rsidR="00000000">
        <w:tblPrEx>
          <w:tblCellMar>
            <w:top w:w="0" w:type="dxa"/>
            <w:bottom w:w="0" w:type="dxa"/>
          </w:tblCellMar>
        </w:tblPrEx>
        <w:trPr>
          <w:cantSplit/>
        </w:trPr>
        <w:tc>
          <w:tcPr>
            <w:tcW w:w="2540"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2-й квартал 1999 года</w:t>
            </w:r>
          </w:p>
        </w:tc>
        <w:tc>
          <w:tcPr>
            <w:tcW w:w="1004" w:type="dxa"/>
            <w:tcBorders>
              <w:top w:val="single" w:sz="4" w:space="0" w:color="auto"/>
              <w:bottom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14,9</w:t>
            </w:r>
          </w:p>
        </w:tc>
        <w:tc>
          <w:tcPr>
            <w:tcW w:w="796" w:type="dxa"/>
            <w:tcBorders>
              <w:top w:val="single" w:sz="4" w:space="0" w:color="auto"/>
              <w:bottom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47,1</w:t>
            </w:r>
          </w:p>
        </w:tc>
        <w:tc>
          <w:tcPr>
            <w:tcW w:w="1047" w:type="dxa"/>
            <w:tcBorders>
              <w:top w:val="single" w:sz="4" w:space="0" w:color="auto"/>
              <w:bottom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9,8</w:t>
            </w:r>
          </w:p>
        </w:tc>
        <w:tc>
          <w:tcPr>
            <w:tcW w:w="850" w:type="dxa"/>
            <w:tcBorders>
              <w:top w:val="single" w:sz="4" w:space="0" w:color="auto"/>
              <w:bottom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74,9</w:t>
            </w:r>
          </w:p>
        </w:tc>
        <w:tc>
          <w:tcPr>
            <w:tcW w:w="993" w:type="dxa"/>
            <w:tcBorders>
              <w:top w:val="single" w:sz="4" w:space="0" w:color="auto"/>
              <w:bottom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11,7</w:t>
            </w:r>
          </w:p>
        </w:tc>
        <w:tc>
          <w:tcPr>
            <w:tcW w:w="850" w:type="dxa"/>
            <w:tcBorders>
              <w:top w:val="single" w:sz="4" w:space="0" w:color="auto"/>
              <w:bottom w:val="single" w:sz="4" w:space="0" w:color="auto"/>
              <w:right w:val="single" w:sz="4" w:space="0" w:color="auto"/>
            </w:tcBorders>
          </w:tcPr>
          <w:p w:rsidR="00000000" w:rsidRDefault="00000000">
            <w:pPr>
              <w:tabs>
                <w:tab w:val="clear" w:pos="340"/>
                <w:tab w:val="clear" w:pos="680"/>
                <w:tab w:val="decimal" w:pos="454"/>
              </w:tabs>
              <w:spacing w:before="80" w:after="20" w:line="240" w:lineRule="auto"/>
              <w:rPr>
                <w:rFonts w:ascii="Arial" w:hAnsi="Arial"/>
                <w:sz w:val="16"/>
              </w:rPr>
            </w:pPr>
            <w:r>
              <w:rPr>
                <w:rFonts w:ascii="Arial" w:hAnsi="Arial"/>
                <w:sz w:val="16"/>
              </w:rPr>
              <w:t>61,1</w:t>
            </w:r>
          </w:p>
        </w:tc>
      </w:tr>
    </w:tbl>
    <w:p w:rsidR="00000000" w:rsidRDefault="00000000">
      <w:pPr>
        <w:spacing w:after="0"/>
      </w:pPr>
    </w:p>
    <w:p w:rsidR="00000000" w:rsidRDefault="00000000">
      <w:r>
        <w:t>259.</w:t>
      </w:r>
      <w:r>
        <w:tab/>
        <w:t>При сопоставлении уровней безработицы с уровнем образования соответствующие данные свидетельствуют о том, что среди женщин, получивших подготовку на уровне начального, среднего и высшего образования, отмечаются более высокие уровни безработицы, чем среди мужчин, имеющих аналогичную подготовку.</w:t>
      </w:r>
    </w:p>
    <w:p w:rsidR="00000000" w:rsidRDefault="00000000">
      <w:pPr>
        <w:tabs>
          <w:tab w:val="clear" w:pos="340"/>
          <w:tab w:val="clear" w:pos="680"/>
          <w:tab w:val="center" w:pos="3969"/>
        </w:tabs>
        <w:spacing w:before="120" w:after="0"/>
        <w:jc w:val="left"/>
        <w:rPr>
          <w:rFonts w:ascii="Arial" w:hAnsi="Arial"/>
          <w:b/>
        </w:rPr>
      </w:pPr>
      <w:r>
        <w:rPr>
          <w:noProof/>
          <w:sz w:val="16"/>
        </w:rPr>
        <w:pict>
          <v:shape id="_x0000_s1036" type="#_x0000_t202" style="position:absolute;margin-left:60.75pt;margin-top:33pt;width:18pt;height:128.25pt;z-index:9;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rPr>
                      <w:sz w:val="18"/>
                    </w:rPr>
                  </w:pPr>
                  <w:r>
                    <w:rPr>
                      <w:rFonts w:ascii="Arial" w:hAnsi="Arial"/>
                      <w:b/>
                      <w:sz w:val="18"/>
                      <w:lang w:val="en-US"/>
                    </w:rPr>
                    <w:t>Уровень образования</w:t>
                  </w:r>
                </w:p>
              </w:txbxContent>
            </v:textbox>
          </v:shape>
        </w:pict>
      </w:r>
      <w:r>
        <w:rPr>
          <w:rFonts w:ascii="Arial" w:hAnsi="Arial"/>
          <w:b/>
          <w:noProof/>
        </w:rPr>
        <w:pict>
          <v:rect id="_x0000_s1035" style="position:absolute;margin-left:37.1pt;margin-top:-7.6pt;width:372pt;height:194.25pt;z-index:-7;mso-position-horizontal:absolute;mso-position-horizontal-relative:text;mso-position-vertical:absolute;mso-position-vertical-relative:text" o:allowincell="f"/>
        </w:pict>
      </w:r>
      <w:r>
        <w:rPr>
          <w:noProof/>
        </w:rPr>
        <w:pict>
          <v:shape id="_x0000_s1032" type="#_x0000_t75" style="position:absolute;margin-left:69pt;margin-top:35.25pt;width:325.45pt;height:144.7pt;z-index:7;mso-position-horizontal:absolute;mso-position-horizontal-relative:text;mso-position-vertical:absolute;mso-position-vertical-relative:text" o:allowincell="f">
            <v:imagedata r:id="rId19" o:title=""/>
            <w10:wrap type="topAndBottom"/>
          </v:shape>
          <o:OLEObject Type="Embed" ProgID="MSGraph.Chart.8" ShapeID="_x0000_s1032" DrawAspect="Content" ObjectID="_1444042783" r:id="rId20">
            <o:FieldCodes>\s</o:FieldCodes>
          </o:OLEObject>
        </w:pict>
      </w:r>
      <w:r>
        <w:rPr>
          <w:rFonts w:ascii="Arial" w:hAnsi="Arial"/>
          <w:b/>
        </w:rPr>
        <w:tab/>
        <w:t xml:space="preserve">Процент безработных мужчин и женщин </w:t>
      </w:r>
    </w:p>
    <w:p w:rsidR="00000000" w:rsidRDefault="00000000">
      <w:pPr>
        <w:tabs>
          <w:tab w:val="clear" w:pos="340"/>
          <w:tab w:val="clear" w:pos="680"/>
          <w:tab w:val="center" w:pos="3969"/>
        </w:tabs>
        <w:spacing w:after="0"/>
        <w:jc w:val="left"/>
        <w:rPr>
          <w:rFonts w:ascii="Arial" w:hAnsi="Arial"/>
          <w:b/>
        </w:rPr>
      </w:pPr>
      <w:r>
        <w:rPr>
          <w:rFonts w:ascii="Arial" w:hAnsi="Arial"/>
          <w:b/>
        </w:rPr>
        <w:tab/>
        <w:t>в зависимости от уровня образования</w:t>
      </w:r>
    </w:p>
    <w:p w:rsidR="00000000" w:rsidRDefault="00000000">
      <w:pPr>
        <w:spacing w:after="360"/>
        <w:rPr>
          <w:lang w:val="en-US"/>
        </w:rPr>
      </w:pPr>
      <w:r>
        <w:rPr>
          <w:noProof/>
        </w:rPr>
        <w:pict>
          <v:shape id="_x0000_s1037" type="#_x0000_t202" style="position:absolute;left:0;text-align:left;margin-left:101.25pt;margin-top:147.75pt;width:213.75pt;height:10.5pt;z-index:10;mso-position-horizontal:absolute;mso-position-horizontal-relative:text;mso-position-vertical:absolute;mso-position-vertical-relative:text" o:allowincell="f" filled="f" stroked="f">
            <v:textbox inset="0,0,0,0">
              <w:txbxContent>
                <w:p w:rsidR="00000000" w:rsidRDefault="00000000">
                  <w:pPr>
                    <w:jc w:val="center"/>
                    <w:rPr>
                      <w:sz w:val="18"/>
                    </w:rPr>
                  </w:pPr>
                  <w:r>
                    <w:rPr>
                      <w:rFonts w:ascii="Arial" w:hAnsi="Arial"/>
                      <w:b/>
                      <w:sz w:val="18"/>
                    </w:rPr>
                    <w:t>Процент безработных</w:t>
                  </w:r>
                </w:p>
              </w:txbxContent>
            </v:textbox>
            <w10:wrap type="square"/>
          </v:shape>
        </w:pict>
      </w:r>
    </w:p>
    <w:p w:rsidR="00000000" w:rsidRDefault="00000000">
      <w:r>
        <w:t>260.</w:t>
      </w:r>
      <w:r>
        <w:tab/>
        <w:t xml:space="preserve">Официальная статистика о числе женщин, занятых на низкооплачиваемой работе и неполный рабочий день, а также о женщинах-мигрантах и женщинах, работающих на дому, отсутствует. </w:t>
      </w:r>
    </w:p>
    <w:p w:rsidR="00000000" w:rsidRDefault="00000000">
      <w:r>
        <w:t>261.</w:t>
      </w:r>
      <w:r>
        <w:tab/>
        <w:t xml:space="preserve">Что касается рабочих, не состоящих в профсоюзах, то Министерство труда и кооперативов уполномочено на основании закона о минимальной заработной плате № 35 1976 года (с поправками) устанавливать размер минимальной заработной платы, а также условия и обстоятельства трудовой деятельности "для любой категории рабочих в конкретной отрасли или на предприятии либо устанавливать государственную минимальную заработную плату для рабочих в целом" на тот случай, если рабочий или работница сочтут необходимым воспользоваться этим. </w:t>
      </w:r>
    </w:p>
    <w:p w:rsidR="00000000" w:rsidRDefault="00000000">
      <w:r>
        <w:t>262.</w:t>
      </w:r>
      <w:r>
        <w:tab/>
        <w:t>Условия и обстоятельства работы надомников и помощников по хозяйству регулируются законом о минимальной заработной плате, глава 88:04, и законом об охране материнства № 4 1998 года. Эти законодательные акты устанавливают минимальную заработную плату и определяют другие условия и обстоятельства работы, включая часы работы, отпуск по болезни, очередной отпуск и пособия по беременности и родам. Распоряжение о минимальной заработной плате, распространяющееся на надомников, вступило в силу в 1979 году, однако им не был предусмотрен отпуск по беременности и родам. Распоряжение о минимальной заработной плате (помощники по хозяйству) 1991 года заменило собой распоряжение 1979 года, поскольку им предусматривался оплачиваемый отпуск по беременности и родам и увеличение минимальной заработной платы. В 1998 году была установлена государственная минимальная заработная плата на основании нового распоряжения о минимальной заработной плате, которым определяется уровень минимальной заработной платы на территории всей страны для всех рабочих Тринидада и Тобаго, включая работников домохозяйств. В разделе 2 закона о минимальной заработной плате работник определяется как "лицо, получающее заработную плату от своего работодателя за выполняемую им работу, включая надомника", которого закон характеризует как "лицо, которое получает вещи или материалы для изготовления, чистки, стирки, переделки, отделки, завершения работ или ремонта либо для подготовки их к продаже у себя дома или в другом помещении, на которое не распространяется административное управление лица, предоставившего вещи или материалы". В соответствии с законом о минимальной заработной плате работодатель обязан вести документацию в течение как минимум трех лет, и уполномоченные лица имеют право проверять эту документацию. Любое нарушение положений, содержащихся в законе или распоряжении, является правонарушением, в отношении которого может быть подан иск в суд магистрата. Обеспечить применение этих документов на практике оказалось трудным делом. Надомники, как правило, не используют данные средства судебной защиты. В результате они сообщают о невыплате им частью работодателей установленной минимальной заработной платы в размере 7 долл. ТТ в час. Кроме того, по словам президента Национального союза надомных работников, несмотря на наличие соответствующего законодательства, беременность по-прежнему является распространенной причиной увольнения надомниц. Бóльшая часть этих работниц не нанимаются вторично по окончании отпуска по беременности и родам, и их отпуск не оплачивается.</w:t>
      </w:r>
    </w:p>
    <w:p w:rsidR="00000000" w:rsidRDefault="00000000">
      <w:pPr>
        <w:spacing w:after="200" w:line="220" w:lineRule="exact"/>
      </w:pPr>
      <w:r>
        <w:t>263.</w:t>
      </w:r>
      <w:r>
        <w:tab/>
        <w:t>Национальный союз надомных работников (</w:t>
      </w:r>
      <w:r>
        <w:rPr>
          <w:lang w:val="en-US"/>
        </w:rPr>
        <w:t>NUDE</w:t>
      </w:r>
      <w:r>
        <w:t xml:space="preserve">) – единственный профсоюз в Тринидаде и Тобаго, который был создан с конкретной целью организовывать и представлять надомных работников. Этот профсоюз признает ограниченность финансовых ресурсов и тот факт, что определение "рабочий", приведенное в законе о трудовых отношениях в промышленности, глава 88:01, не включает "надомного работника", что создает серьезные препятствия для надомных работников в стране. Пунктом 2 (3) </w:t>
      </w:r>
      <w:r>
        <w:rPr>
          <w:lang w:val="en-US"/>
        </w:rPr>
        <w:t>f</w:t>
      </w:r>
      <w:r>
        <w:t xml:space="preserve">) этого закона предусматривается, что "в контексте данного Закона никакое лицо не считается рабочим, если оно: занято в любом качестве на надомной работе… в частном жилом доме или на прилегающей к нему территории и получает заработную плату от его владельца". Так как надомные работники не считаются рабочими в соответствии с этим законом, они не имеют возможности стать участниками процесса заключения коллективных договоров. Еще одно последствие вышеприведенного толкования заключается в том, что надомники лишены права защиты от преследования за профсоюзную деятельность, что является прямым результатом их исключения из категории рабочих. Вследствие этого, как сообщает </w:t>
      </w:r>
      <w:r>
        <w:rPr>
          <w:lang w:val="en-US"/>
        </w:rPr>
        <w:t>NUDE</w:t>
      </w:r>
      <w:r>
        <w:t>, надомные работники, как правило, не пользуются преимуществами системы государственного страхования, которая предусматривает выплату денежных пособий на случай болезни, беременности и родов, безработицы, травмы, выхода на пенсию, тяжелого материального положения и похорон. Они также не получают на практике никаких льгот, установленных распоряжением о государственной минимальной заработной плате. Более того, лишаясь работы, они, как правило, не получают уведомления об увольнении или компенсации. Для изменения этой практики Национальный союз надомных работников указал на необходимость проведения законодательной реформы, предусматривающей включение специального и всеобъемлющего определения понятия "надомный работник", и принятия инструкции, конкретно устанавливающей объем обязанностей надомника и условия выполнения надомной работы. В законопроекте об основных условиях труда 2000 года предлагается предусмотреть, в частности, положения о часах работы, оплачиваемом отпуске, занятости и вознаграждении, прекращении работы, защите на случай нетрудоспособности и сексуального домогательства. Эти положения будут распространяться на всех надомных работников.</w:t>
      </w:r>
    </w:p>
    <w:p w:rsidR="00000000" w:rsidRDefault="00000000">
      <w:pPr>
        <w:spacing w:after="0"/>
        <w:ind w:left="680" w:hanging="680"/>
        <w:jc w:val="left"/>
      </w:pPr>
      <w:r>
        <w:t>264.</w:t>
      </w:r>
      <w:r>
        <w:tab/>
      </w:r>
      <w:r>
        <w:rPr>
          <w:b/>
        </w:rPr>
        <w:t>Процентная доля женщин, занятых на оплачиваемой работе, с разбивкой по отраслям промышленности, 1991–1995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907"/>
        <w:gridCol w:w="907"/>
        <w:gridCol w:w="907"/>
        <w:gridCol w:w="907"/>
        <w:gridCol w:w="907"/>
      </w:tblGrid>
      <w:tr w:rsidR="00000000">
        <w:tblPrEx>
          <w:tblCellMar>
            <w:top w:w="0" w:type="dxa"/>
            <w:bottom w:w="0" w:type="dxa"/>
          </w:tblCellMar>
        </w:tblPrEx>
        <w:tc>
          <w:tcPr>
            <w:tcW w:w="4423" w:type="dxa"/>
          </w:tcPr>
          <w:p w:rsidR="00000000" w:rsidRDefault="00000000">
            <w:pPr>
              <w:spacing w:before="40" w:after="0" w:line="180" w:lineRule="exact"/>
              <w:jc w:val="center"/>
              <w:rPr>
                <w:rFonts w:ascii="Arial" w:hAnsi="Arial"/>
                <w:sz w:val="16"/>
              </w:rPr>
            </w:pPr>
            <w:r>
              <w:rPr>
                <w:rFonts w:ascii="Arial" w:hAnsi="Arial"/>
                <w:sz w:val="16"/>
              </w:rPr>
              <w:t>Отрасль промышленности</w:t>
            </w:r>
          </w:p>
        </w:tc>
        <w:tc>
          <w:tcPr>
            <w:tcW w:w="907" w:type="dxa"/>
          </w:tcPr>
          <w:p w:rsidR="00000000" w:rsidRDefault="00000000">
            <w:pPr>
              <w:spacing w:before="40" w:after="0" w:line="180" w:lineRule="exact"/>
              <w:jc w:val="center"/>
              <w:rPr>
                <w:rFonts w:ascii="Arial" w:hAnsi="Arial"/>
                <w:sz w:val="16"/>
              </w:rPr>
            </w:pPr>
            <w:r>
              <w:rPr>
                <w:rFonts w:ascii="Arial" w:hAnsi="Arial"/>
                <w:sz w:val="16"/>
              </w:rPr>
              <w:t>1991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1992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1993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1994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1995 год</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Сахарная промышленность (возделывание и производство)</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0,6</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Сельское хозяйство, лесное хозяйство, охотничий промысел и рыболовство</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 xml:space="preserve">Нефтегазовая промышленность </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0,6</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0,5</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0,5</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0,6</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0,9</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Другие горнодобывающие отрасли</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0,0</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0,0</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0,0</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0,0</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0,0</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Другие производства (включая сахарную и нефтедобывающую отрасли)</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4,1</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4,0</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3,8</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3,4</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Электроэнергетика и водоснабжение</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0,3</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Строительство</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3,1</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3,7</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3,8</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1,2</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Оптовая и розничная торговля, ресторанный и гостиничный бизнес</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7,5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7,8</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7,7</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62</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7,9</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Транспорт, хранение и связь</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1,2</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12</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1,5</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1,5</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 xml:space="preserve">Финансы, страхование, услуги, связанные с недвижимостью и бизнесом </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4,2</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4,0</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3,6</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4,1</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Общинные, социальные и личные услуги</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15,0</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16,1</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16,9</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17,8</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17,3</w:t>
            </w:r>
          </w:p>
        </w:tc>
      </w:tr>
    </w:tbl>
    <w:p w:rsidR="00000000" w:rsidRDefault="00000000">
      <w:pPr>
        <w:spacing w:before="120" w:after="0"/>
        <w:ind w:left="680" w:hanging="680"/>
        <w:jc w:val="left"/>
      </w:pPr>
      <w:r>
        <w:t>265.</w:t>
      </w:r>
      <w:r>
        <w:tab/>
      </w:r>
      <w:r>
        <w:rPr>
          <w:b/>
        </w:rPr>
        <w:t xml:space="preserve">Доля неоплачиваемого женского труда с разбивкой по отраслям промышленности </w:t>
      </w:r>
      <w:r>
        <w:rPr>
          <w:b/>
        </w:rPr>
        <w:br/>
        <w:t>(1991–1995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907"/>
        <w:gridCol w:w="907"/>
        <w:gridCol w:w="907"/>
        <w:gridCol w:w="907"/>
        <w:gridCol w:w="907"/>
      </w:tblGrid>
      <w:tr w:rsidR="00000000">
        <w:tblPrEx>
          <w:tblCellMar>
            <w:top w:w="0" w:type="dxa"/>
            <w:bottom w:w="0" w:type="dxa"/>
          </w:tblCellMar>
        </w:tblPrEx>
        <w:tc>
          <w:tcPr>
            <w:tcW w:w="4423" w:type="dxa"/>
          </w:tcPr>
          <w:p w:rsidR="00000000" w:rsidRDefault="00000000">
            <w:pPr>
              <w:spacing w:before="40" w:after="0" w:line="180" w:lineRule="exact"/>
              <w:jc w:val="center"/>
              <w:rPr>
                <w:rFonts w:ascii="Arial" w:hAnsi="Arial"/>
                <w:sz w:val="16"/>
              </w:rPr>
            </w:pPr>
            <w:r>
              <w:rPr>
                <w:rFonts w:ascii="Arial" w:hAnsi="Arial"/>
                <w:sz w:val="16"/>
              </w:rPr>
              <w:t>Отрасль промышленности</w:t>
            </w:r>
          </w:p>
        </w:tc>
        <w:tc>
          <w:tcPr>
            <w:tcW w:w="907" w:type="dxa"/>
          </w:tcPr>
          <w:p w:rsidR="00000000" w:rsidRDefault="00000000">
            <w:pPr>
              <w:spacing w:before="40" w:after="0" w:line="180" w:lineRule="exact"/>
              <w:jc w:val="center"/>
              <w:rPr>
                <w:rFonts w:ascii="Arial" w:hAnsi="Arial"/>
                <w:sz w:val="16"/>
              </w:rPr>
            </w:pPr>
            <w:r>
              <w:rPr>
                <w:rFonts w:ascii="Arial" w:hAnsi="Arial"/>
                <w:sz w:val="16"/>
              </w:rPr>
              <w:t>1991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1992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1993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1994 год</w:t>
            </w:r>
          </w:p>
        </w:tc>
        <w:tc>
          <w:tcPr>
            <w:tcW w:w="907" w:type="dxa"/>
          </w:tcPr>
          <w:p w:rsidR="00000000" w:rsidRDefault="00000000">
            <w:pPr>
              <w:spacing w:before="40" w:after="0" w:line="180" w:lineRule="exact"/>
              <w:jc w:val="center"/>
              <w:rPr>
                <w:rFonts w:ascii="Arial" w:hAnsi="Arial"/>
                <w:sz w:val="16"/>
              </w:rPr>
            </w:pPr>
            <w:r>
              <w:rPr>
                <w:rFonts w:ascii="Arial" w:hAnsi="Arial"/>
                <w:sz w:val="16"/>
              </w:rPr>
              <w:t>1995 год</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Сахарная промышленность (возделывание и производство)</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1,4</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4,1</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2,9</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Сельское хозяйство, лесное хозяйство, охотничий промысел и рыболовство</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25,4</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20,5</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22,4</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25,8</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24,3</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Нефтегазовая отрасль</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Другие горнодобывающие отрасли</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Другие производства (включая сахарную и нефтяную отрасли)</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1,4</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3,4</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1,9</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1,4</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Электроэнергетика и водоснабжение</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Строительство</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Оптовая и розничная торговля, ресторанный и гостиничный бизнес</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26,8</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26,0</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29,6</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32,9</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31,4</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Транспорт, хранение и связь</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Финансы, страхование, услуги, связанные с недвижимостью и бизнесом</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c>
          <w:tcPr>
            <w:tcW w:w="907" w:type="dxa"/>
            <w:vAlign w:val="bottom"/>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0,7</w:t>
            </w:r>
          </w:p>
        </w:tc>
      </w:tr>
      <w:tr w:rsidR="00000000">
        <w:tblPrEx>
          <w:tblCellMar>
            <w:top w:w="0" w:type="dxa"/>
            <w:bottom w:w="0" w:type="dxa"/>
          </w:tblCellMar>
        </w:tblPrEx>
        <w:tc>
          <w:tcPr>
            <w:tcW w:w="4423" w:type="dxa"/>
          </w:tcPr>
          <w:p w:rsidR="00000000" w:rsidRDefault="00000000">
            <w:pPr>
              <w:spacing w:after="0" w:line="180" w:lineRule="exact"/>
              <w:jc w:val="left"/>
              <w:rPr>
                <w:rFonts w:ascii="Arial" w:hAnsi="Arial"/>
                <w:sz w:val="16"/>
              </w:rPr>
            </w:pPr>
            <w:r>
              <w:rPr>
                <w:rFonts w:ascii="Arial" w:hAnsi="Arial"/>
                <w:sz w:val="16"/>
              </w:rPr>
              <w:t>Общинные, социальные и личные услуги</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4,3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5,5</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5,3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1,3</w:t>
            </w:r>
          </w:p>
        </w:tc>
        <w:tc>
          <w:tcPr>
            <w:tcW w:w="907" w:type="dxa"/>
          </w:tcPr>
          <w:p w:rsidR="00000000" w:rsidRDefault="00000000">
            <w:pPr>
              <w:tabs>
                <w:tab w:val="clear" w:pos="340"/>
                <w:tab w:val="clear" w:pos="680"/>
                <w:tab w:val="decimal" w:pos="454"/>
              </w:tabs>
              <w:spacing w:after="0" w:line="180" w:lineRule="exact"/>
              <w:rPr>
                <w:rFonts w:ascii="Arial" w:hAnsi="Arial"/>
                <w:sz w:val="16"/>
              </w:rPr>
            </w:pPr>
            <w:r>
              <w:rPr>
                <w:rFonts w:ascii="Arial" w:hAnsi="Arial"/>
                <w:sz w:val="16"/>
              </w:rPr>
              <w:t>3,6</w:t>
            </w:r>
          </w:p>
        </w:tc>
      </w:tr>
    </w:tbl>
    <w:p w:rsidR="00000000" w:rsidRDefault="00000000">
      <w:r>
        <w:t>266.</w:t>
      </w:r>
      <w:r>
        <w:tab/>
        <w:t>Официальная статистика относительно неоплачиваемого женского труда в сельских/городских районах, отсутствует.</w:t>
      </w:r>
    </w:p>
    <w:p w:rsidR="00000000" w:rsidRDefault="00000000">
      <w:r>
        <w:t>267.</w:t>
      </w:r>
      <w:r>
        <w:tab/>
        <w:t>Отдел кооперативов Министерства труда и кооперативов активно содействует укреплению настроенности женщин на объединение в кооперативы, особенно в сельских общинах. В связи с этим Отдел осуществляет ряд учебных программ и помогает женщинам в создании кооперативов. Средства, накапливаемые в результате работы данных кооперативов, часто направляются на развитие и укрепление их статуса. Одним из направлений работы по совершенствованию деятельности кооперативов является повышение ее технической эффективности в целях улучшения условий труда.</w:t>
      </w:r>
    </w:p>
    <w:p w:rsidR="00000000" w:rsidRDefault="00000000">
      <w:r>
        <w:t>268.</w:t>
      </w:r>
      <w:r>
        <w:tab/>
        <w:t xml:space="preserve">Программа выплаты пособий по безработице в рамках программы подготовки женщин осуществлялась правительством в целях охвата нетрудоспособных и безработных женщин путем их подготовки к трудовой деятельности. Чтобы содействовать продуктивной занятости женщин и обеспечению надежных средств к существованию, предусматривалось обучение их тем трудовым навыкам, которые пользуются спросом на рынке рабочей силы. В целях оказания поддержки участницам программы учащимся выплачивались стипендии. К сожалению, выполнение этой программы было прекращено из-за нехватки финансовых средств.  </w:t>
      </w:r>
    </w:p>
    <w:p w:rsidR="00000000" w:rsidRDefault="00000000">
      <w:r>
        <w:t>269.</w:t>
      </w:r>
      <w:r>
        <w:tab/>
        <w:t>В 1996 году Министерство культуры и гендерных проблем приступило к осуществлению программы, которая была ориентирована на участие женщин и предусматривала их подготовку к трудовой деятельности в нетрадиционных областях, включая выполнение каменной кладки, слесарно-водопроводные работы, техническое черчение, чтение оттисков и строительные/плотничные работы. Министерство культуры и гендерных проблем намерено распространить эту программу на другие дисциплины.</w:t>
      </w:r>
    </w:p>
    <w:p w:rsidR="00000000" w:rsidRDefault="00000000">
      <w:pPr>
        <w:spacing w:after="0"/>
      </w:pPr>
      <w:r>
        <w:t>270.</w:t>
      </w:r>
      <w:r>
        <w:tab/>
      </w:r>
      <w:r>
        <w:rPr>
          <w:b/>
        </w:rPr>
        <w:t>Среднемесячный доход с разбивкой по полу, 1997–1999 годы</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56"/>
        <w:gridCol w:w="1701"/>
        <w:gridCol w:w="1701"/>
        <w:gridCol w:w="1701"/>
      </w:tblGrid>
      <w:tr w:rsidR="00000000">
        <w:tblPrEx>
          <w:tblCellMar>
            <w:top w:w="0" w:type="dxa"/>
            <w:left w:w="0" w:type="dxa"/>
            <w:bottom w:w="0" w:type="dxa"/>
            <w:right w:w="0" w:type="dxa"/>
          </w:tblCellMar>
        </w:tblPrEx>
        <w:trPr>
          <w:cantSplit/>
        </w:trPr>
        <w:tc>
          <w:tcPr>
            <w:tcW w:w="3856" w:type="dxa"/>
            <w:vMerge w:val="restart"/>
          </w:tcPr>
          <w:p w:rsidR="00000000" w:rsidRDefault="00000000">
            <w:pPr>
              <w:spacing w:before="80" w:after="0" w:line="240" w:lineRule="auto"/>
              <w:jc w:val="center"/>
              <w:rPr>
                <w:rFonts w:ascii="Arial" w:hAnsi="Arial"/>
                <w:sz w:val="16"/>
              </w:rPr>
            </w:pPr>
            <w:r>
              <w:rPr>
                <w:rFonts w:ascii="Arial" w:hAnsi="Arial"/>
                <w:sz w:val="16"/>
              </w:rPr>
              <w:t>ПОЛ</w:t>
            </w:r>
          </w:p>
        </w:tc>
        <w:tc>
          <w:tcPr>
            <w:tcW w:w="5103" w:type="dxa"/>
            <w:gridSpan w:val="3"/>
          </w:tcPr>
          <w:p w:rsidR="00000000" w:rsidRDefault="00000000">
            <w:pPr>
              <w:spacing w:before="80" w:after="0" w:line="240" w:lineRule="auto"/>
              <w:jc w:val="center"/>
              <w:rPr>
                <w:rFonts w:ascii="Arial" w:hAnsi="Arial"/>
                <w:sz w:val="16"/>
              </w:rPr>
            </w:pPr>
            <w:r>
              <w:rPr>
                <w:rFonts w:ascii="Arial" w:hAnsi="Arial"/>
                <w:sz w:val="16"/>
              </w:rPr>
              <w:t>ГОД</w:t>
            </w:r>
          </w:p>
        </w:tc>
      </w:tr>
      <w:tr w:rsidR="00000000">
        <w:tblPrEx>
          <w:tblCellMar>
            <w:top w:w="0" w:type="dxa"/>
            <w:left w:w="0" w:type="dxa"/>
            <w:bottom w:w="0" w:type="dxa"/>
            <w:right w:w="0" w:type="dxa"/>
          </w:tblCellMar>
        </w:tblPrEx>
        <w:trPr>
          <w:cantSplit/>
        </w:trPr>
        <w:tc>
          <w:tcPr>
            <w:tcW w:w="3856" w:type="dxa"/>
            <w:vMerge/>
          </w:tcPr>
          <w:p w:rsidR="00000000" w:rsidRDefault="00000000">
            <w:pPr>
              <w:spacing w:before="80" w:after="0" w:line="240" w:lineRule="auto"/>
              <w:rPr>
                <w:rFonts w:ascii="Arial" w:hAnsi="Arial"/>
                <w:sz w:val="16"/>
              </w:rPr>
            </w:pPr>
          </w:p>
        </w:tc>
        <w:tc>
          <w:tcPr>
            <w:tcW w:w="1701" w:type="dxa"/>
          </w:tcPr>
          <w:p w:rsidR="00000000" w:rsidRDefault="00000000">
            <w:pPr>
              <w:spacing w:before="80" w:after="0" w:line="240" w:lineRule="auto"/>
              <w:jc w:val="center"/>
              <w:rPr>
                <w:rFonts w:ascii="Arial" w:hAnsi="Arial"/>
                <w:sz w:val="16"/>
              </w:rPr>
            </w:pPr>
            <w:r>
              <w:rPr>
                <w:rFonts w:ascii="Arial" w:hAnsi="Arial"/>
                <w:sz w:val="16"/>
              </w:rPr>
              <w:t>1997 (долл. TT)</w:t>
            </w:r>
          </w:p>
        </w:tc>
        <w:tc>
          <w:tcPr>
            <w:tcW w:w="1701" w:type="dxa"/>
          </w:tcPr>
          <w:p w:rsidR="00000000" w:rsidRDefault="00000000">
            <w:pPr>
              <w:spacing w:before="80" w:after="0" w:line="240" w:lineRule="auto"/>
              <w:jc w:val="center"/>
              <w:rPr>
                <w:rFonts w:ascii="Arial" w:hAnsi="Arial"/>
                <w:sz w:val="16"/>
              </w:rPr>
            </w:pPr>
            <w:r>
              <w:rPr>
                <w:rFonts w:ascii="Arial" w:hAnsi="Arial"/>
                <w:sz w:val="16"/>
              </w:rPr>
              <w:t>1998 (долл. TT)</w:t>
            </w:r>
          </w:p>
        </w:tc>
        <w:tc>
          <w:tcPr>
            <w:tcW w:w="1701" w:type="dxa"/>
          </w:tcPr>
          <w:p w:rsidR="00000000" w:rsidRDefault="00000000">
            <w:pPr>
              <w:spacing w:before="80" w:after="0" w:line="240" w:lineRule="auto"/>
              <w:jc w:val="center"/>
              <w:rPr>
                <w:rFonts w:ascii="Arial" w:hAnsi="Arial"/>
                <w:sz w:val="16"/>
              </w:rPr>
            </w:pPr>
            <w:r>
              <w:rPr>
                <w:rFonts w:ascii="Arial" w:hAnsi="Arial"/>
                <w:sz w:val="16"/>
              </w:rPr>
              <w:t>1999 (долл. TT)</w:t>
            </w:r>
          </w:p>
        </w:tc>
      </w:tr>
      <w:tr w:rsidR="00000000">
        <w:tblPrEx>
          <w:tblCellMar>
            <w:top w:w="0" w:type="dxa"/>
            <w:left w:w="0" w:type="dxa"/>
            <w:bottom w:w="0" w:type="dxa"/>
            <w:right w:w="0" w:type="dxa"/>
          </w:tblCellMar>
        </w:tblPrEx>
        <w:trPr>
          <w:cantSplit/>
        </w:trPr>
        <w:tc>
          <w:tcPr>
            <w:tcW w:w="3856"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701" w:type="dxa"/>
          </w:tcPr>
          <w:p w:rsidR="00000000" w:rsidRDefault="00000000">
            <w:pPr>
              <w:spacing w:before="60" w:after="20" w:line="240" w:lineRule="auto"/>
              <w:jc w:val="center"/>
              <w:rPr>
                <w:rFonts w:ascii="Arial" w:hAnsi="Arial"/>
                <w:sz w:val="16"/>
              </w:rPr>
            </w:pPr>
            <w:r>
              <w:rPr>
                <w:rFonts w:ascii="Arial" w:hAnsi="Arial"/>
                <w:sz w:val="16"/>
              </w:rPr>
              <w:t>2 056,20</w:t>
            </w:r>
          </w:p>
        </w:tc>
        <w:tc>
          <w:tcPr>
            <w:tcW w:w="1701" w:type="dxa"/>
          </w:tcPr>
          <w:p w:rsidR="00000000" w:rsidRDefault="00000000">
            <w:pPr>
              <w:spacing w:before="60" w:after="20" w:line="240" w:lineRule="auto"/>
              <w:jc w:val="center"/>
              <w:rPr>
                <w:rFonts w:ascii="Arial" w:hAnsi="Arial"/>
                <w:sz w:val="16"/>
              </w:rPr>
            </w:pPr>
            <w:r>
              <w:rPr>
                <w:rFonts w:ascii="Arial" w:hAnsi="Arial"/>
                <w:sz w:val="16"/>
              </w:rPr>
              <w:t>2 336,51</w:t>
            </w:r>
          </w:p>
        </w:tc>
        <w:tc>
          <w:tcPr>
            <w:tcW w:w="1701" w:type="dxa"/>
          </w:tcPr>
          <w:p w:rsidR="00000000" w:rsidRDefault="00000000">
            <w:pPr>
              <w:spacing w:before="60" w:after="20" w:line="240" w:lineRule="auto"/>
              <w:jc w:val="center"/>
              <w:rPr>
                <w:rFonts w:ascii="Arial" w:hAnsi="Arial"/>
                <w:sz w:val="16"/>
              </w:rPr>
            </w:pPr>
            <w:r>
              <w:rPr>
                <w:rFonts w:ascii="Arial" w:hAnsi="Arial"/>
                <w:sz w:val="16"/>
              </w:rPr>
              <w:t>2 342,47</w:t>
            </w:r>
          </w:p>
        </w:tc>
      </w:tr>
      <w:tr w:rsidR="00000000">
        <w:tblPrEx>
          <w:tblCellMar>
            <w:top w:w="0" w:type="dxa"/>
            <w:left w:w="0" w:type="dxa"/>
            <w:bottom w:w="0" w:type="dxa"/>
            <w:right w:w="0" w:type="dxa"/>
          </w:tblCellMar>
        </w:tblPrEx>
        <w:trPr>
          <w:cantSplit/>
        </w:trPr>
        <w:tc>
          <w:tcPr>
            <w:tcW w:w="3856"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701" w:type="dxa"/>
          </w:tcPr>
          <w:p w:rsidR="00000000" w:rsidRDefault="00000000">
            <w:pPr>
              <w:spacing w:before="60" w:after="20" w:line="240" w:lineRule="auto"/>
              <w:jc w:val="center"/>
              <w:rPr>
                <w:rFonts w:ascii="Arial" w:hAnsi="Arial"/>
                <w:sz w:val="16"/>
              </w:rPr>
            </w:pPr>
            <w:r>
              <w:rPr>
                <w:rFonts w:ascii="Arial" w:hAnsi="Arial"/>
                <w:sz w:val="16"/>
              </w:rPr>
              <w:t>1 690,87</w:t>
            </w:r>
          </w:p>
        </w:tc>
        <w:tc>
          <w:tcPr>
            <w:tcW w:w="1701" w:type="dxa"/>
          </w:tcPr>
          <w:p w:rsidR="00000000" w:rsidRDefault="00000000">
            <w:pPr>
              <w:spacing w:before="60" w:after="20" w:line="240" w:lineRule="auto"/>
              <w:jc w:val="center"/>
              <w:rPr>
                <w:rFonts w:ascii="Arial" w:hAnsi="Arial"/>
                <w:sz w:val="16"/>
              </w:rPr>
            </w:pPr>
            <w:r>
              <w:rPr>
                <w:rFonts w:ascii="Arial" w:hAnsi="Arial"/>
                <w:sz w:val="16"/>
              </w:rPr>
              <w:t>1 819,05</w:t>
            </w:r>
          </w:p>
        </w:tc>
        <w:tc>
          <w:tcPr>
            <w:tcW w:w="1701" w:type="dxa"/>
          </w:tcPr>
          <w:p w:rsidR="00000000" w:rsidRDefault="00000000">
            <w:pPr>
              <w:spacing w:before="60" w:after="20" w:line="240" w:lineRule="auto"/>
              <w:jc w:val="center"/>
              <w:rPr>
                <w:rFonts w:ascii="Arial" w:hAnsi="Arial"/>
                <w:sz w:val="16"/>
              </w:rPr>
            </w:pPr>
            <w:r>
              <w:rPr>
                <w:rFonts w:ascii="Arial" w:hAnsi="Arial"/>
                <w:sz w:val="16"/>
              </w:rPr>
              <w:t>1 913,87</w:t>
            </w:r>
          </w:p>
        </w:tc>
      </w:tr>
    </w:tbl>
    <w:p w:rsidR="00000000" w:rsidRDefault="00000000">
      <w:pPr>
        <w:spacing w:after="120"/>
      </w:pPr>
    </w:p>
    <w:p w:rsidR="00000000" w:rsidRDefault="00000000">
      <w:pPr>
        <w:spacing w:after="0"/>
        <w:ind w:left="680" w:hanging="680"/>
        <w:jc w:val="left"/>
      </w:pPr>
      <w:r>
        <w:t>271.</w:t>
      </w:r>
      <w:r>
        <w:rPr>
          <w:lang w:val="en-US"/>
        </w:rPr>
        <w:tab/>
      </w:r>
      <w:r>
        <w:rPr>
          <w:b/>
        </w:rPr>
        <w:t>Домохозяйства, возглавляемые женщинами, с разбивкой по совокупному ежемесячному доходу, 1990 год</w:t>
      </w:r>
    </w:p>
    <w:tbl>
      <w:tblPr>
        <w:tblW w:w="0" w:type="auto"/>
        <w:tblInd w:w="682" w:type="dxa"/>
        <w:tblBorders>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4253"/>
      </w:tblGrid>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120" w:after="0" w:line="240" w:lineRule="auto"/>
              <w:jc w:val="center"/>
              <w:rPr>
                <w:rFonts w:ascii="Arial" w:hAnsi="Arial"/>
                <w:sz w:val="16"/>
              </w:rPr>
            </w:pPr>
            <w:r>
              <w:rPr>
                <w:rFonts w:ascii="Arial" w:hAnsi="Arial"/>
                <w:sz w:val="16"/>
              </w:rPr>
              <w:t>Группа населения, имеющая одинаковый доход (долл. ТТ)</w:t>
            </w:r>
          </w:p>
        </w:tc>
        <w:tc>
          <w:tcPr>
            <w:tcW w:w="4253" w:type="dxa"/>
            <w:tcBorders>
              <w:top w:val="single" w:sz="4" w:space="0" w:color="auto"/>
              <w:bottom w:val="single" w:sz="4" w:space="0" w:color="auto"/>
              <w:right w:val="single" w:sz="4" w:space="0" w:color="auto"/>
            </w:tcBorders>
          </w:tcPr>
          <w:p w:rsidR="00000000" w:rsidRDefault="00000000">
            <w:pPr>
              <w:spacing w:before="120" w:after="0" w:line="240" w:lineRule="auto"/>
              <w:jc w:val="center"/>
              <w:rPr>
                <w:rFonts w:ascii="Arial" w:hAnsi="Arial"/>
                <w:sz w:val="16"/>
              </w:rPr>
            </w:pPr>
            <w:r>
              <w:rPr>
                <w:rFonts w:ascii="Arial" w:hAnsi="Arial"/>
                <w:sz w:val="16"/>
              </w:rPr>
              <w:t>Процент домохозяйств</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Менее 500</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37,0</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1300–1699</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22,1</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1700–2499</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11,6</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2500–2999</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4,7</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3000–3999</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7,4</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4000–4999</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5,5</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5000–7999</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1,9</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nil"/>
            </w:tcBorders>
          </w:tcPr>
          <w:p w:rsidR="00000000" w:rsidRDefault="00000000">
            <w:pPr>
              <w:spacing w:before="80" w:after="20" w:line="240" w:lineRule="auto"/>
              <w:jc w:val="center"/>
              <w:rPr>
                <w:rFonts w:ascii="Arial" w:hAnsi="Arial"/>
                <w:sz w:val="16"/>
              </w:rPr>
            </w:pPr>
            <w:r>
              <w:rPr>
                <w:rFonts w:ascii="Arial" w:hAnsi="Arial"/>
                <w:sz w:val="16"/>
              </w:rPr>
              <w:t>8000 и более</w:t>
            </w:r>
          </w:p>
        </w:tc>
        <w:tc>
          <w:tcPr>
            <w:tcW w:w="4253" w:type="dxa"/>
            <w:tcBorders>
              <w:top w:val="single" w:sz="4" w:space="0" w:color="auto"/>
              <w:bottom w:val="nil"/>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1,3</w:t>
            </w:r>
          </w:p>
        </w:tc>
      </w:tr>
      <w:tr w:rsidR="00000000">
        <w:tblPrEx>
          <w:tblCellMar>
            <w:top w:w="0" w:type="dxa"/>
            <w:left w:w="0" w:type="dxa"/>
            <w:bottom w:w="0" w:type="dxa"/>
            <w:right w:w="0" w:type="dxa"/>
          </w:tblCellMar>
        </w:tblPrEx>
        <w:tc>
          <w:tcPr>
            <w:tcW w:w="4706" w:type="dxa"/>
            <w:tcBorders>
              <w:top w:val="single" w:sz="4" w:space="0" w:color="auto"/>
              <w:left w:val="single" w:sz="4" w:space="0" w:color="auto"/>
              <w:bottom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ВСЕГО – все группы населения, имеющие одинаковый доход</w:t>
            </w:r>
          </w:p>
        </w:tc>
        <w:tc>
          <w:tcPr>
            <w:tcW w:w="4253" w:type="dxa"/>
            <w:tcBorders>
              <w:top w:val="single" w:sz="4" w:space="0" w:color="auto"/>
              <w:bottom w:val="single" w:sz="4" w:space="0" w:color="auto"/>
              <w:right w:val="single" w:sz="4" w:space="0" w:color="auto"/>
            </w:tcBorders>
          </w:tcPr>
          <w:p w:rsidR="00000000" w:rsidRDefault="00000000">
            <w:pPr>
              <w:spacing w:before="80" w:after="20" w:line="240" w:lineRule="auto"/>
              <w:jc w:val="center"/>
              <w:rPr>
                <w:rFonts w:ascii="Arial" w:hAnsi="Arial"/>
                <w:sz w:val="16"/>
              </w:rPr>
            </w:pPr>
            <w:r>
              <w:rPr>
                <w:rFonts w:ascii="Arial" w:hAnsi="Arial"/>
                <w:sz w:val="16"/>
              </w:rPr>
              <w:t>100</w:t>
            </w:r>
          </w:p>
        </w:tc>
      </w:tr>
    </w:tbl>
    <w:p w:rsidR="00000000" w:rsidRDefault="00000000"/>
    <w:p w:rsidR="00000000" w:rsidRDefault="00000000">
      <w:r>
        <w:t>272.</w:t>
      </w:r>
      <w:r>
        <w:tab/>
        <w:t xml:space="preserve">Работающие женщины преимущественно заняты на государственной службе, а также на должностях младших служащих и должностях с низким уровнем дохода. Доход женщин ниже во всех группах населения по сравнению с доходом мужчин, занятых аналогичным видом деятельности. Наименьшее различие отмечается на самом низком уровне дохода, который составляет менее 1000 долл. ТТ. И наоборот, наибольший диспаритет в заработной плате отмечается на уровне 5000 долл. ТТ и более. </w:t>
      </w:r>
    </w:p>
    <w:p w:rsidR="00000000" w:rsidRDefault="00000000">
      <w:pPr>
        <w:spacing w:after="0" w:line="240" w:lineRule="auto"/>
        <w:jc w:val="center"/>
        <w:rPr>
          <w:lang w:val="en-US"/>
        </w:rPr>
      </w:pPr>
      <w:r>
        <w:br w:type="page"/>
      </w:r>
    </w:p>
    <w:p w:rsidR="00000000" w:rsidRDefault="00000000">
      <w:pPr>
        <w:jc w:val="center"/>
        <w:rPr>
          <w:rFonts w:ascii="Arial" w:hAnsi="Arial"/>
          <w:b/>
        </w:rPr>
      </w:pPr>
      <w:r>
        <w:rPr>
          <w:noProof/>
        </w:rPr>
        <w:pict>
          <v:shape id="_x0000_s1040" type="#_x0000_t202" style="position:absolute;left:0;text-align:left;margin-left:96pt;margin-top:247.5pt;width:262.5pt;height:15.75pt;z-index:13;mso-position-horizontal:absolute;mso-position-horizontal-relative:text;mso-position-vertical:absolute;mso-position-vertical-relative:text" o:allowincell="f" filled="f" stroked="f">
            <v:textbox inset="0,0,0,0">
              <w:txbxContent>
                <w:p w:rsidR="00000000" w:rsidRDefault="00000000">
                  <w:pPr>
                    <w:jc w:val="center"/>
                    <w:rPr>
                      <w:sz w:val="18"/>
                    </w:rPr>
                  </w:pPr>
                  <w:r>
                    <w:rPr>
                      <w:rFonts w:ascii="Arial" w:hAnsi="Arial"/>
                      <w:b/>
                      <w:sz w:val="18"/>
                    </w:rPr>
                    <w:t>Группы населения, имеющие одинаковый доход</w:t>
                  </w:r>
                </w:p>
              </w:txbxContent>
            </v:textbox>
          </v:shape>
        </w:pict>
      </w:r>
      <w:r>
        <w:rPr>
          <w:noProof/>
        </w:rPr>
        <w:pict>
          <v:rect id="_x0000_s1042" style="position:absolute;left:0;text-align:left;margin-left:29.6pt;margin-top:-11.35pt;width:398.25pt;height:285pt;z-index:-1;mso-position-horizontal:absolute;mso-position-horizontal-relative:text;mso-position-vertical:absolute;mso-position-vertical-relative:text" o:allowincell="f" strokeweight=".5pt"/>
        </w:pict>
      </w:r>
      <w:r>
        <w:rPr>
          <w:noProof/>
        </w:rPr>
        <w:pict>
          <v:shape id="_x0000_s1039" type="#_x0000_t202" style="position:absolute;left:0;text-align:left;margin-left:57pt;margin-top:51.75pt;width:15.75pt;height:2in;z-index:12;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rPr>
                      <w:sz w:val="18"/>
                    </w:rPr>
                  </w:pPr>
                  <w:r>
                    <w:rPr>
                      <w:rFonts w:ascii="Arial" w:hAnsi="Arial"/>
                      <w:b/>
                      <w:sz w:val="18"/>
                    </w:rPr>
                    <w:t>Процент мужчин/женщин</w:t>
                  </w:r>
                </w:p>
              </w:txbxContent>
            </v:textbox>
          </v:shape>
        </w:pict>
      </w:r>
      <w:r>
        <w:rPr>
          <w:noProof/>
        </w:rPr>
        <w:pict>
          <v:shape id="_x0000_s1038" type="#_x0000_t75" style="position:absolute;left:0;text-align:left;margin-left:66.75pt;margin-top:36pt;width:345pt;height:224.3pt;z-index:11;mso-position-horizontal:absolute;mso-position-horizontal-relative:text;mso-position-vertical:absolute;mso-position-vertical-relative:text" o:allowincell="f">
            <v:imagedata r:id="rId21" o:title=""/>
            <w10:wrap type="topAndBottom"/>
          </v:shape>
          <o:OLEObject Type="Embed" ProgID="MSGraph.Chart.8" ShapeID="_x0000_s1038" DrawAspect="Content" ObjectID="_1444042784" r:id="rId22">
            <o:FieldCodes>\s</o:FieldCodes>
          </o:OLEObject>
        </w:pict>
      </w:r>
      <w:r>
        <w:rPr>
          <w:rFonts w:ascii="Arial" w:hAnsi="Arial"/>
          <w:b/>
        </w:rPr>
        <w:t xml:space="preserve">Группы населения, имеющие одинаковый доход, </w:t>
      </w:r>
      <w:r>
        <w:rPr>
          <w:rFonts w:ascii="Arial" w:hAnsi="Arial"/>
          <w:b/>
          <w:lang w:val="en-US"/>
        </w:rPr>
        <w:br/>
      </w:r>
      <w:r>
        <w:rPr>
          <w:rFonts w:ascii="Arial" w:hAnsi="Arial"/>
          <w:b/>
        </w:rPr>
        <w:t>с разбивкой по полу (1996 год)</w:t>
      </w:r>
    </w:p>
    <w:p w:rsidR="00000000" w:rsidRDefault="00000000"/>
    <w:p w:rsidR="00000000" w:rsidRDefault="00000000"/>
    <w:p w:rsidR="00000000" w:rsidRDefault="00000000">
      <w:r>
        <w:t>273.</w:t>
      </w:r>
      <w:r>
        <w:tab/>
        <w:t xml:space="preserve">Правила, регулирующие деятельность государственного сектора, включают Инструкцию о государственной службе, Инструкцию о государственной гражданской службе и Инструкцию о полицейской службе. В настоящее время правительство проводит всесторонний обзор этих инструкций, с тем чтобы обеспечить их соответствие международным стандартам равных возможностей в том, что касается отношения к наемным работникам. Одной из важных инициатив, предпринятых правительством в этом направлении, является введение законодательства о равных возможностях в форме закона о равных возможностях № 69 2000 года. Недавно закон о равных возможностях был принят в целях, в частности, запрещения дискриминации в вопросах занятости, образования, предоставления товаров и услуг. Он также требует соблюдения принципа равных возможностей между лицами различного пола, цвета кожи, расы, происхождения, вероисповедания и семейного положения. Действие этого закона распространяется на все отношения между работодателем и наемным работником, а не только на отношения, существующие в государственном секторе. Этот закон предусматривает создание комиссии по вопросу о равных возможностях, которая будет, в частности, регистрировать, расследовать и, насколько это возможно, применять согласительные процедуры по фактам заявлений о дискриминации. Законом предусматривается также создание трибунала по вопросу о равных возможностях, который будет играть роль вышестоящего суда рекордера, уполномоченного проводить слушания и принимать решения по жалобам, направляемым ему комиссией, и подавать такие исковые заявления, издавать такие приказы и выносить такие решения, какие он сочтет необходимыми. Кроме того, законом предусматривается возможность подачи апелляции на решения трибунала в апелляционный суд по вопросу права, а с разрешения суда – и по вопросу факта. </w:t>
      </w:r>
    </w:p>
    <w:p w:rsidR="00000000" w:rsidRDefault="00000000">
      <w:r>
        <w:t>274.</w:t>
      </w:r>
      <w:r>
        <w:tab/>
        <w:t xml:space="preserve">В 1970 году Тринидад и Тобаго ратифицировала Конвенцию (№ 111) о дискриминации в области труда и занятий, которая гарантирует равенство возможностей и обращения в связи с вопросами занятости и профессиональной деятельности в целях искоренения дискриминации. </w:t>
      </w:r>
    </w:p>
    <w:p w:rsidR="00000000" w:rsidRDefault="00000000">
      <w:r>
        <w:t>275.</w:t>
      </w:r>
      <w:r>
        <w:tab/>
        <w:t xml:space="preserve">Министерство труда и кооперативов отметило, что не получало жалоб по факту дискриминации на рабочем месте и по вопросам занятости. </w:t>
      </w:r>
    </w:p>
    <w:p w:rsidR="00000000" w:rsidRDefault="00000000">
      <w:r>
        <w:t>276.</w:t>
      </w:r>
      <w:r>
        <w:tab/>
        <w:t>Льготы, предоставляемые лицам, занятым в государственном секторе, подробно изложены в следующих законодательных актах:</w:t>
      </w:r>
    </w:p>
    <w:p w:rsidR="00000000" w:rsidRDefault="00000000">
      <w:pPr>
        <w:spacing w:after="0"/>
      </w:pPr>
      <w:r>
        <w:tab/>
        <w:t>Закон о государственной гражданской службе, глава 23:01;</w:t>
      </w:r>
    </w:p>
    <w:p w:rsidR="00000000" w:rsidRDefault="00000000">
      <w:pPr>
        <w:spacing w:after="0"/>
      </w:pPr>
      <w:r>
        <w:tab/>
        <w:t>Закон об образовании, глава 39:01;</w:t>
      </w:r>
    </w:p>
    <w:p w:rsidR="00000000" w:rsidRDefault="00000000">
      <w:pPr>
        <w:spacing w:after="0"/>
      </w:pPr>
      <w:r>
        <w:tab/>
        <w:t>Закон о полицейской службе, глава 15:01;</w:t>
      </w:r>
    </w:p>
    <w:p w:rsidR="00000000" w:rsidRDefault="00000000">
      <w:pPr>
        <w:spacing w:after="0"/>
      </w:pPr>
      <w:r>
        <w:tab/>
        <w:t>Закон о пожарной службе, глава 35:50;</w:t>
      </w:r>
    </w:p>
    <w:p w:rsidR="00000000" w:rsidRDefault="00000000">
      <w:r>
        <w:tab/>
        <w:t>Закон о судебной и юридической службе, глава 6:01.</w:t>
      </w:r>
    </w:p>
    <w:p w:rsidR="00000000" w:rsidRDefault="00000000">
      <w:r>
        <w:t>Этим законодательством предусматриваются вознаграждение и льготы на основе классификации по профессиям, которая одинаково применима к представителям обоего пола.</w:t>
      </w:r>
    </w:p>
    <w:p w:rsidR="00000000" w:rsidRDefault="00000000">
      <w:r>
        <w:t>277.</w:t>
      </w:r>
      <w:r>
        <w:tab/>
        <w:t xml:space="preserve">Условия и обстоятельства найма для не состоящих в профсоюзах работников обычно согласуются в ходе переговоров всеми заинтересованными работниками и одинаково действуют в отношении представителей обоего пола. </w:t>
      </w:r>
    </w:p>
    <w:p w:rsidR="00000000" w:rsidRDefault="00000000">
      <w:r>
        <w:t>278.</w:t>
      </w:r>
      <w:r>
        <w:tab/>
        <w:t xml:space="preserve">Что касается работников частного сектора, то предоставляемые им льготы содержатся в коллективных договорах, которые регулируются пунктами 43–50 части </w:t>
      </w:r>
      <w:r>
        <w:rPr>
          <w:lang w:val="en-US"/>
        </w:rPr>
        <w:t xml:space="preserve">IV </w:t>
      </w:r>
      <w:r>
        <w:t>закона о трудовых отношениях в промышленности, хотя многие работники частного сектора не состоят в профсоюзах.</w:t>
      </w:r>
    </w:p>
    <w:p w:rsidR="00000000" w:rsidRDefault="00000000">
      <w:r>
        <w:t>279.</w:t>
      </w:r>
      <w:r>
        <w:tab/>
        <w:t xml:space="preserve">Глава 88:04 распоряжения о государственной минимальной заработной плате 1998 года, принятого на основании закона о минимальной заработной плате, гарантирует как женщинам, так и мужчинам минимальный уровень вознаграждения. Распоряжением предусматривается введение единой для всей экономики минимальной заработной платы в размере 7 долл. ТТ в час и определение минимальных условий и обстоятельств службы для всех работников в Тринидаде и Тобаго. Такие условия и обстоятельства касаются, в частности, продолжительности нормального рабочего дня (который не должен превышать восьми часов), перерывов на обед (продолжительностью не менее 45 мин.) и размеров вознаграждения за сверхурочную работу, которые предусматриваются во втором приложении к распоряжению. В соответствии с разделом 5 распоряжения сверхурочная работа определяется как время, отработанное сверх восьми часов, установленных в качестве нормального рабочего дня, а также как работа в нерабочие дни, по воскресеньям и в дни государственных праздников. В разделе 6, часть </w:t>
      </w:r>
      <w:r>
        <w:rPr>
          <w:lang w:val="en-US"/>
        </w:rPr>
        <w:t>II</w:t>
      </w:r>
      <w:r>
        <w:t xml:space="preserve">, распоряжения о государственной минимальной заработной плате 1998 года предусматривается, что положение этого распоряжения о государственной минимальной заработной плате, как и положения, касающиеся сверхурочной работы, действуют в отношении всех помощников по хозяйству, продавцов и сотрудников охранных предприятий. </w:t>
      </w:r>
    </w:p>
    <w:p w:rsidR="00000000" w:rsidRDefault="00000000">
      <w:r>
        <w:t>280.</w:t>
      </w:r>
      <w:r>
        <w:tab/>
        <w:t>90-е годы были отмечены увеличением числа женщин, занятых в предпринимательском секторе. В настоящее время число женщин, начинающих заниматься предпринимательской деятельностью, растет более высокими темпами, чем число мужчин. Может быть, это объясняется появлением за последние пять лет бóльших возможностей для получения профессиональной подготовки, информации и финансовых и маркетинговых услуг женщинами, занимающимися бизнесом. Однако установлено, что женщины охотнее открывают микропредприятия в сугубо традиционных и конкурентоспособных областях с более низкими нормами прибыли.</w:t>
      </w:r>
    </w:p>
    <w:p w:rsidR="00000000" w:rsidRDefault="00000000">
      <w:r>
        <w:t>281.</w:t>
      </w:r>
      <w:r>
        <w:tab/>
        <w:t>В связи с этим были предприняты следующие правительственные и неправительственные финансовые инициативы, направленные на решение проблем женщин, живущих в нищете, и устранение экономического неравенства между мужчинами и женщинами в стране.</w:t>
      </w:r>
    </w:p>
    <w:p w:rsidR="00000000" w:rsidRDefault="00000000">
      <w:pPr>
        <w:numPr>
          <w:ilvl w:val="0"/>
          <w:numId w:val="536"/>
        </w:numPr>
      </w:pPr>
      <w:r>
        <w:t>Компания развития малого бизнеса (</w:t>
      </w:r>
      <w:r>
        <w:rPr>
          <w:lang w:val="en-US"/>
        </w:rPr>
        <w:t>SBDC</w:t>
      </w:r>
      <w:r>
        <w:t xml:space="preserve">) является полуправительственной организацией, которая представляет собой основной инструмент, используемый правительством в целях стимулирования сектора микропредприятий и малых предприятий. Деятельность Компании осуществляется путем выделения кредитов, организации профессиональной подготовки и выполнения других программ. В среднем 43 процента кредитных гарантий Компании предоставляются женщинам, они же составляют 90 процентов лиц, проходящих подготовку в рамках </w:t>
      </w:r>
      <w:r>
        <w:rPr>
          <w:lang w:val="en-US"/>
        </w:rPr>
        <w:t>SBDC</w:t>
      </w:r>
      <w:r>
        <w:t>.</w:t>
      </w:r>
    </w:p>
    <w:p w:rsidR="00000000" w:rsidRDefault="00000000">
      <w:pPr>
        <w:numPr>
          <w:ilvl w:val="0"/>
          <w:numId w:val="536"/>
        </w:numPr>
      </w:pPr>
      <w:r>
        <w:t xml:space="preserve">Программа создания общинных предприятий представляет собой проект развития общины, который предлагает его участникам, 80 процентов которых составляют женщины (главным образом жительницы сельской местности), возможность для непрерывной подготовки.  </w:t>
      </w:r>
    </w:p>
    <w:p w:rsidR="00000000" w:rsidRDefault="00000000">
      <w:pPr>
        <w:numPr>
          <w:ilvl w:val="0"/>
          <w:numId w:val="536"/>
        </w:numPr>
      </w:pPr>
      <w:r>
        <w:t>Банк сельскохозяйственного развития (</w:t>
      </w:r>
      <w:r>
        <w:rPr>
          <w:lang w:val="en-US"/>
        </w:rPr>
        <w:t>ADB</w:t>
      </w:r>
      <w:r>
        <w:t xml:space="preserve">) предоставляет финансовую поддержку лицам, занятым в сельскохозяйственной отрасли. Проект Банка "Молодая вдова" выделяет субсидии и кредиты молодым людям в целях создания сельскохозяйственных предприятий, и 50 процентов его портфеля предоставляются женщинам. </w:t>
      </w:r>
    </w:p>
    <w:p w:rsidR="00000000" w:rsidRDefault="00000000">
      <w:pPr>
        <w:numPr>
          <w:ilvl w:val="0"/>
          <w:numId w:val="536"/>
        </w:numPr>
      </w:pPr>
      <w:r>
        <w:t xml:space="preserve">"Финансовая помощь" – это финансируемая правительством неправительственная организация, которая предоставляет кредиты неимущим лицам с ограниченным обеспечением в целях содействия развитию микропредприятий. Женщины составляют 60 процентов клиентов этой организации. </w:t>
      </w:r>
    </w:p>
    <w:p w:rsidR="00000000" w:rsidRDefault="00000000">
      <w:pPr>
        <w:numPr>
          <w:ilvl w:val="0"/>
          <w:numId w:val="536"/>
        </w:numPr>
      </w:pPr>
      <w:r>
        <w:t xml:space="preserve">Программа создания экспортных центров специально предназначена для домохозяйств, возглавляемых одинокими женщинами, и направлена на совершенствование навыков живущих в общине ремесленников и поставку их высококачественных изделий на экспортный рынок. </w:t>
      </w:r>
    </w:p>
    <w:p w:rsidR="00000000" w:rsidRDefault="00000000">
      <w:pPr>
        <w:numPr>
          <w:ilvl w:val="0"/>
          <w:numId w:val="536"/>
        </w:numPr>
      </w:pPr>
      <w:r>
        <w:t>Осуществление проекта "Мегарынок-98 и 99 – Мегарынок-98", призванного продемонстрировать результаты работы женщин-предпринимательниц с низким уровнем доходов, женщин-предпринимательниц со средними доходами, а также предпринимательниц, занимающихся малым бизнесом в Тринидаде и Тобаго, стало инициативой организации "Международные деловые связи", реализуемой в сотрудничестве с Отделом гендерных проблем Министерства культуры и гендерных проблем.</w:t>
      </w:r>
      <w:r>
        <w:rPr>
          <w:lang w:val="en-US"/>
        </w:rPr>
        <w:t xml:space="preserve"> </w:t>
      </w:r>
      <w:r>
        <w:t>На основе "Мегамаркет-98" была сформирована Карибская ассоциация женщин-предпринимательниц (</w:t>
      </w:r>
      <w:r>
        <w:rPr>
          <w:lang w:val="en-US"/>
        </w:rPr>
        <w:t>CAWE</w:t>
      </w:r>
      <w:r>
        <w:t>)</w:t>
      </w:r>
      <w:r>
        <w:rPr>
          <w:lang w:val="en-US"/>
        </w:rPr>
        <w:t>,</w:t>
      </w:r>
      <w:r>
        <w:t xml:space="preserve"> что, в свою очередь, способствовало созданию центра коммерческого развития, который был организован Ассоциацией, в котором женщины, занимающиеся бизнесом, могут проводить время, черпать энергию, приобретать специальные знания и ресурсы, способствующие удовлетворению их деловых потребностей. Ассоциация представляет собой региональную неправительственную организацию, призванную продвигать женщин-предпринимательниц в экономическую и социальную сферы. Вышеупомянутые инициативы финансировались Министерством культуры и гендерных проблем и международными организациями, такими как Фонд Организации Объединенных Наций для развития в интересах женщин (ЮНИФЕМ) и Канадский фонд гендерного равенства. Проект "Мегамаркет-99" осуществлялся в целях поддержания инициативы, получившей всеобщее одобрение.  </w:t>
      </w:r>
    </w:p>
    <w:p w:rsidR="00000000" w:rsidRDefault="00000000">
      <w:pPr>
        <w:numPr>
          <w:ilvl w:val="0"/>
          <w:numId w:val="536"/>
        </w:numPr>
      </w:pPr>
      <w:r>
        <w:t>Осуществление программы социального фонда здоровья и реабилитации для женщин (</w:t>
      </w:r>
      <w:r>
        <w:rPr>
          <w:lang w:val="en-US"/>
        </w:rPr>
        <w:t>SHARE</w:t>
      </w:r>
      <w:r>
        <w:t xml:space="preserve">) было предпринято правительством в целях перераспределения благ в интересах наиболее уязвимых членов общества. Охватываемый этой программой контингент на 90 процентов состоит из женщин. </w:t>
      </w:r>
    </w:p>
    <w:p w:rsidR="00000000" w:rsidRDefault="00000000">
      <w:pPr>
        <w:numPr>
          <w:ilvl w:val="0"/>
          <w:numId w:val="536"/>
        </w:numPr>
      </w:pPr>
      <w:r>
        <w:t>В 1996 году с участием Межамериканской системы кредитования развития был создан Фонд общинного развития. В рамках данной инициативы оказывается поддержка проектам, предлагаемым и осуществляемым общинами в целях развития и укрепления возможностей их членов, находящихся в неблагоприятном положении. Фонд состоит из двух компонентов: 1) инвестиционного компонента, предназначенного для финансирования общинной инфраструктуры и программ социального обеспечения; и 2) компонента технической помощи, предназначенного для финансирования институционального укрепления Фонда общинного развития и других аналогичных структур. Средства из этого Фонда выделяются неправительственным организациям на цели разработки проектов общинного развития, которые могут в дальнейшем трансформироваться и приносить прибыль. Женщины также получают помощь в рамках данной инициативы, но масштабы такой деятельности неизвестны.</w:t>
      </w:r>
    </w:p>
    <w:p w:rsidR="00000000" w:rsidRDefault="00000000">
      <w:pPr>
        <w:numPr>
          <w:ilvl w:val="0"/>
          <w:numId w:val="536"/>
        </w:numPr>
      </w:pPr>
      <w:r>
        <w:t xml:space="preserve">В 1997 году при посредничестве Министерства социального и общинного развития правительство создало Службу управления процессом перемен в целях искоренения нищеты и укрепления социальной справедливости. В 1998 году был также создан Гражданский совет по вопросу социальной справедливости, который объединяет представителей частного сектора и членов неправительственных организаций. В настоящее время эти две организации сотрудничают в деле мобилизации ресурсов на борьбу с нищетой и укрепление социальной справедливости, предоставляя бедным общинам возможности и трибуну для диалога. Партнерство между общиной и частным сектором влечет за собой обязанность последнего решать ее проблемы при содействии правительства. Нередко эти общины вступают в диалог с государственным сектором в целях, к примеру, обеспечения школьными учебниками детей из бедных семей общины. </w:t>
      </w:r>
    </w:p>
    <w:p w:rsidR="00000000" w:rsidRDefault="00000000">
      <w:pPr>
        <w:numPr>
          <w:ilvl w:val="0"/>
          <w:numId w:val="536"/>
        </w:numPr>
      </w:pPr>
      <w:r>
        <w:t>Отдел общинного развития Министерства социального и общинного развития осуществляет программы, направленные на развитие бедных общин и отдельных лиц. Программа "Действия общины за возрождение и создание возможностей" (</w:t>
      </w:r>
      <w:r>
        <w:rPr>
          <w:lang w:val="en-US"/>
        </w:rPr>
        <w:t>CARE</w:t>
      </w:r>
      <w:r>
        <w:t xml:space="preserve">) является одной из таких программ, которая оказывает финансовую помощь и координирует в связи с этим программы общеобразовательной и профессиональной подготовки. В программах </w:t>
      </w:r>
      <w:r>
        <w:rPr>
          <w:lang w:val="en-US"/>
        </w:rPr>
        <w:t>CARE</w:t>
      </w:r>
      <w:r>
        <w:t xml:space="preserve"> особое внимание уделяется вопросам подготовки и развития навыков, культурного развития, общинного развития, а также гендерно ориентированному проекту, реализация которого благоприятно сказывается на значительном числе женских неправительственных организаций. </w:t>
      </w:r>
    </w:p>
    <w:p w:rsidR="00000000" w:rsidRDefault="00000000">
      <w:pPr>
        <w:numPr>
          <w:ilvl w:val="0"/>
          <w:numId w:val="536"/>
        </w:numPr>
      </w:pPr>
      <w:r>
        <w:t xml:space="preserve">Национальная комиссия по вопросу самопомощи также является механизмом борьбы с нищетой. Проекты разрабатываются на основе просьб, поступающих от общинных групп; они предполагают создание по всей стране инфраструктуры и сооружений общественного назначения для общин. Проекты осуществляются за счет частичного финансирования материальных затрат и вклада общин в виде трудовых затрат. Проекты, об осуществлении которых просят бедные общины, могут получить финансирование из Фонда общинного развития. </w:t>
      </w:r>
    </w:p>
    <w:p w:rsidR="00000000" w:rsidRDefault="00000000">
      <w:r>
        <w:t>282.</w:t>
      </w:r>
      <w:r>
        <w:tab/>
        <w:t xml:space="preserve">Особые потребности и проблемы женщин учитываются при разработке всех направлений политики в области занятости, включая законодательство. Одним из примеров осуществления такой деятельности является закон об охране материнства № 4 1998 года. Однако конкретной политики или программ, специально направленных на защиту женщин в период временного прекращения работы, не разработано, хотя есть программы создания новых рабочих мест, социального обеспечения и выплаты государственных пособий, в равной степени доступные как мужчинам, так и женщинам. </w:t>
      </w:r>
    </w:p>
    <w:p w:rsidR="00000000" w:rsidRDefault="00000000">
      <w:r>
        <w:t>283.</w:t>
      </w:r>
      <w:r>
        <w:tab/>
        <w:t xml:space="preserve">Отсутствует какая-либо информация о существовании системы широкого оповещения о наличии рабочих мест с учетом гендерного фактора, о методах найма на работу или о сложившейся практике, которая не позволяет женщинам выполнять некоторые виды работы. В настоящее время законодательные нормы, не позволяющие женщинам выполнять некоторые виды работы, содержатся в законе о занятости женщин (работа в ночное время), глава 88:12, и в указе о фабриках 1948 года. Эти законы в связи со статьей 2 были рассмотрены в пунктах 91 и 91 настоящего периодического доклада. Недавно законопроект о технике безопасности на производстве и гигиене труда (№ 2) 1999 года был внесен на рассмотрение в парламент в целях отмены вышеупомянутых закона и указа. </w:t>
      </w:r>
    </w:p>
    <w:p w:rsidR="00000000" w:rsidRDefault="00000000">
      <w:r>
        <w:t>284.</w:t>
      </w:r>
      <w:r>
        <w:tab/>
        <w:t xml:space="preserve">Отсутствует закон, который специально защищал бы право на равную плату за труд равной ценности. Однако в 1998 году Тринидад и Тобаго ратифицировала Конвенцию (№ 100) о равном вознаграждении мужчин и женщин за труд равной ценности. Кроме того, в распоряжении о государственной минимальной заработной плате 1998 года не делается никакого различия между мужчинами и женщинами. </w:t>
      </w:r>
    </w:p>
    <w:p w:rsidR="00000000" w:rsidRDefault="00000000">
      <w:r>
        <w:t>285.</w:t>
      </w:r>
      <w:r>
        <w:tab/>
        <w:t xml:space="preserve">В государственном секторе не практикуется неравное вознаграждение за труд мужчин и женщин равной ценности, так же как нет различия в условиях их труда. Вознаграждение лицам, занимающим те или иные должности в государственном секторе, устанавливается в соответствии с классификацией по профессиям. Таким образом, все государственные служащие, как мужчины, так и женщины, получают одинаковое вознаграждение на основе классификации должностей, которые они занимают. Правительство Республики Тринидад и Тобаго признает коллективный договор в качестве средства, призванного обеспечить равное вознаграждение как мужчинам, так и женщинам, в том числе в рамках одного классификационного принципа. Таким образом поддерживается принцип равного вознаграждения мужчинам и женщинам, выполняющим работу равной ценности. </w:t>
      </w:r>
    </w:p>
    <w:p w:rsidR="00000000" w:rsidRDefault="00000000">
      <w:r>
        <w:t>286.</w:t>
      </w:r>
      <w:r>
        <w:tab/>
        <w:t>Закон о подсчете неоплачиваемого труда № 29 1996 года был принят правительством, с тем чтобы обязать Центральное статистическое управление и другие государственные органы собирать и хранить статистические данные, касающиеся неоплачиваемого труда, и создать механизм для количественного определения и регистрации оценки такого труда в денежном исчислении. Домохозяйства, где есть члены в возрасте 15 лет и старше, теперь должны сообщать о своем участии в выполнении неоплачиваемой работы для национальной переписи, которая проводится каждые 10 лет. Анализ полученных данных позволит определяющим политику лицам более рационально и эффективно распределять ресурсы.</w:t>
      </w:r>
    </w:p>
    <w:p w:rsidR="00000000" w:rsidRDefault="00000000">
      <w:r>
        <w:t>287.</w:t>
      </w:r>
      <w:r>
        <w:tab/>
        <w:t xml:space="preserve">В настоящее время еще не разработана методология оценки денежной стоимости неоплачиваемого труда. Однако сведения об объеме неоплачиваемого труда были собраны в ходе национальной переписи 2000 года. В настоящее время Центральное статистическое управление ожидает выделения средств на цели подготовки сотрудников для работы в данной области. Цель состоит в проведении обзоров неоплачиваемого труда чаще, чем проводятся (раз в десять лет) национальные переписи. </w:t>
      </w:r>
    </w:p>
    <w:p w:rsidR="00000000" w:rsidRDefault="00000000">
      <w:r>
        <w:t>288.</w:t>
      </w:r>
      <w:r>
        <w:tab/>
        <w:t xml:space="preserve">Сейчас в Тринидаде и Тобаго нет закона, запрещающего сексуальное домогательство на рабочем месте. Просим обратиться к пунктам 156–159 настоящего периодического доклада по статье 5 для получения дополнительной информации по этому вопросу. Насильственные действия на рабочем месте в отношении женщин запрещены так же, как они запрещены в стране в отношении любого лица при любых обстоятельствах. Законодательные нормы по данному вопросу содержатся в законе о преступлениях против личности, глава 11:08 (с поправками), и в законе о половых преступлениях (поправка) № 31 2000 года. Такие насильственные действия запрещены по закону, и с ними нельзя мириться. </w:t>
      </w:r>
    </w:p>
    <w:p w:rsidR="00000000" w:rsidRDefault="00000000">
      <w:r>
        <w:t>289.</w:t>
      </w:r>
      <w:r>
        <w:tab/>
        <w:t>Что касается безопасности, здоровья и благополучия женщин на рабочем месте, то правительство недавно предприняло усилия по внесению на рассмотрение и принятию законопроекта о технике безопасности на производстве и гигиене труда (№ 2) 1999 года в целях отмены и замены закона о занятости женщин (работа в ночное время) и указа о фабриках. В пункте 5 закона о занятости женщин (работа в ночное время), глава 88:12, говорится:</w:t>
      </w:r>
    </w:p>
    <w:p w:rsidR="00000000" w:rsidRDefault="00000000">
      <w:pPr>
        <w:tabs>
          <w:tab w:val="clear" w:pos="340"/>
        </w:tabs>
        <w:ind w:left="680" w:right="680" w:hanging="680"/>
      </w:pPr>
      <w:r>
        <w:tab/>
      </w:r>
      <w:r>
        <w:rPr>
          <w:i/>
        </w:rPr>
        <w:t>Следует считать незаконным, за исключением случаев, прямо предусмотренных настоящим Законом, использование женщин на ночной работе в Тринидаде и Тобаго</w:t>
      </w:r>
      <w:r>
        <w:t>.</w:t>
      </w:r>
    </w:p>
    <w:p w:rsidR="00000000" w:rsidRDefault="00000000">
      <w:r>
        <w:t>В пункте 42 раздела 30 № 2 указа говорится:</w:t>
      </w:r>
    </w:p>
    <w:p w:rsidR="00000000" w:rsidRDefault="00000000">
      <w:pPr>
        <w:tabs>
          <w:tab w:val="clear" w:pos="340"/>
        </w:tabs>
        <w:ind w:left="680" w:right="680" w:hanging="680"/>
      </w:pPr>
      <w:r>
        <w:tab/>
      </w:r>
      <w:r>
        <w:rPr>
          <w:i/>
        </w:rPr>
        <w:t>Ни женщина, ни молодой человек не должны работать по найму на фабрике, если это противоречит любым правилам или распоряжениям, которые могут быть изданы Председателем Совета в соответствии с пунктом 33 настоящего Указа, или любому распоряжению, изданному Председателем Совета в соответствии с пунктом 34 настоящего Указа</w:t>
      </w:r>
      <w:r>
        <w:t xml:space="preserve">. </w:t>
      </w:r>
    </w:p>
    <w:p w:rsidR="00000000" w:rsidRDefault="00000000">
      <w:r>
        <w:t>290.</w:t>
      </w:r>
      <w:r>
        <w:tab/>
        <w:t>Этот законопроект, однако, не распространяется на надомных работников. В пункте 5 законопроекта о технике безопасности на производстве и гигиене труда (№ 2) по этому поводу говорится следующее:</w:t>
      </w:r>
    </w:p>
    <w:p w:rsidR="00000000" w:rsidRDefault="00000000">
      <w:pPr>
        <w:tabs>
          <w:tab w:val="clear" w:pos="340"/>
        </w:tabs>
        <w:ind w:left="680" w:right="680" w:hanging="680"/>
      </w:pPr>
      <w:r>
        <w:tab/>
      </w:r>
      <w:r>
        <w:rPr>
          <w:i/>
        </w:rPr>
        <w:t>5. (1) За исключением случаев, прямо предусмотренных настоящим Законом, Закон применим только к промышленным предприятиям</w:t>
      </w:r>
      <w:r>
        <w:t xml:space="preserve">. </w:t>
      </w:r>
    </w:p>
    <w:p w:rsidR="00000000" w:rsidRDefault="00000000">
      <w:r>
        <w:t>291.</w:t>
      </w:r>
      <w:r>
        <w:tab/>
        <w:t>В отношении беременности законопроект о технике безопасности на производстве и гигиене труда (№ 2) предлагает предусмотреть следующее положение:</w:t>
      </w:r>
    </w:p>
    <w:p w:rsidR="00000000" w:rsidRDefault="00000000">
      <w:pPr>
        <w:tabs>
          <w:tab w:val="clear" w:pos="340"/>
        </w:tabs>
        <w:ind w:left="680" w:right="680" w:hanging="680"/>
        <w:rPr>
          <w:i/>
        </w:rPr>
      </w:pPr>
      <w:r>
        <w:rPr>
          <w:i/>
        </w:rPr>
        <w:tab/>
        <w:t xml:space="preserve">6. (6) Работодатель должен, после уведомления работницей о своей беременности и представлении медицинской справки, подтверждающей факт беременности, изменить условия ее труда, с тем чтобы она </w:t>
      </w:r>
    </w:p>
    <w:p w:rsidR="00000000" w:rsidRDefault="00000000">
      <w:pPr>
        <w:tabs>
          <w:tab w:val="clear" w:pos="340"/>
          <w:tab w:val="clear" w:pos="680"/>
          <w:tab w:val="left" w:pos="1021"/>
        </w:tabs>
        <w:spacing w:after="0"/>
        <w:ind w:left="1021" w:right="680" w:hanging="1021"/>
        <w:rPr>
          <w:i/>
        </w:rPr>
      </w:pPr>
      <w:r>
        <w:rPr>
          <w:i/>
        </w:rPr>
        <w:tab/>
        <w:t>а) не привлекалась к использованию или не подвергалась воздействию химикалий, химических веществ либо любых веществ, опасных для здоровья ее будущего ребенка; или</w:t>
      </w:r>
    </w:p>
    <w:p w:rsidR="00000000" w:rsidRDefault="00000000">
      <w:pPr>
        <w:tabs>
          <w:tab w:val="clear" w:pos="340"/>
          <w:tab w:val="clear" w:pos="680"/>
          <w:tab w:val="left" w:pos="1021"/>
        </w:tabs>
        <w:ind w:left="1021" w:right="680" w:hanging="1021"/>
        <w:rPr>
          <w:i/>
        </w:rPr>
      </w:pPr>
      <w:r>
        <w:rPr>
          <w:i/>
        </w:rPr>
        <w:tab/>
      </w:r>
      <w:r>
        <w:rPr>
          <w:i/>
          <w:lang w:val="en-US"/>
        </w:rPr>
        <w:t>b</w:t>
      </w:r>
      <w:r>
        <w:rPr>
          <w:i/>
        </w:rPr>
        <w:t>) не подвергалась воздействию условий работы, опасных для здоровья будущего ребенка,</w:t>
      </w:r>
    </w:p>
    <w:p w:rsidR="00000000" w:rsidRDefault="00000000">
      <w:pPr>
        <w:ind w:left="680" w:right="680" w:hanging="680"/>
      </w:pPr>
      <w:r>
        <w:rPr>
          <w:i/>
        </w:rPr>
        <w:tab/>
      </w:r>
      <w:r>
        <w:rPr>
          <w:i/>
          <w:lang w:val="en-US"/>
        </w:rPr>
        <w:tab/>
      </w:r>
      <w:r>
        <w:rPr>
          <w:i/>
        </w:rPr>
        <w:t>и в случае необходимости работодатель должен, по возможности, обеспечить ее альтернативной работой, не лишая права на возвращение к ранее занимаемой должности</w:t>
      </w:r>
      <w:r>
        <w:t>.</w:t>
      </w:r>
    </w:p>
    <w:p w:rsidR="00000000" w:rsidRDefault="00000000">
      <w:r>
        <w:t xml:space="preserve">Кроме того, пунктом 4 законопроекта предлагается предусмотреть, чтобы работодатели на промышленных предприятиях обеспечивали наличие раздельных удобств санитарно-гигиенического назначения для мужчин и женщин и чтобы такие помещения для женщин были оборудованы надлежащим образом. </w:t>
      </w:r>
    </w:p>
    <w:p w:rsidR="00000000" w:rsidRDefault="00000000">
      <w:r>
        <w:t>292.</w:t>
      </w:r>
      <w:r>
        <w:tab/>
        <w:t>Закон об охране материнства № 4 1998 года был принят в знак признания уникальной роли женщин и их способности к рождению детей. Цель этого закона заключается в укреплении равенства женщин в тех случаях, когда существуют естественные физические различия между представителями обоего пола. Поэтому пункт</w:t>
      </w:r>
      <w:r>
        <w:rPr>
          <w:lang w:val="en-US"/>
        </w:rPr>
        <w:t> </w:t>
      </w:r>
      <w:r>
        <w:t>7 закона гарантирует женщинам, что на условиях и обстоятельствах их труда негативно не скажется факт их беременности:</w:t>
      </w:r>
    </w:p>
    <w:p w:rsidR="00000000" w:rsidRDefault="00000000">
      <w:pPr>
        <w:tabs>
          <w:tab w:val="clear" w:pos="340"/>
          <w:tab w:val="left" w:pos="1021"/>
        </w:tabs>
        <w:rPr>
          <w:i/>
        </w:rPr>
      </w:pPr>
      <w:r>
        <w:rPr>
          <w:i/>
        </w:rPr>
        <w:tab/>
        <w:t>7.</w:t>
      </w:r>
      <w:r>
        <w:rPr>
          <w:i/>
        </w:rPr>
        <w:tab/>
        <w:t>(1) Согласно настоящему Закону работница имеет право:</w:t>
      </w:r>
    </w:p>
    <w:p w:rsidR="00000000" w:rsidRDefault="00000000">
      <w:pPr>
        <w:tabs>
          <w:tab w:val="clear" w:pos="340"/>
          <w:tab w:val="left" w:pos="1021"/>
        </w:tabs>
        <w:ind w:left="1021" w:right="680" w:hanging="1021"/>
        <w:rPr>
          <w:i/>
        </w:rPr>
      </w:pPr>
      <w:r>
        <w:rPr>
          <w:i/>
        </w:rPr>
        <w:tab/>
        <w:t>…</w:t>
      </w:r>
    </w:p>
    <w:p w:rsidR="00000000" w:rsidRDefault="00000000">
      <w:pPr>
        <w:tabs>
          <w:tab w:val="clear" w:pos="340"/>
          <w:tab w:val="left" w:pos="1021"/>
        </w:tabs>
        <w:ind w:left="1021" w:right="680" w:hanging="1021"/>
      </w:pPr>
      <w:r>
        <w:rPr>
          <w:i/>
        </w:rPr>
        <w:tab/>
      </w:r>
      <w:r>
        <w:rPr>
          <w:i/>
        </w:rPr>
        <w:tab/>
        <w:t>с) вернуться к работе после такого отпуска на не менее выгодных для нее условиях, чем те, которыми она пользовалась непосредственно перед отпуском.</w:t>
      </w:r>
    </w:p>
    <w:p w:rsidR="00000000" w:rsidRDefault="00000000">
      <w:r>
        <w:t>293.</w:t>
      </w:r>
      <w:r>
        <w:tab/>
        <w:t xml:space="preserve">Пункт 12 закона об охране материнства гарантирует, что беременные женщины или женщины, находящиеся в отпуске по беременности и родам, не могут быть уволены. </w:t>
      </w:r>
    </w:p>
    <w:p w:rsidR="00000000" w:rsidRDefault="00000000">
      <w:pPr>
        <w:tabs>
          <w:tab w:val="clear" w:pos="340"/>
        </w:tabs>
        <w:ind w:left="680" w:right="680" w:hanging="680"/>
      </w:pPr>
      <w:r>
        <w:tab/>
      </w:r>
      <w:r>
        <w:rPr>
          <w:i/>
        </w:rPr>
        <w:t>12. (1) В тех случаях, когда работница или работодатель заявляют о нарушении положений данного Закона, либо когда работница увольняется по причине ее беременности или по любой другой причине, связанной с беременностью, либо когда существует расхождение во мнении относительно обоснованности представленных сведений или любых других действий, предпринятых или не предпринятых работницей или работодателем, профсоюз или работодатель может сообщить об этом деле Министру, и оно должно быть рассмотрено в качестве такового в соответствии с Законом о трудовых отношениях в промышленности</w:t>
      </w:r>
      <w:r>
        <w:t xml:space="preserve">. </w:t>
      </w:r>
    </w:p>
    <w:p w:rsidR="00000000" w:rsidRDefault="00000000">
      <w:r>
        <w:t>294.</w:t>
      </w:r>
      <w:r>
        <w:tab/>
        <w:t>Таким образом, увольнение по причине беременности рассматривается как нарушение принципов и практики юридически действительных отношений между администрацией и рабочими в промышленности. В связи с этим в главе 88:01 закона о трудовых отношениях в промышленности предусматривается следующее положение:</w:t>
      </w:r>
    </w:p>
    <w:p w:rsidR="00000000" w:rsidRDefault="00000000">
      <w:pPr>
        <w:tabs>
          <w:tab w:val="clear" w:pos="340"/>
        </w:tabs>
        <w:ind w:left="680" w:right="680" w:hanging="680"/>
      </w:pPr>
      <w:r>
        <w:tab/>
      </w:r>
      <w:r>
        <w:rPr>
          <w:i/>
        </w:rPr>
        <w:t>10. (4)</w:t>
      </w:r>
      <w:r>
        <w:rPr>
          <w:i/>
          <w:lang w:val="en-US"/>
        </w:rPr>
        <w:t xml:space="preserve"> </w:t>
      </w:r>
      <w:r>
        <w:rPr>
          <w:i/>
        </w:rPr>
        <w:t>…в любом споре, касающемся увольнения работника, суд может потребовать восстановления на работе или повторного трудоустройства такого работника на тех условиях, какие он сочтет нужным установить, либо выплаты компенсации или возмещения убытков в качестве отступного или вместо такого восстановления на работе или повторного трудоустройства, либо выплаты денежного возмещения в качестве ущерба штрафной санкции вместо такого восстановления на работе или повторного трудоустройства</w:t>
      </w:r>
      <w:r>
        <w:t xml:space="preserve">. </w:t>
      </w:r>
    </w:p>
    <w:p w:rsidR="00000000" w:rsidRDefault="00000000">
      <w:r>
        <w:t>295.</w:t>
      </w:r>
      <w:r>
        <w:tab/>
        <w:t>В подпункте 5 этого закона говорится, что приказ суда о таком восстановлении на работе или повторном трудоустройстве может быть издан в том случае, если суд считает, что работник был уволен при обстоятельствах, характеризующихся грубостью и притеснениями, или что увольнение было проведено в нарушение юридически действительной практики отношений между администрацией и рабочими в промышленности.</w:t>
      </w:r>
    </w:p>
    <w:p w:rsidR="00000000" w:rsidRDefault="00000000">
      <w:r>
        <w:t>296.</w:t>
      </w:r>
      <w:r>
        <w:tab/>
        <w:t xml:space="preserve">Далее подпунктом 6 предусматривается, что мнение суда относительно того, был ли работник уволен при обстоятельствах, характеризующихся грубостью и притеснениями, было ли увольнение произведено в соответствии с юридически действительной практикой отношений между администрацией и рабочими в промышленности, или относительно вынесения решения о выплате компенсации либо возмещении убытков, включая проведение их оценки, не может быть оспорено, обжаловано в апелляционном суде, пересмотрено, отменено или подвергнуто сомнению в любом суде на каком бы то ни было основании. </w:t>
      </w:r>
    </w:p>
    <w:p w:rsidR="00000000" w:rsidRDefault="00000000">
      <w:r>
        <w:t>297.</w:t>
      </w:r>
      <w:r>
        <w:tab/>
        <w:t xml:space="preserve">Законом об охране материнства предусматривается оплачиваемый отпуск, но он предоставляется только женщинам. Закон не предусматривает предоставления такого отпуска обоим родителям, хотя, согласно Инструкции о государственной службе, составленной в соответствии с разделом 1:01 Конституции, отец имеет право на трехдневный отпуск по случаю рождения ребенка. В частном секторе отпуск по случаю рождения ребенка предоставляется по усмотрению работодателя. Однако, хотя не существует установленной государством законодательной нормы, регулирующей предоставление оплачиваемого отпуска, положения, касающиеся предоставления оплачиваемого очередного отпуска, включены в конкретные коллективные соглашения для частного сектора и в различные законодательные акты, касающиеся выплаты вознаграждений в государственном секторе. Право государственных служащих на отпуск основывается исключительно на шкале заработной платы и выслуге лет служащего. </w:t>
      </w:r>
    </w:p>
    <w:p w:rsidR="00000000" w:rsidRDefault="00000000">
      <w:r>
        <w:t>298.</w:t>
      </w:r>
      <w:r>
        <w:tab/>
        <w:t xml:space="preserve">Главой 7 (4) закона об охране материнства предусматривается, что беременным работницам, получившим рекомендацию зарегистрированного практикующего врача или лица, зарегистрированного в соответствии с главой 29:53 закона о регистрации медсестер и акушерок, относительно необходимости обратиться в какое-либо учреждение для постоянного наблюдения у врача в период беременности, "не может быть отказано в праве на перерыв в течение рабочего дня, чтобы они могли попасть на прием". Что касается такого перерыва, то разделом 7 (5) предусматривается, что женщина "имеет право на оплату работодателем периода ее отсутствия в рабочее время". </w:t>
      </w:r>
    </w:p>
    <w:p w:rsidR="00000000" w:rsidRDefault="00000000">
      <w:r>
        <w:t>299.</w:t>
      </w:r>
      <w:r>
        <w:tab/>
        <w:t xml:space="preserve">Разделом 21 закона об охране материнства предусматривается, что "период отпуска по беременности и родам должен быть зачтен при начислении пенсии работнице или других пособий при увольнении". До принятия этого закона отпуск по беременности и родам государственных служащих не зачитывался при начислении пенсии при увольнении. </w:t>
      </w:r>
    </w:p>
    <w:p w:rsidR="00000000" w:rsidRDefault="00000000">
      <w:r>
        <w:t>300.</w:t>
      </w:r>
      <w:r>
        <w:tab/>
        <w:t xml:space="preserve">Хотя закон об охране материнства защищает женщин от дискриминации на основании беременности, он не распространяется на женщин, занятых на работе в парламенте. </w:t>
      </w:r>
    </w:p>
    <w:p w:rsidR="00000000" w:rsidRDefault="00000000">
      <w:r>
        <w:t>301.</w:t>
      </w:r>
      <w:r>
        <w:tab/>
        <w:t>К настоящему моменту не было проведено каких-либо исследований, призванных определить, насколько эффективно действуют эти положения в соответствии с законом об охране материнства № 4 1998</w:t>
      </w:r>
      <w:r>
        <w:rPr>
          <w:lang w:val="en-US"/>
        </w:rPr>
        <w:t> </w:t>
      </w:r>
      <w:r>
        <w:t xml:space="preserve">года. </w:t>
      </w:r>
    </w:p>
    <w:p w:rsidR="00000000" w:rsidRDefault="00000000">
      <w:r>
        <w:t>302.</w:t>
      </w:r>
      <w:r>
        <w:tab/>
        <w:t xml:space="preserve">В настоящее время каких-либо программ, специально осуществляемых в целях реинтеграции женщин в трудовые ресурсы после их отсутствия по семейным обстоятельствам, не осуществляется. </w:t>
      </w:r>
    </w:p>
    <w:p w:rsidR="00000000" w:rsidRDefault="00000000">
      <w:r>
        <w:t>303.</w:t>
      </w:r>
      <w:r>
        <w:tab/>
        <w:t>Хотя государство не обеспечивает детскими учреждениями всех работающих матерей, государственные учреждения и широкая общественность разработали и осуществили программу по созданию домашних центров и клубов продленного дня для школьников, включая усовершенствованные детские учреждения. Отдел служб по делам семьи и Отдел социального обеспечения Министерства социального и общинного развития действительно оказывают поддержку неимущим родителям в плане ухода за детьми и предоставляют субвенции организациям на уровне общины и неправительственным организациям, с тем чтобы они помогали таким родителям. Это делается в целях расширения доступа женщин к участию в продуктивной занятости. Кроме того, неправительственная организация "Сервол" создала (с общинами в Тринидаде и Тобаго) для детей в возрасте 2–5 лет 160 детских центров, которые предназначены для семей с низкими доходами. Эта организация получает финансовую помощь правительства.</w:t>
      </w:r>
    </w:p>
    <w:p w:rsidR="00000000" w:rsidRDefault="00000000">
      <w:r>
        <w:t>304.</w:t>
      </w:r>
      <w:r>
        <w:tab/>
        <w:t xml:space="preserve">Хотя не существует законодательных норм, гарантирующих женщинам обеспеченность работой в случае изменения их семейного положения, на практике семейное положение женщины не влияет на ее обеспеченность работой. </w:t>
      </w:r>
    </w:p>
    <w:p w:rsidR="00000000" w:rsidRDefault="00000000">
      <w:r>
        <w:t>305.</w:t>
      </w:r>
      <w:r>
        <w:tab/>
        <w:t>Самой последней инициативой Министерства труда и кооперативов, предпринимаемой от имени правительства, является внесение на рассмотрение парламента законопроекта об основных условиях труда 2000 года, которым предусматривается следующее:</w:t>
      </w:r>
    </w:p>
    <w:p w:rsidR="00000000" w:rsidRDefault="00000000">
      <w:pPr>
        <w:numPr>
          <w:ilvl w:val="0"/>
          <w:numId w:val="537"/>
        </w:numPr>
        <w:tabs>
          <w:tab w:val="clear" w:pos="700"/>
          <w:tab w:val="left" w:pos="680"/>
        </w:tabs>
        <w:spacing w:after="0"/>
      </w:pPr>
      <w:r>
        <w:t>регулирование занятости (то есть запрещение дискриминации при найме, увольнении и регулирование других условий и обстоятельств работы);</w:t>
      </w:r>
    </w:p>
    <w:p w:rsidR="00000000" w:rsidRDefault="00000000">
      <w:pPr>
        <w:numPr>
          <w:ilvl w:val="0"/>
          <w:numId w:val="537"/>
        </w:numPr>
        <w:tabs>
          <w:tab w:val="clear" w:pos="700"/>
          <w:tab w:val="left" w:pos="680"/>
        </w:tabs>
        <w:spacing w:after="0"/>
      </w:pPr>
      <w:r>
        <w:t>регулирование рабочего времени (то есть рабочих часов, сверхурочных часов, продолжительности отпуска, перерывов на обед, работы в ночное время и т. д.);</w:t>
      </w:r>
    </w:p>
    <w:p w:rsidR="00000000" w:rsidRDefault="00000000">
      <w:pPr>
        <w:numPr>
          <w:ilvl w:val="0"/>
          <w:numId w:val="537"/>
        </w:numPr>
        <w:tabs>
          <w:tab w:val="clear" w:pos="700"/>
          <w:tab w:val="left" w:pos="680"/>
        </w:tabs>
        <w:spacing w:after="0"/>
      </w:pPr>
      <w:r>
        <w:t>порядок предоставления оплачиваемого отпуска (то есть очередного отпуска, отпуска по болезни, отпуска по беременности и родам, отпуска по семейным обстоятельствам и т. д.);</w:t>
      </w:r>
    </w:p>
    <w:p w:rsidR="00000000" w:rsidRDefault="00000000">
      <w:pPr>
        <w:numPr>
          <w:ilvl w:val="0"/>
          <w:numId w:val="537"/>
        </w:numPr>
        <w:tabs>
          <w:tab w:val="clear" w:pos="700"/>
          <w:tab w:val="left" w:pos="680"/>
        </w:tabs>
        <w:spacing w:after="0"/>
      </w:pPr>
      <w:r>
        <w:t>регулирование отдельных моментов занятости и вознаграждения (то есть информирование работников об их правах, ведение документации, выплата вознаграждения, удержания и т. д.);</w:t>
      </w:r>
    </w:p>
    <w:p w:rsidR="00000000" w:rsidRDefault="00000000">
      <w:pPr>
        <w:numPr>
          <w:ilvl w:val="0"/>
          <w:numId w:val="537"/>
        </w:numPr>
        <w:tabs>
          <w:tab w:val="clear" w:pos="700"/>
          <w:tab w:val="left" w:pos="680"/>
        </w:tabs>
        <w:spacing w:after="0"/>
      </w:pPr>
      <w:r>
        <w:t>порядок прекращения службы или работы по найму (то есть уведомление об окончании срока службы, выплаты по окончании службы, положения о выходном пособии, служебном удостоверении, увольнении и выплате денежного пособия и т. д.);</w:t>
      </w:r>
    </w:p>
    <w:p w:rsidR="00000000" w:rsidRDefault="00000000">
      <w:pPr>
        <w:numPr>
          <w:ilvl w:val="0"/>
          <w:numId w:val="537"/>
        </w:numPr>
        <w:tabs>
          <w:tab w:val="clear" w:pos="700"/>
          <w:tab w:val="left" w:pos="680"/>
        </w:tabs>
        <w:spacing w:after="0"/>
      </w:pPr>
      <w:r>
        <w:t>запрет на использование детского труда и принудительного труда (то есть проведение медицинских обследований, информирование о запретах, возрастных показателях и т. д.);</w:t>
      </w:r>
    </w:p>
    <w:p w:rsidR="00000000" w:rsidRDefault="00000000">
      <w:pPr>
        <w:numPr>
          <w:ilvl w:val="0"/>
          <w:numId w:val="537"/>
        </w:numPr>
        <w:tabs>
          <w:tab w:val="clear" w:pos="700"/>
          <w:tab w:val="left" w:pos="680"/>
        </w:tabs>
        <w:spacing w:after="0"/>
      </w:pPr>
      <w:r>
        <w:t>защита на случай нетрудоспособности;</w:t>
      </w:r>
    </w:p>
    <w:p w:rsidR="00000000" w:rsidRDefault="00000000">
      <w:pPr>
        <w:numPr>
          <w:ilvl w:val="0"/>
          <w:numId w:val="537"/>
        </w:numPr>
        <w:tabs>
          <w:tab w:val="clear" w:pos="700"/>
          <w:tab w:val="left" w:pos="680"/>
        </w:tabs>
        <w:spacing w:after="0"/>
      </w:pPr>
      <w:r>
        <w:t>защита от дискриминации на основании ВИЧ-инфекции или СПИДа (включая сохранение конфиденциальности);</w:t>
      </w:r>
    </w:p>
    <w:p w:rsidR="00000000" w:rsidRDefault="00000000">
      <w:pPr>
        <w:numPr>
          <w:ilvl w:val="0"/>
          <w:numId w:val="537"/>
        </w:numPr>
        <w:tabs>
          <w:tab w:val="clear" w:pos="700"/>
          <w:tab w:val="left" w:pos="680"/>
        </w:tabs>
        <w:spacing w:after="0"/>
      </w:pPr>
      <w:r>
        <w:t xml:space="preserve">запрещение сексуального домогательства (включая процедуру урегулирования жалоб о сексуальном домогательстве); </w:t>
      </w:r>
    </w:p>
    <w:p w:rsidR="00000000" w:rsidRDefault="00000000">
      <w:pPr>
        <w:numPr>
          <w:ilvl w:val="0"/>
          <w:numId w:val="537"/>
        </w:numPr>
        <w:tabs>
          <w:tab w:val="clear" w:pos="700"/>
          <w:tab w:val="left" w:pos="680"/>
        </w:tabs>
        <w:spacing w:after="0"/>
      </w:pPr>
      <w:r>
        <w:t>регулирование занятости через агентство по трудоустройству; и</w:t>
      </w:r>
    </w:p>
    <w:p w:rsidR="00000000" w:rsidRDefault="00000000">
      <w:pPr>
        <w:numPr>
          <w:ilvl w:val="0"/>
          <w:numId w:val="537"/>
        </w:numPr>
        <w:tabs>
          <w:tab w:val="clear" w:pos="700"/>
          <w:tab w:val="left" w:pos="680"/>
        </w:tabs>
      </w:pPr>
      <w:r>
        <w:t>применение закона (то есть создание комиссии по основным условиям труда и разработка правовых норм, касающихся основных условий труда, и т. д.).</w:t>
      </w:r>
    </w:p>
    <w:p w:rsidR="00000000" w:rsidRDefault="00000000">
      <w:r>
        <w:t>306.</w:t>
      </w:r>
      <w:r>
        <w:tab/>
        <w:t>Законопроект был вынесен на рассмотрение парламента, но еще не принят. В случае его принятия он станет одним из самых прогрессивных законодательных актов, направленных на защиту прав человека всех наемных рабочих и служащих в Тринидаде и Тобаго, включая:</w:t>
      </w:r>
    </w:p>
    <w:p w:rsidR="00000000" w:rsidRDefault="00000000">
      <w:pPr>
        <w:numPr>
          <w:ilvl w:val="0"/>
          <w:numId w:val="538"/>
        </w:numPr>
        <w:tabs>
          <w:tab w:val="clear" w:pos="700"/>
          <w:tab w:val="left" w:pos="680"/>
        </w:tabs>
        <w:spacing w:after="0"/>
      </w:pPr>
      <w:r>
        <w:t>право на работу;</w:t>
      </w:r>
    </w:p>
    <w:p w:rsidR="00000000" w:rsidRDefault="00000000">
      <w:pPr>
        <w:numPr>
          <w:ilvl w:val="0"/>
          <w:numId w:val="538"/>
        </w:numPr>
        <w:tabs>
          <w:tab w:val="clear" w:pos="700"/>
          <w:tab w:val="left" w:pos="680"/>
        </w:tabs>
        <w:spacing w:after="0"/>
      </w:pPr>
      <w:r>
        <w:t>право на равные возможности при получении работы;</w:t>
      </w:r>
    </w:p>
    <w:p w:rsidR="00000000" w:rsidRDefault="00000000">
      <w:pPr>
        <w:numPr>
          <w:ilvl w:val="0"/>
          <w:numId w:val="538"/>
        </w:numPr>
        <w:tabs>
          <w:tab w:val="clear" w:pos="700"/>
          <w:tab w:val="left" w:pos="680"/>
        </w:tabs>
        <w:spacing w:after="0"/>
      </w:pPr>
      <w:r>
        <w:t>право на все льготы и условия работы;</w:t>
      </w:r>
    </w:p>
    <w:p w:rsidR="00000000" w:rsidRDefault="00000000">
      <w:pPr>
        <w:numPr>
          <w:ilvl w:val="0"/>
          <w:numId w:val="538"/>
        </w:numPr>
        <w:tabs>
          <w:tab w:val="clear" w:pos="700"/>
          <w:tab w:val="left" w:pos="680"/>
        </w:tabs>
        <w:spacing w:after="0"/>
      </w:pPr>
      <w:r>
        <w:t>право на равное вознаграждение, включая пособия;</w:t>
      </w:r>
    </w:p>
    <w:p w:rsidR="00000000" w:rsidRDefault="00000000">
      <w:pPr>
        <w:numPr>
          <w:ilvl w:val="0"/>
          <w:numId w:val="538"/>
        </w:numPr>
        <w:tabs>
          <w:tab w:val="clear" w:pos="700"/>
          <w:tab w:val="left" w:pos="680"/>
        </w:tabs>
        <w:spacing w:after="0"/>
      </w:pPr>
      <w:r>
        <w:t>право на социальное обеспечение при выходе на пенсию, в  случае болезни, инвалидности и других случаях нетрудоспособности; и</w:t>
      </w:r>
    </w:p>
    <w:p w:rsidR="00000000" w:rsidRDefault="00000000">
      <w:pPr>
        <w:numPr>
          <w:ilvl w:val="0"/>
          <w:numId w:val="538"/>
        </w:numPr>
        <w:tabs>
          <w:tab w:val="clear" w:pos="700"/>
          <w:tab w:val="left" w:pos="680"/>
        </w:tabs>
      </w:pPr>
      <w:r>
        <w:t>право на оплачиваемый отпуск.</w:t>
      </w:r>
    </w:p>
    <w:p w:rsidR="00000000" w:rsidRDefault="00000000">
      <w:r>
        <w:t xml:space="preserve">Следует отметить, что данный законопроект предлагает запретить все формы дискриминации по гендерному признаку и что он будет одинаково применяться как к мужчинам, так и женщинам, включая надомных работников. </w:t>
      </w:r>
    </w:p>
    <w:p w:rsidR="00000000" w:rsidRDefault="00000000">
      <w:pPr>
        <w:pStyle w:val="Heading3"/>
      </w:pPr>
      <w:r>
        <w:t>Статья 12</w:t>
      </w:r>
    </w:p>
    <w:p w:rsidR="00000000" w:rsidRDefault="00000000">
      <w:r>
        <w:t>307.</w:t>
      </w:r>
      <w:r>
        <w:rPr>
          <w:lang w:val="en-US"/>
        </w:rPr>
        <w:tab/>
      </w:r>
      <w:r>
        <w:t>Право на охрану здоровья было официально признано декретом об общественном здравоохранении 1917</w:t>
      </w:r>
      <w:r>
        <w:rPr>
          <w:lang w:val="en-US"/>
        </w:rPr>
        <w:t> </w:t>
      </w:r>
      <w:r>
        <w:t>года (с поправками). Декретом, среди прочего, предусматривается:</w:t>
      </w:r>
    </w:p>
    <w:p w:rsidR="00000000" w:rsidRDefault="00000000">
      <w:pPr>
        <w:numPr>
          <w:ilvl w:val="0"/>
          <w:numId w:val="670"/>
        </w:numPr>
        <w:tabs>
          <w:tab w:val="clear" w:pos="1040"/>
          <w:tab w:val="left" w:pos="1021"/>
        </w:tabs>
        <w:spacing w:after="0"/>
        <w:ind w:left="1020" w:hanging="340"/>
      </w:pPr>
      <w:r>
        <w:t>поддержание чистоты на улицах;</w:t>
      </w:r>
    </w:p>
    <w:p w:rsidR="00000000" w:rsidRDefault="00000000">
      <w:pPr>
        <w:numPr>
          <w:ilvl w:val="0"/>
          <w:numId w:val="670"/>
        </w:numPr>
        <w:tabs>
          <w:tab w:val="clear" w:pos="1040"/>
          <w:tab w:val="left" w:pos="1021"/>
        </w:tabs>
        <w:spacing w:after="0"/>
        <w:ind w:left="1020" w:hanging="340"/>
      </w:pPr>
      <w:r>
        <w:t>строительство зданий с соблюдением соответствующих норм;</w:t>
      </w:r>
    </w:p>
    <w:p w:rsidR="00000000" w:rsidRDefault="00000000">
      <w:pPr>
        <w:numPr>
          <w:ilvl w:val="0"/>
          <w:numId w:val="670"/>
        </w:numPr>
        <w:tabs>
          <w:tab w:val="clear" w:pos="1040"/>
          <w:tab w:val="left" w:pos="1021"/>
        </w:tabs>
        <w:spacing w:after="0"/>
        <w:ind w:left="1020" w:hanging="340"/>
      </w:pPr>
      <w:r>
        <w:t>организация местными органами власти уборки мусора и очистки, включая утилизацию мусора;</w:t>
      </w:r>
    </w:p>
    <w:p w:rsidR="00000000" w:rsidRDefault="00000000">
      <w:pPr>
        <w:numPr>
          <w:ilvl w:val="0"/>
          <w:numId w:val="670"/>
        </w:numPr>
        <w:tabs>
          <w:tab w:val="clear" w:pos="1040"/>
          <w:tab w:val="left" w:pos="1021"/>
        </w:tabs>
        <w:spacing w:after="0"/>
        <w:ind w:left="1020" w:hanging="340"/>
      </w:pPr>
      <w:r>
        <w:t>запрещение нарушений общественного порядка, признанных наносящими вред и представляющими угрозу для здоровья;</w:t>
      </w:r>
    </w:p>
    <w:p w:rsidR="00000000" w:rsidRDefault="00000000">
      <w:pPr>
        <w:numPr>
          <w:ilvl w:val="0"/>
          <w:numId w:val="670"/>
        </w:numPr>
        <w:tabs>
          <w:tab w:val="clear" w:pos="1040"/>
          <w:tab w:val="left" w:pos="1021"/>
        </w:tabs>
        <w:spacing w:after="0"/>
        <w:ind w:left="1020" w:hanging="340"/>
      </w:pPr>
      <w:r>
        <w:t>соблюдение определенных правил при продаже молока;</w:t>
      </w:r>
    </w:p>
    <w:p w:rsidR="00000000" w:rsidRDefault="00000000">
      <w:pPr>
        <w:numPr>
          <w:ilvl w:val="0"/>
          <w:numId w:val="670"/>
        </w:numPr>
        <w:tabs>
          <w:tab w:val="clear" w:pos="1040"/>
          <w:tab w:val="left" w:pos="1021"/>
        </w:tabs>
        <w:spacing w:after="0"/>
        <w:ind w:left="1020" w:hanging="340"/>
      </w:pPr>
      <w:r>
        <w:t>контроль за качеством и уничтожение недоброкачественных пищевых продуктов, предназначавшихся для потребления;</w:t>
      </w:r>
    </w:p>
    <w:p w:rsidR="00000000" w:rsidRDefault="00000000">
      <w:pPr>
        <w:numPr>
          <w:ilvl w:val="0"/>
          <w:numId w:val="670"/>
        </w:numPr>
        <w:tabs>
          <w:tab w:val="clear" w:pos="1040"/>
          <w:tab w:val="left" w:pos="1021"/>
        </w:tabs>
        <w:spacing w:after="0"/>
        <w:ind w:left="1020" w:hanging="340"/>
      </w:pPr>
      <w:r>
        <w:t>запрещение загрязнения источников водоснабжения;</w:t>
      </w:r>
    </w:p>
    <w:p w:rsidR="00000000" w:rsidRDefault="00000000">
      <w:pPr>
        <w:numPr>
          <w:ilvl w:val="0"/>
          <w:numId w:val="670"/>
        </w:numPr>
        <w:tabs>
          <w:tab w:val="clear" w:pos="1040"/>
          <w:tab w:val="left" w:pos="1021"/>
        </w:tabs>
        <w:spacing w:after="0"/>
        <w:ind w:left="1020" w:hanging="340"/>
      </w:pPr>
      <w:r>
        <w:t>поддержание достаточной безопасности источников водоснабжения во всех общественных зданиях;</w:t>
      </w:r>
    </w:p>
    <w:p w:rsidR="00000000" w:rsidRDefault="00000000">
      <w:pPr>
        <w:numPr>
          <w:ilvl w:val="0"/>
          <w:numId w:val="670"/>
        </w:numPr>
        <w:tabs>
          <w:tab w:val="clear" w:pos="1040"/>
          <w:tab w:val="left" w:pos="1021"/>
        </w:tabs>
        <w:spacing w:after="0"/>
        <w:ind w:left="1020" w:hanging="340"/>
      </w:pPr>
      <w:r>
        <w:t>борьба с инфекционными заболеваниями;</w:t>
      </w:r>
    </w:p>
    <w:p w:rsidR="00000000" w:rsidRDefault="00000000">
      <w:pPr>
        <w:numPr>
          <w:ilvl w:val="0"/>
          <w:numId w:val="670"/>
        </w:numPr>
        <w:tabs>
          <w:tab w:val="clear" w:pos="1040"/>
          <w:tab w:val="left" w:pos="1021"/>
        </w:tabs>
        <w:spacing w:after="0"/>
        <w:ind w:left="1020" w:hanging="340"/>
      </w:pPr>
      <w:r>
        <w:t>соблюдение надлежащих условий при работе пекарен (которые определяются как любое место, где обычно выпекаются, выставляются, предлагаются для продажи или хранятся с целью последующей продажи или подготовки для продажи либо были недавно проданы для потребления хлеб, печенье, пирожные или кондитерские изделия, выпечкой и продажей которых занимается данное заведение);</w:t>
      </w:r>
    </w:p>
    <w:p w:rsidR="00000000" w:rsidRDefault="00000000">
      <w:pPr>
        <w:numPr>
          <w:ilvl w:val="0"/>
          <w:numId w:val="670"/>
        </w:numPr>
        <w:tabs>
          <w:tab w:val="clear" w:pos="1040"/>
          <w:tab w:val="left" w:pos="1021"/>
        </w:tabs>
        <w:spacing w:after="0"/>
        <w:ind w:left="1020" w:hanging="340"/>
      </w:pPr>
      <w:r>
        <w:t>соблюдение гигиены в работе гостиниц, ресторанов, магазинов, где продукты питания продаются в розницу и лавочникам; фабрик, цехов, парикмахерских и подобных предприятий, боен и т. д.;</w:t>
      </w:r>
    </w:p>
    <w:p w:rsidR="00000000" w:rsidRDefault="00000000">
      <w:pPr>
        <w:numPr>
          <w:ilvl w:val="0"/>
          <w:numId w:val="670"/>
        </w:numPr>
        <w:tabs>
          <w:tab w:val="clear" w:pos="1040"/>
          <w:tab w:val="left" w:pos="1021"/>
        </w:tabs>
        <w:ind w:left="1020" w:hanging="340"/>
      </w:pPr>
      <w:r>
        <w:t>соблюдение условий продажи свежего мяса в отведенных местах.</w:t>
      </w:r>
    </w:p>
    <w:p w:rsidR="00000000" w:rsidRDefault="00000000">
      <w:r>
        <w:t>308.</w:t>
      </w:r>
      <w:r>
        <w:tab/>
        <w:t>Медицинское обслуживание в Тринидаде и Тобаго предоставляется учреждениями как государственного, так и частного сектора.</w:t>
      </w:r>
    </w:p>
    <w:p w:rsidR="00000000" w:rsidRDefault="00000000">
      <w:r>
        <w:t>309.</w:t>
      </w:r>
      <w:r>
        <w:tab/>
        <w:t>В начале 80-х годов медицинское обслуживание в Тринидаде и Тобаго обеспечивалось в основном правительством через систему Министерства здравоохранения. Это Министерство отвечает за функционирование систем медицинского обслуживания и традиционно имеет двухуровневую организацию. На центральном уровне, или в центральном учреждении, формируется политика в области здравоохранения, разрабатываются проекты и программы, а оперативный уровень представляет собой сочетание учреждений первичной, вторичной (специализированной) и третичной (высокоспециализированной) медицинской помощи. В центральных больницах Порт-оф-Спейна и Сан-Фернандо в основном предоставляются медицинские услуги вторичного и третичного уровня, тогда  как четыре районные и три специализированные больницы предоставляют медицинские услуги вторичного уровня.</w:t>
      </w:r>
    </w:p>
    <w:p w:rsidR="00000000" w:rsidRDefault="00000000">
      <w:r>
        <w:t>310.</w:t>
      </w:r>
      <w:r>
        <w:tab/>
        <w:t>В 1994 году правительство приняло закон о региональных органах здравоохранения № 5 1994 года, предусматривающий создание региональных служб здравоохранения, полномочия и функции которых изложены в разделе 6 следующим образом:</w:t>
      </w:r>
    </w:p>
    <w:p w:rsidR="00000000" w:rsidRDefault="00000000">
      <w:pPr>
        <w:tabs>
          <w:tab w:val="clear" w:pos="340"/>
          <w:tab w:val="left" w:pos="1021"/>
        </w:tabs>
        <w:spacing w:after="0"/>
        <w:ind w:left="1021" w:hanging="1021"/>
        <w:rPr>
          <w:i/>
        </w:rPr>
      </w:pPr>
      <w:r>
        <w:rPr>
          <w:i/>
          <w:lang w:val="en-US"/>
        </w:rPr>
        <w:tab/>
      </w:r>
      <w:r>
        <w:rPr>
          <w:i/>
        </w:rPr>
        <w:t>а)</w:t>
      </w:r>
      <w:r>
        <w:rPr>
          <w:i/>
        </w:rPr>
        <w:tab/>
        <w:t>обеспечивать эффективность систем предоставления медико-санитарной помощи;</w:t>
      </w:r>
    </w:p>
    <w:p w:rsidR="00000000" w:rsidRDefault="00000000">
      <w:pPr>
        <w:tabs>
          <w:tab w:val="clear" w:pos="340"/>
          <w:tab w:val="left" w:pos="1021"/>
        </w:tabs>
        <w:spacing w:after="0"/>
        <w:ind w:left="1021" w:hanging="1021"/>
        <w:rPr>
          <w:i/>
        </w:rPr>
      </w:pPr>
      <w:r>
        <w:rPr>
          <w:i/>
          <w:lang w:val="en-US"/>
        </w:rPr>
        <w:tab/>
        <w:t>b</w:t>
      </w:r>
      <w:r>
        <w:rPr>
          <w:i/>
        </w:rPr>
        <w:t>)</w:t>
      </w:r>
      <w:r>
        <w:rPr>
          <w:i/>
        </w:rPr>
        <w:tab/>
        <w:t>осуществлять сотрудничество с Вест-Индским университетом и любым другим признанным институтом в области обучения и профессиональной подготовки персонала и проведения исследований в медицине, сестринском деле, стоматологии, фармакологии, а также ведется научная работа в области биомедицины и санитарии, ветеринарии и в любых других дополнительных и вспомогательных областях;</w:t>
      </w:r>
    </w:p>
    <w:p w:rsidR="00000000" w:rsidRDefault="00000000">
      <w:pPr>
        <w:tabs>
          <w:tab w:val="clear" w:pos="340"/>
          <w:tab w:val="left" w:pos="1021"/>
        </w:tabs>
        <w:spacing w:after="0"/>
        <w:ind w:left="1021" w:hanging="1021"/>
        <w:rPr>
          <w:i/>
        </w:rPr>
      </w:pPr>
      <w:r>
        <w:rPr>
          <w:i/>
          <w:lang w:val="en-US"/>
        </w:rPr>
        <w:tab/>
      </w:r>
      <w:r>
        <w:rPr>
          <w:i/>
        </w:rPr>
        <w:t>с)</w:t>
      </w:r>
      <w:r>
        <w:rPr>
          <w:i/>
        </w:rPr>
        <w:tab/>
        <w:t>сотрудничать с муниципалитетами и консультировать их по вопросам общественного здравоохранения;</w:t>
      </w:r>
    </w:p>
    <w:p w:rsidR="00000000" w:rsidRDefault="00000000">
      <w:pPr>
        <w:tabs>
          <w:tab w:val="clear" w:pos="340"/>
          <w:tab w:val="left" w:pos="1021"/>
        </w:tabs>
        <w:spacing w:after="0"/>
        <w:ind w:left="1021" w:hanging="1021"/>
        <w:rPr>
          <w:i/>
        </w:rPr>
      </w:pPr>
      <w:r>
        <w:rPr>
          <w:i/>
          <w:lang w:val="en-US"/>
        </w:rPr>
        <w:tab/>
        <w:t>d</w:t>
      </w:r>
      <w:r>
        <w:rPr>
          <w:i/>
        </w:rPr>
        <w:t>)</w:t>
      </w:r>
      <w:r>
        <w:rPr>
          <w:i/>
        </w:rPr>
        <w:tab/>
        <w:t>эксплуатировать, создавать, оснащать, укомплектовывать, осуществлять техническое обслуживание, управлять, охранять и ремонтировать всю свою собственность;</w:t>
      </w:r>
    </w:p>
    <w:p w:rsidR="00000000" w:rsidRDefault="00000000">
      <w:pPr>
        <w:tabs>
          <w:tab w:val="clear" w:pos="340"/>
          <w:tab w:val="left" w:pos="1021"/>
        </w:tabs>
        <w:spacing w:after="0"/>
        <w:ind w:left="1021" w:hanging="1021"/>
        <w:rPr>
          <w:i/>
        </w:rPr>
      </w:pPr>
      <w:r>
        <w:rPr>
          <w:i/>
          <w:lang w:val="en-US"/>
        </w:rPr>
        <w:tab/>
        <w:t>e</w:t>
      </w:r>
      <w:r>
        <w:rPr>
          <w:i/>
        </w:rPr>
        <w:t>)</w:t>
      </w:r>
      <w:r>
        <w:rPr>
          <w:i/>
        </w:rPr>
        <w:tab/>
        <w:t>способствовать созданию новых систем медико-санитарной помощи;</w:t>
      </w:r>
    </w:p>
    <w:p w:rsidR="00000000" w:rsidRDefault="00000000">
      <w:pPr>
        <w:tabs>
          <w:tab w:val="clear" w:pos="340"/>
          <w:tab w:val="left" w:pos="1021"/>
        </w:tabs>
        <w:spacing w:after="0"/>
        <w:ind w:left="1021" w:hanging="1021"/>
        <w:rPr>
          <w:i/>
        </w:rPr>
      </w:pPr>
      <w:r>
        <w:rPr>
          <w:i/>
          <w:lang w:val="en-US"/>
        </w:rPr>
        <w:tab/>
        <w:t>f</w:t>
      </w:r>
      <w:r>
        <w:rPr>
          <w:i/>
        </w:rPr>
        <w:t>)</w:t>
      </w:r>
      <w:r>
        <w:rPr>
          <w:i/>
        </w:rPr>
        <w:tab/>
        <w:t>гарантировать использование учреждений здравоохранения для предоставления услуг, обучения и исследований;</w:t>
      </w:r>
    </w:p>
    <w:p w:rsidR="00000000" w:rsidRDefault="00000000">
      <w:pPr>
        <w:tabs>
          <w:tab w:val="clear" w:pos="340"/>
          <w:tab w:val="left" w:pos="1021"/>
        </w:tabs>
        <w:spacing w:after="0"/>
        <w:ind w:left="1021" w:hanging="1021"/>
        <w:rPr>
          <w:i/>
        </w:rPr>
      </w:pPr>
      <w:r>
        <w:rPr>
          <w:i/>
          <w:lang w:val="en-US"/>
        </w:rPr>
        <w:tab/>
        <w:t>g</w:t>
      </w:r>
      <w:r>
        <w:rPr>
          <w:i/>
        </w:rPr>
        <w:t>)</w:t>
      </w:r>
      <w:r>
        <w:rPr>
          <w:i/>
        </w:rPr>
        <w:tab/>
        <w:t>создавать и развивать взаимоотношения с национальными, региональными и международными органами, занимающимися подобными или смежными вопросами; и</w:t>
      </w:r>
    </w:p>
    <w:p w:rsidR="00000000" w:rsidRDefault="00000000">
      <w:pPr>
        <w:tabs>
          <w:tab w:val="clear" w:pos="340"/>
          <w:tab w:val="left" w:pos="1021"/>
        </w:tabs>
        <w:ind w:left="1021" w:hanging="1021"/>
      </w:pPr>
      <w:r>
        <w:rPr>
          <w:i/>
          <w:lang w:val="en-US"/>
        </w:rPr>
        <w:tab/>
        <w:t>h</w:t>
      </w:r>
      <w:r>
        <w:rPr>
          <w:i/>
        </w:rPr>
        <w:t>)</w:t>
      </w:r>
      <w:r>
        <w:rPr>
          <w:i/>
        </w:rPr>
        <w:tab/>
        <w:t>осуществлять все виды деятельности, которые бы способствовали и благоприятствовали достижению целей этой службы.</w:t>
      </w:r>
    </w:p>
    <w:p w:rsidR="00000000" w:rsidRDefault="00000000">
      <w:r>
        <w:t>Медико-санитарная помощь, по определению, приведенному в данном законе, включает также услуги стоматологов и окулистов.</w:t>
      </w:r>
    </w:p>
    <w:p w:rsidR="00000000" w:rsidRDefault="00000000">
      <w:r>
        <w:t>311.</w:t>
      </w:r>
      <w:r>
        <w:tab/>
        <w:t>По закону о региональных органах здравоохранения №5 1994 года в первый список медицинских учреждений входят пять региональных органов здравоохранения; к ним приписаны муниципалитеты, для которых они должны предоставлять медицинские услуги. В третьем списке, в соответствии с этим законом, представлены тип и число медицинских учреждений, которые в силу этого закона подчинены различным региональным службам здравоохранения. Они представлены в следующем виде:</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1418"/>
        <w:gridCol w:w="1247"/>
        <w:gridCol w:w="1247"/>
        <w:gridCol w:w="1247"/>
        <w:gridCol w:w="1588"/>
        <w:gridCol w:w="794"/>
      </w:tblGrid>
      <w:tr w:rsidR="00000000">
        <w:tblPrEx>
          <w:tblCellMar>
            <w:top w:w="0" w:type="dxa"/>
            <w:bottom w:w="0" w:type="dxa"/>
          </w:tblCellMar>
        </w:tblPrEx>
        <w:tc>
          <w:tcPr>
            <w:tcW w:w="1418" w:type="dxa"/>
          </w:tcPr>
          <w:p w:rsidR="00000000" w:rsidRDefault="00000000">
            <w:pPr>
              <w:spacing w:before="60" w:after="20" w:line="240" w:lineRule="auto"/>
              <w:jc w:val="center"/>
              <w:rPr>
                <w:rFonts w:ascii="Arial" w:hAnsi="Arial"/>
                <w:sz w:val="16"/>
              </w:rPr>
            </w:pPr>
            <w:r>
              <w:rPr>
                <w:rFonts w:ascii="Arial" w:hAnsi="Arial"/>
                <w:sz w:val="16"/>
              </w:rPr>
              <w:t>Региональный орган здравоохранения</w:t>
            </w:r>
          </w:p>
        </w:tc>
        <w:tc>
          <w:tcPr>
            <w:tcW w:w="1418" w:type="dxa"/>
          </w:tcPr>
          <w:p w:rsidR="00000000" w:rsidRDefault="00000000">
            <w:pPr>
              <w:spacing w:before="60" w:after="20" w:line="240" w:lineRule="auto"/>
              <w:jc w:val="center"/>
              <w:rPr>
                <w:rFonts w:ascii="Arial" w:hAnsi="Arial"/>
                <w:sz w:val="16"/>
              </w:rPr>
            </w:pPr>
            <w:r>
              <w:rPr>
                <w:rFonts w:ascii="Arial" w:hAnsi="Arial"/>
                <w:sz w:val="16"/>
              </w:rPr>
              <w:t>Число приписанных к нему муниципалитетов</w:t>
            </w:r>
          </w:p>
        </w:tc>
        <w:tc>
          <w:tcPr>
            <w:tcW w:w="1247" w:type="dxa"/>
          </w:tcPr>
          <w:p w:rsidR="00000000" w:rsidRDefault="00000000">
            <w:pPr>
              <w:spacing w:before="60" w:after="20" w:line="240" w:lineRule="auto"/>
              <w:jc w:val="center"/>
              <w:rPr>
                <w:rFonts w:ascii="Arial" w:hAnsi="Arial"/>
                <w:sz w:val="16"/>
              </w:rPr>
            </w:pPr>
            <w:r>
              <w:rPr>
                <w:rFonts w:ascii="Arial" w:hAnsi="Arial"/>
                <w:sz w:val="16"/>
              </w:rPr>
              <w:t>Число центров здоровья</w:t>
            </w:r>
          </w:p>
        </w:tc>
        <w:tc>
          <w:tcPr>
            <w:tcW w:w="1247" w:type="dxa"/>
          </w:tcPr>
          <w:p w:rsidR="00000000" w:rsidRDefault="00000000">
            <w:pPr>
              <w:spacing w:before="60" w:after="20" w:line="240" w:lineRule="auto"/>
              <w:jc w:val="center"/>
              <w:rPr>
                <w:rFonts w:ascii="Arial" w:hAnsi="Arial"/>
                <w:sz w:val="16"/>
              </w:rPr>
            </w:pPr>
            <w:r>
              <w:rPr>
                <w:rFonts w:ascii="Arial" w:hAnsi="Arial"/>
                <w:sz w:val="16"/>
              </w:rPr>
              <w:t xml:space="preserve">Число </w:t>
            </w:r>
            <w:r>
              <w:rPr>
                <w:rFonts w:ascii="Arial" w:hAnsi="Arial"/>
                <w:sz w:val="16"/>
              </w:rPr>
              <w:br/>
              <w:t>больниц</w:t>
            </w:r>
          </w:p>
        </w:tc>
        <w:tc>
          <w:tcPr>
            <w:tcW w:w="1247" w:type="dxa"/>
          </w:tcPr>
          <w:p w:rsidR="00000000" w:rsidRDefault="00000000">
            <w:pPr>
              <w:spacing w:before="60" w:after="20" w:line="240" w:lineRule="auto"/>
              <w:jc w:val="center"/>
              <w:rPr>
                <w:rFonts w:ascii="Arial" w:hAnsi="Arial"/>
                <w:sz w:val="16"/>
              </w:rPr>
            </w:pPr>
            <w:r>
              <w:rPr>
                <w:rFonts w:ascii="Arial" w:hAnsi="Arial"/>
                <w:sz w:val="16"/>
              </w:rPr>
              <w:t>Число больниц и центров здоровья</w:t>
            </w:r>
          </w:p>
        </w:tc>
        <w:tc>
          <w:tcPr>
            <w:tcW w:w="1588" w:type="dxa"/>
          </w:tcPr>
          <w:p w:rsidR="00000000" w:rsidRDefault="00000000">
            <w:pPr>
              <w:spacing w:before="60" w:after="20" w:line="240" w:lineRule="auto"/>
              <w:jc w:val="center"/>
              <w:rPr>
                <w:rFonts w:ascii="Arial" w:hAnsi="Arial"/>
                <w:sz w:val="16"/>
              </w:rPr>
            </w:pPr>
            <w:r>
              <w:rPr>
                <w:rFonts w:ascii="Arial" w:hAnsi="Arial"/>
                <w:sz w:val="16"/>
              </w:rPr>
              <w:t>Число отделений для больных, нуждающихся в длительном уходе</w:t>
            </w:r>
          </w:p>
        </w:tc>
        <w:tc>
          <w:tcPr>
            <w:tcW w:w="794" w:type="dxa"/>
          </w:tcPr>
          <w:p w:rsidR="00000000" w:rsidRDefault="00000000">
            <w:pPr>
              <w:spacing w:before="60" w:after="20" w:line="240" w:lineRule="auto"/>
              <w:jc w:val="center"/>
              <w:rPr>
                <w:rFonts w:ascii="Arial" w:hAnsi="Arial"/>
                <w:sz w:val="16"/>
              </w:rPr>
            </w:pPr>
            <w:r>
              <w:rPr>
                <w:rFonts w:ascii="Arial" w:hAnsi="Arial"/>
                <w:sz w:val="16"/>
              </w:rPr>
              <w:t>Другие</w:t>
            </w:r>
          </w:p>
        </w:tc>
      </w:tr>
      <w:tr w:rsidR="00000000">
        <w:tblPrEx>
          <w:tblCellMar>
            <w:top w:w="0" w:type="dxa"/>
            <w:bottom w:w="0" w:type="dxa"/>
          </w:tblCellMar>
        </w:tblPrEx>
        <w:tc>
          <w:tcPr>
            <w:tcW w:w="1418" w:type="dxa"/>
          </w:tcPr>
          <w:p w:rsidR="00000000" w:rsidRDefault="00000000">
            <w:pPr>
              <w:spacing w:before="40" w:after="40" w:line="240" w:lineRule="auto"/>
              <w:rPr>
                <w:rFonts w:ascii="Arial" w:hAnsi="Arial"/>
                <w:sz w:val="16"/>
              </w:rPr>
            </w:pPr>
            <w:r>
              <w:rPr>
                <w:rFonts w:ascii="Arial" w:hAnsi="Arial"/>
                <w:sz w:val="16"/>
              </w:rPr>
              <w:t>Северо-Западный</w:t>
            </w:r>
          </w:p>
        </w:tc>
        <w:tc>
          <w:tcPr>
            <w:tcW w:w="1418" w:type="dxa"/>
          </w:tcPr>
          <w:p w:rsidR="00000000" w:rsidRDefault="00000000">
            <w:pPr>
              <w:spacing w:before="40" w:after="40" w:line="240" w:lineRule="auto"/>
              <w:jc w:val="center"/>
              <w:rPr>
                <w:rFonts w:ascii="Arial" w:hAnsi="Arial"/>
                <w:sz w:val="16"/>
              </w:rPr>
            </w:pPr>
            <w:r>
              <w:rPr>
                <w:rFonts w:ascii="Arial" w:hAnsi="Arial"/>
                <w:sz w:val="16"/>
              </w:rPr>
              <w:t>3</w:t>
            </w:r>
          </w:p>
        </w:tc>
        <w:tc>
          <w:tcPr>
            <w:tcW w:w="1247" w:type="dxa"/>
          </w:tcPr>
          <w:p w:rsidR="00000000" w:rsidRDefault="00000000">
            <w:pPr>
              <w:spacing w:before="40" w:after="40" w:line="240" w:lineRule="auto"/>
              <w:jc w:val="center"/>
              <w:rPr>
                <w:rFonts w:ascii="Arial" w:hAnsi="Arial"/>
                <w:sz w:val="16"/>
              </w:rPr>
            </w:pPr>
            <w:r>
              <w:rPr>
                <w:rFonts w:ascii="Arial" w:hAnsi="Arial"/>
                <w:sz w:val="16"/>
              </w:rPr>
              <w:t>18</w:t>
            </w:r>
          </w:p>
        </w:tc>
        <w:tc>
          <w:tcPr>
            <w:tcW w:w="1247" w:type="dxa"/>
          </w:tcPr>
          <w:p w:rsidR="00000000" w:rsidRDefault="00000000">
            <w:pPr>
              <w:spacing w:before="40" w:after="40" w:line="240" w:lineRule="auto"/>
              <w:jc w:val="center"/>
              <w:rPr>
                <w:rFonts w:ascii="Arial" w:hAnsi="Arial"/>
                <w:sz w:val="16"/>
              </w:rPr>
            </w:pPr>
            <w:r>
              <w:rPr>
                <w:rFonts w:ascii="Arial" w:hAnsi="Arial"/>
                <w:sz w:val="16"/>
              </w:rPr>
              <w:t>2</w:t>
            </w:r>
          </w:p>
        </w:tc>
        <w:tc>
          <w:tcPr>
            <w:tcW w:w="1247" w:type="dxa"/>
          </w:tcPr>
          <w:p w:rsidR="00000000" w:rsidRDefault="00000000">
            <w:pPr>
              <w:spacing w:before="40" w:after="40" w:line="240" w:lineRule="auto"/>
              <w:jc w:val="center"/>
              <w:rPr>
                <w:rFonts w:ascii="Arial" w:hAnsi="Arial"/>
                <w:sz w:val="16"/>
              </w:rPr>
            </w:pPr>
            <w:r>
              <w:rPr>
                <w:rFonts w:ascii="Arial" w:hAnsi="Arial"/>
                <w:sz w:val="16"/>
              </w:rPr>
              <w:t>–</w:t>
            </w:r>
          </w:p>
        </w:tc>
        <w:tc>
          <w:tcPr>
            <w:tcW w:w="1588" w:type="dxa"/>
          </w:tcPr>
          <w:p w:rsidR="00000000" w:rsidRDefault="00000000">
            <w:pPr>
              <w:spacing w:before="40" w:after="40" w:line="240" w:lineRule="auto"/>
              <w:jc w:val="center"/>
              <w:rPr>
                <w:rFonts w:ascii="Arial" w:hAnsi="Arial"/>
                <w:sz w:val="16"/>
              </w:rPr>
            </w:pPr>
            <w:r>
              <w:rPr>
                <w:rFonts w:ascii="Arial" w:hAnsi="Arial"/>
                <w:sz w:val="16"/>
              </w:rPr>
              <w:t>–</w:t>
            </w:r>
          </w:p>
        </w:tc>
        <w:tc>
          <w:tcPr>
            <w:tcW w:w="794" w:type="dxa"/>
          </w:tcPr>
          <w:p w:rsidR="00000000" w:rsidRDefault="00000000">
            <w:pPr>
              <w:spacing w:before="40" w:after="4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1418" w:type="dxa"/>
          </w:tcPr>
          <w:p w:rsidR="00000000" w:rsidRDefault="00000000">
            <w:pPr>
              <w:spacing w:before="40" w:after="40" w:line="240" w:lineRule="auto"/>
              <w:rPr>
                <w:rFonts w:ascii="Arial" w:hAnsi="Arial"/>
                <w:sz w:val="16"/>
              </w:rPr>
            </w:pPr>
            <w:r>
              <w:rPr>
                <w:rFonts w:ascii="Arial" w:hAnsi="Arial"/>
                <w:sz w:val="16"/>
              </w:rPr>
              <w:t>Центральный</w:t>
            </w:r>
          </w:p>
        </w:tc>
        <w:tc>
          <w:tcPr>
            <w:tcW w:w="1418" w:type="dxa"/>
          </w:tcPr>
          <w:p w:rsidR="00000000" w:rsidRDefault="00000000">
            <w:pPr>
              <w:spacing w:before="40" w:after="40" w:line="240" w:lineRule="auto"/>
              <w:jc w:val="center"/>
              <w:rPr>
                <w:rFonts w:ascii="Arial" w:hAnsi="Arial"/>
                <w:sz w:val="16"/>
              </w:rPr>
            </w:pPr>
            <w:r>
              <w:rPr>
                <w:rFonts w:ascii="Arial" w:hAnsi="Arial"/>
                <w:sz w:val="16"/>
              </w:rPr>
              <w:t>4</w:t>
            </w:r>
          </w:p>
        </w:tc>
        <w:tc>
          <w:tcPr>
            <w:tcW w:w="1247" w:type="dxa"/>
          </w:tcPr>
          <w:p w:rsidR="00000000" w:rsidRDefault="00000000">
            <w:pPr>
              <w:spacing w:before="40" w:after="40" w:line="240" w:lineRule="auto"/>
              <w:jc w:val="center"/>
              <w:rPr>
                <w:rFonts w:ascii="Arial" w:hAnsi="Arial"/>
                <w:sz w:val="16"/>
              </w:rPr>
            </w:pPr>
            <w:r>
              <w:rPr>
                <w:rFonts w:ascii="Arial" w:hAnsi="Arial"/>
                <w:sz w:val="16"/>
              </w:rPr>
              <w:t>20</w:t>
            </w:r>
          </w:p>
        </w:tc>
        <w:tc>
          <w:tcPr>
            <w:tcW w:w="1247" w:type="dxa"/>
          </w:tcPr>
          <w:p w:rsidR="00000000" w:rsidRDefault="00000000">
            <w:pPr>
              <w:spacing w:before="40" w:after="40" w:line="240" w:lineRule="auto"/>
              <w:jc w:val="center"/>
              <w:rPr>
                <w:rFonts w:ascii="Arial" w:hAnsi="Arial"/>
                <w:sz w:val="16"/>
              </w:rPr>
            </w:pPr>
            <w:r>
              <w:rPr>
                <w:rFonts w:ascii="Arial" w:hAnsi="Arial"/>
                <w:sz w:val="16"/>
              </w:rPr>
              <w:t>1</w:t>
            </w:r>
          </w:p>
        </w:tc>
        <w:tc>
          <w:tcPr>
            <w:tcW w:w="1247" w:type="dxa"/>
          </w:tcPr>
          <w:p w:rsidR="00000000" w:rsidRDefault="00000000">
            <w:pPr>
              <w:spacing w:before="40" w:after="40" w:line="240" w:lineRule="auto"/>
              <w:jc w:val="center"/>
              <w:rPr>
                <w:rFonts w:ascii="Arial" w:hAnsi="Arial"/>
                <w:sz w:val="16"/>
              </w:rPr>
            </w:pPr>
            <w:r>
              <w:rPr>
                <w:rFonts w:ascii="Arial" w:hAnsi="Arial"/>
                <w:sz w:val="16"/>
              </w:rPr>
              <w:t>2</w:t>
            </w:r>
          </w:p>
        </w:tc>
        <w:tc>
          <w:tcPr>
            <w:tcW w:w="1588" w:type="dxa"/>
          </w:tcPr>
          <w:p w:rsidR="00000000" w:rsidRDefault="00000000">
            <w:pPr>
              <w:spacing w:before="40" w:after="40" w:line="240" w:lineRule="auto"/>
              <w:jc w:val="center"/>
              <w:rPr>
                <w:rFonts w:ascii="Arial" w:hAnsi="Arial"/>
                <w:sz w:val="16"/>
              </w:rPr>
            </w:pPr>
            <w:r>
              <w:rPr>
                <w:rFonts w:ascii="Arial" w:hAnsi="Arial"/>
                <w:sz w:val="16"/>
              </w:rPr>
              <w:t>–</w:t>
            </w:r>
          </w:p>
        </w:tc>
        <w:tc>
          <w:tcPr>
            <w:tcW w:w="794" w:type="dxa"/>
          </w:tcPr>
          <w:p w:rsidR="00000000" w:rsidRDefault="00000000">
            <w:pPr>
              <w:spacing w:before="40" w:after="40" w:line="240" w:lineRule="auto"/>
              <w:jc w:val="center"/>
              <w:rPr>
                <w:rFonts w:ascii="Arial" w:hAnsi="Arial"/>
                <w:sz w:val="16"/>
              </w:rPr>
            </w:pPr>
            <w:r>
              <w:rPr>
                <w:rFonts w:ascii="Arial" w:hAnsi="Arial"/>
                <w:sz w:val="16"/>
              </w:rPr>
              <w:t>1</w:t>
            </w:r>
          </w:p>
        </w:tc>
      </w:tr>
      <w:tr w:rsidR="00000000">
        <w:tblPrEx>
          <w:tblCellMar>
            <w:top w:w="0" w:type="dxa"/>
            <w:bottom w:w="0" w:type="dxa"/>
          </w:tblCellMar>
        </w:tblPrEx>
        <w:tc>
          <w:tcPr>
            <w:tcW w:w="1418" w:type="dxa"/>
          </w:tcPr>
          <w:p w:rsidR="00000000" w:rsidRDefault="00000000">
            <w:pPr>
              <w:spacing w:before="40" w:after="40" w:line="240" w:lineRule="auto"/>
              <w:rPr>
                <w:rFonts w:ascii="Arial" w:hAnsi="Arial"/>
                <w:sz w:val="16"/>
              </w:rPr>
            </w:pPr>
            <w:r>
              <w:rPr>
                <w:rFonts w:ascii="Arial" w:hAnsi="Arial"/>
                <w:sz w:val="16"/>
              </w:rPr>
              <w:t>Юго-Западный</w:t>
            </w:r>
          </w:p>
        </w:tc>
        <w:tc>
          <w:tcPr>
            <w:tcW w:w="1418" w:type="dxa"/>
          </w:tcPr>
          <w:p w:rsidR="00000000" w:rsidRDefault="00000000">
            <w:pPr>
              <w:spacing w:before="40" w:after="40" w:line="240" w:lineRule="auto"/>
              <w:jc w:val="center"/>
              <w:rPr>
                <w:rFonts w:ascii="Arial" w:hAnsi="Arial"/>
                <w:sz w:val="16"/>
              </w:rPr>
            </w:pPr>
            <w:r>
              <w:rPr>
                <w:rFonts w:ascii="Arial" w:hAnsi="Arial"/>
                <w:sz w:val="16"/>
              </w:rPr>
              <w:t>5</w:t>
            </w:r>
          </w:p>
        </w:tc>
        <w:tc>
          <w:tcPr>
            <w:tcW w:w="1247" w:type="dxa"/>
          </w:tcPr>
          <w:p w:rsidR="00000000" w:rsidRDefault="00000000">
            <w:pPr>
              <w:spacing w:before="40" w:after="40" w:line="240" w:lineRule="auto"/>
              <w:jc w:val="center"/>
              <w:rPr>
                <w:rFonts w:ascii="Arial" w:hAnsi="Arial"/>
                <w:sz w:val="16"/>
              </w:rPr>
            </w:pPr>
            <w:r>
              <w:rPr>
                <w:rFonts w:ascii="Arial" w:hAnsi="Arial"/>
                <w:sz w:val="16"/>
              </w:rPr>
              <w:t>31</w:t>
            </w:r>
          </w:p>
        </w:tc>
        <w:tc>
          <w:tcPr>
            <w:tcW w:w="1247" w:type="dxa"/>
          </w:tcPr>
          <w:p w:rsidR="00000000" w:rsidRDefault="00000000">
            <w:pPr>
              <w:spacing w:before="40" w:after="40" w:line="240" w:lineRule="auto"/>
              <w:jc w:val="center"/>
              <w:rPr>
                <w:rFonts w:ascii="Arial" w:hAnsi="Arial"/>
                <w:sz w:val="16"/>
              </w:rPr>
            </w:pPr>
            <w:r>
              <w:rPr>
                <w:rFonts w:ascii="Arial" w:hAnsi="Arial"/>
                <w:sz w:val="16"/>
              </w:rPr>
              <w:t>1</w:t>
            </w:r>
          </w:p>
        </w:tc>
        <w:tc>
          <w:tcPr>
            <w:tcW w:w="1247" w:type="dxa"/>
          </w:tcPr>
          <w:p w:rsidR="00000000" w:rsidRDefault="00000000">
            <w:pPr>
              <w:spacing w:before="40" w:after="40" w:line="240" w:lineRule="auto"/>
              <w:jc w:val="center"/>
              <w:rPr>
                <w:rFonts w:ascii="Arial" w:hAnsi="Arial"/>
                <w:sz w:val="16"/>
              </w:rPr>
            </w:pPr>
            <w:r>
              <w:rPr>
                <w:rFonts w:ascii="Arial" w:hAnsi="Arial"/>
                <w:sz w:val="16"/>
              </w:rPr>
              <w:t>1</w:t>
            </w:r>
          </w:p>
        </w:tc>
        <w:tc>
          <w:tcPr>
            <w:tcW w:w="1588" w:type="dxa"/>
          </w:tcPr>
          <w:p w:rsidR="00000000" w:rsidRDefault="00000000">
            <w:pPr>
              <w:spacing w:before="40" w:after="40" w:line="240" w:lineRule="auto"/>
              <w:jc w:val="center"/>
              <w:rPr>
                <w:rFonts w:ascii="Arial" w:hAnsi="Arial"/>
                <w:sz w:val="16"/>
              </w:rPr>
            </w:pPr>
            <w:r>
              <w:rPr>
                <w:rFonts w:ascii="Arial" w:hAnsi="Arial"/>
                <w:sz w:val="16"/>
              </w:rPr>
              <w:t>1</w:t>
            </w:r>
          </w:p>
        </w:tc>
        <w:tc>
          <w:tcPr>
            <w:tcW w:w="794" w:type="dxa"/>
          </w:tcPr>
          <w:p w:rsidR="00000000" w:rsidRDefault="00000000">
            <w:pPr>
              <w:spacing w:before="40" w:after="4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1418" w:type="dxa"/>
          </w:tcPr>
          <w:p w:rsidR="00000000" w:rsidRDefault="00000000">
            <w:pPr>
              <w:spacing w:before="40" w:after="40" w:line="240" w:lineRule="auto"/>
              <w:rPr>
                <w:rFonts w:ascii="Arial" w:hAnsi="Arial"/>
                <w:sz w:val="16"/>
              </w:rPr>
            </w:pPr>
            <w:r>
              <w:rPr>
                <w:rFonts w:ascii="Arial" w:hAnsi="Arial"/>
                <w:sz w:val="16"/>
              </w:rPr>
              <w:t>Восточный</w:t>
            </w:r>
          </w:p>
        </w:tc>
        <w:tc>
          <w:tcPr>
            <w:tcW w:w="1418" w:type="dxa"/>
          </w:tcPr>
          <w:p w:rsidR="00000000" w:rsidRDefault="00000000">
            <w:pPr>
              <w:spacing w:before="40" w:after="40" w:line="240" w:lineRule="auto"/>
              <w:jc w:val="center"/>
              <w:rPr>
                <w:rFonts w:ascii="Arial" w:hAnsi="Arial"/>
                <w:sz w:val="16"/>
              </w:rPr>
            </w:pPr>
            <w:r>
              <w:rPr>
                <w:rFonts w:ascii="Arial" w:hAnsi="Arial"/>
                <w:sz w:val="16"/>
              </w:rPr>
              <w:t>2</w:t>
            </w:r>
          </w:p>
        </w:tc>
        <w:tc>
          <w:tcPr>
            <w:tcW w:w="1247" w:type="dxa"/>
          </w:tcPr>
          <w:p w:rsidR="00000000" w:rsidRDefault="00000000">
            <w:pPr>
              <w:spacing w:before="40" w:after="40" w:line="240" w:lineRule="auto"/>
              <w:jc w:val="center"/>
              <w:rPr>
                <w:rFonts w:ascii="Arial" w:hAnsi="Arial"/>
                <w:sz w:val="16"/>
              </w:rPr>
            </w:pPr>
            <w:r>
              <w:rPr>
                <w:rFonts w:ascii="Arial" w:hAnsi="Arial"/>
                <w:sz w:val="16"/>
              </w:rPr>
              <w:t>16</w:t>
            </w:r>
          </w:p>
        </w:tc>
        <w:tc>
          <w:tcPr>
            <w:tcW w:w="1247" w:type="dxa"/>
          </w:tcPr>
          <w:p w:rsidR="00000000" w:rsidRDefault="00000000">
            <w:pPr>
              <w:spacing w:before="40" w:after="40" w:line="240" w:lineRule="auto"/>
              <w:jc w:val="center"/>
              <w:rPr>
                <w:rFonts w:ascii="Arial" w:hAnsi="Arial"/>
                <w:sz w:val="16"/>
              </w:rPr>
            </w:pPr>
            <w:r>
              <w:rPr>
                <w:rFonts w:ascii="Arial" w:hAnsi="Arial"/>
                <w:sz w:val="16"/>
              </w:rPr>
              <w:t>2</w:t>
            </w:r>
          </w:p>
        </w:tc>
        <w:tc>
          <w:tcPr>
            <w:tcW w:w="1247" w:type="dxa"/>
          </w:tcPr>
          <w:p w:rsidR="00000000" w:rsidRDefault="00000000">
            <w:pPr>
              <w:spacing w:before="40" w:after="40" w:line="240" w:lineRule="auto"/>
              <w:jc w:val="center"/>
              <w:rPr>
                <w:rFonts w:ascii="Arial" w:hAnsi="Arial"/>
                <w:sz w:val="16"/>
              </w:rPr>
            </w:pPr>
            <w:r>
              <w:rPr>
                <w:rFonts w:ascii="Arial" w:hAnsi="Arial"/>
                <w:sz w:val="16"/>
              </w:rPr>
              <w:t>–</w:t>
            </w:r>
          </w:p>
        </w:tc>
        <w:tc>
          <w:tcPr>
            <w:tcW w:w="1588" w:type="dxa"/>
          </w:tcPr>
          <w:p w:rsidR="00000000" w:rsidRDefault="00000000">
            <w:pPr>
              <w:spacing w:before="40" w:after="40" w:line="240" w:lineRule="auto"/>
              <w:jc w:val="center"/>
              <w:rPr>
                <w:rFonts w:ascii="Arial" w:hAnsi="Arial"/>
                <w:sz w:val="16"/>
              </w:rPr>
            </w:pPr>
            <w:r>
              <w:rPr>
                <w:rFonts w:ascii="Arial" w:hAnsi="Arial"/>
                <w:sz w:val="16"/>
              </w:rPr>
              <w:t>1</w:t>
            </w:r>
          </w:p>
        </w:tc>
        <w:tc>
          <w:tcPr>
            <w:tcW w:w="794" w:type="dxa"/>
          </w:tcPr>
          <w:p w:rsidR="00000000" w:rsidRDefault="00000000">
            <w:pPr>
              <w:spacing w:before="40" w:after="4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1418" w:type="dxa"/>
          </w:tcPr>
          <w:p w:rsidR="00000000" w:rsidRDefault="00000000">
            <w:pPr>
              <w:spacing w:before="40" w:after="40" w:line="240" w:lineRule="auto"/>
              <w:rPr>
                <w:rFonts w:ascii="Arial" w:hAnsi="Arial"/>
                <w:sz w:val="16"/>
              </w:rPr>
            </w:pPr>
            <w:r>
              <w:rPr>
                <w:rFonts w:ascii="Arial" w:hAnsi="Arial"/>
                <w:sz w:val="16"/>
              </w:rPr>
              <w:t>Тобаго</w:t>
            </w:r>
          </w:p>
        </w:tc>
        <w:tc>
          <w:tcPr>
            <w:tcW w:w="1418" w:type="dxa"/>
          </w:tcPr>
          <w:p w:rsidR="00000000" w:rsidRDefault="00000000">
            <w:pPr>
              <w:spacing w:before="40" w:after="40" w:line="240" w:lineRule="auto"/>
              <w:jc w:val="center"/>
              <w:rPr>
                <w:rFonts w:ascii="Arial" w:hAnsi="Arial"/>
                <w:sz w:val="16"/>
              </w:rPr>
            </w:pPr>
            <w:r>
              <w:rPr>
                <w:rFonts w:ascii="Arial" w:hAnsi="Arial"/>
                <w:sz w:val="16"/>
              </w:rPr>
              <w:t>Остров Тобаго</w:t>
            </w:r>
          </w:p>
        </w:tc>
        <w:tc>
          <w:tcPr>
            <w:tcW w:w="1247" w:type="dxa"/>
          </w:tcPr>
          <w:p w:rsidR="00000000" w:rsidRDefault="00000000">
            <w:pPr>
              <w:spacing w:before="40" w:after="40" w:line="240" w:lineRule="auto"/>
              <w:jc w:val="center"/>
              <w:rPr>
                <w:rFonts w:ascii="Arial" w:hAnsi="Arial"/>
                <w:sz w:val="16"/>
              </w:rPr>
            </w:pPr>
            <w:r>
              <w:rPr>
                <w:rFonts w:ascii="Arial" w:hAnsi="Arial"/>
                <w:sz w:val="16"/>
              </w:rPr>
              <w:t>16</w:t>
            </w:r>
          </w:p>
        </w:tc>
        <w:tc>
          <w:tcPr>
            <w:tcW w:w="1247" w:type="dxa"/>
          </w:tcPr>
          <w:p w:rsidR="00000000" w:rsidRDefault="00000000">
            <w:pPr>
              <w:spacing w:before="40" w:after="40" w:line="240" w:lineRule="auto"/>
              <w:jc w:val="center"/>
              <w:rPr>
                <w:rFonts w:ascii="Arial" w:hAnsi="Arial"/>
                <w:sz w:val="16"/>
              </w:rPr>
            </w:pPr>
            <w:r>
              <w:rPr>
                <w:rFonts w:ascii="Arial" w:hAnsi="Arial"/>
                <w:sz w:val="16"/>
              </w:rPr>
              <w:t>1</w:t>
            </w:r>
          </w:p>
        </w:tc>
        <w:tc>
          <w:tcPr>
            <w:tcW w:w="1247" w:type="dxa"/>
          </w:tcPr>
          <w:p w:rsidR="00000000" w:rsidRDefault="00000000">
            <w:pPr>
              <w:spacing w:before="40" w:after="40" w:line="240" w:lineRule="auto"/>
              <w:jc w:val="center"/>
              <w:rPr>
                <w:rFonts w:ascii="Arial" w:hAnsi="Arial"/>
                <w:sz w:val="16"/>
              </w:rPr>
            </w:pPr>
            <w:r>
              <w:rPr>
                <w:rFonts w:ascii="Arial" w:hAnsi="Arial"/>
                <w:sz w:val="16"/>
              </w:rPr>
              <w:t>–</w:t>
            </w:r>
          </w:p>
        </w:tc>
        <w:tc>
          <w:tcPr>
            <w:tcW w:w="1588" w:type="dxa"/>
          </w:tcPr>
          <w:p w:rsidR="00000000" w:rsidRDefault="00000000">
            <w:pPr>
              <w:spacing w:before="40" w:after="40" w:line="240" w:lineRule="auto"/>
              <w:jc w:val="center"/>
              <w:rPr>
                <w:rFonts w:ascii="Arial" w:hAnsi="Arial"/>
                <w:sz w:val="16"/>
              </w:rPr>
            </w:pPr>
            <w:r>
              <w:rPr>
                <w:rFonts w:ascii="Arial" w:hAnsi="Arial"/>
                <w:sz w:val="16"/>
              </w:rPr>
              <w:t>–</w:t>
            </w:r>
          </w:p>
        </w:tc>
        <w:tc>
          <w:tcPr>
            <w:tcW w:w="794" w:type="dxa"/>
          </w:tcPr>
          <w:p w:rsidR="00000000" w:rsidRDefault="00000000">
            <w:pPr>
              <w:spacing w:before="40" w:after="40" w:line="240" w:lineRule="auto"/>
              <w:jc w:val="center"/>
              <w:rPr>
                <w:rFonts w:ascii="Arial" w:hAnsi="Arial"/>
                <w:sz w:val="16"/>
              </w:rPr>
            </w:pPr>
            <w:r>
              <w:rPr>
                <w:rFonts w:ascii="Arial" w:hAnsi="Arial"/>
                <w:sz w:val="16"/>
              </w:rPr>
              <w:t>–</w:t>
            </w:r>
          </w:p>
        </w:tc>
      </w:tr>
    </w:tbl>
    <w:p w:rsidR="00000000" w:rsidRDefault="00000000">
      <w:pPr>
        <w:spacing w:before="40" w:after="40"/>
      </w:pPr>
    </w:p>
    <w:p w:rsidR="00000000" w:rsidRDefault="00000000">
      <w:pPr>
        <w:spacing w:after="0"/>
        <w:ind w:left="680" w:hanging="680"/>
      </w:pPr>
      <w:r>
        <w:t>312.</w:t>
      </w:r>
      <w:r>
        <w:tab/>
      </w:r>
      <w:r>
        <w:rPr>
          <w:b/>
        </w:rPr>
        <w:t>Распределение учреждений здравоохранения государственного сектора с разбивкой по сельской/ городской местности</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5"/>
        <w:gridCol w:w="2041"/>
        <w:gridCol w:w="2041"/>
        <w:gridCol w:w="2041"/>
      </w:tblGrid>
      <w:tr w:rsidR="00000000">
        <w:tblPrEx>
          <w:tblCellMar>
            <w:top w:w="0" w:type="dxa"/>
            <w:bottom w:w="0" w:type="dxa"/>
          </w:tblCellMar>
        </w:tblPrEx>
        <w:tc>
          <w:tcPr>
            <w:tcW w:w="2835" w:type="dxa"/>
          </w:tcPr>
          <w:p w:rsidR="00000000" w:rsidRDefault="00000000">
            <w:pPr>
              <w:spacing w:before="60" w:after="20" w:line="240" w:lineRule="auto"/>
              <w:jc w:val="center"/>
              <w:rPr>
                <w:rFonts w:ascii="Arial" w:hAnsi="Arial"/>
                <w:sz w:val="16"/>
              </w:rPr>
            </w:pPr>
            <w:r>
              <w:rPr>
                <w:rFonts w:ascii="Arial" w:hAnsi="Arial"/>
                <w:sz w:val="16"/>
              </w:rPr>
              <w:t>Тип местности</w:t>
            </w:r>
          </w:p>
        </w:tc>
        <w:tc>
          <w:tcPr>
            <w:tcW w:w="2041" w:type="dxa"/>
          </w:tcPr>
          <w:p w:rsidR="00000000" w:rsidRDefault="00000000">
            <w:pPr>
              <w:spacing w:before="60" w:after="20" w:line="240" w:lineRule="auto"/>
              <w:jc w:val="center"/>
              <w:rPr>
                <w:rFonts w:ascii="Arial" w:hAnsi="Arial"/>
                <w:sz w:val="16"/>
              </w:rPr>
            </w:pPr>
            <w:r>
              <w:rPr>
                <w:rFonts w:ascii="Arial" w:hAnsi="Arial"/>
                <w:sz w:val="16"/>
              </w:rPr>
              <w:t>Число больниц</w:t>
            </w:r>
          </w:p>
        </w:tc>
        <w:tc>
          <w:tcPr>
            <w:tcW w:w="2041" w:type="dxa"/>
          </w:tcPr>
          <w:p w:rsidR="00000000" w:rsidRDefault="00000000">
            <w:pPr>
              <w:spacing w:before="60" w:after="20" w:line="240" w:lineRule="auto"/>
              <w:jc w:val="center"/>
              <w:rPr>
                <w:rFonts w:ascii="Arial" w:hAnsi="Arial"/>
                <w:sz w:val="16"/>
              </w:rPr>
            </w:pPr>
            <w:r>
              <w:rPr>
                <w:rFonts w:ascii="Arial" w:hAnsi="Arial"/>
                <w:sz w:val="16"/>
              </w:rPr>
              <w:t>Число районных учреждений здравоохранения</w:t>
            </w:r>
          </w:p>
        </w:tc>
        <w:tc>
          <w:tcPr>
            <w:tcW w:w="2041" w:type="dxa"/>
          </w:tcPr>
          <w:p w:rsidR="00000000" w:rsidRDefault="00000000">
            <w:pPr>
              <w:spacing w:before="60" w:after="20" w:line="240" w:lineRule="auto"/>
              <w:jc w:val="center"/>
              <w:rPr>
                <w:rFonts w:ascii="Arial" w:hAnsi="Arial"/>
                <w:sz w:val="16"/>
              </w:rPr>
            </w:pPr>
            <w:r>
              <w:rPr>
                <w:rFonts w:ascii="Arial" w:hAnsi="Arial"/>
                <w:sz w:val="16"/>
              </w:rPr>
              <w:t>Число центров здоровья</w:t>
            </w:r>
          </w:p>
        </w:tc>
      </w:tr>
      <w:tr w:rsidR="00000000">
        <w:tblPrEx>
          <w:tblCellMar>
            <w:top w:w="0" w:type="dxa"/>
            <w:bottom w:w="0" w:type="dxa"/>
          </w:tblCellMar>
        </w:tblPrEx>
        <w:tc>
          <w:tcPr>
            <w:tcW w:w="2835" w:type="dxa"/>
          </w:tcPr>
          <w:p w:rsidR="00000000" w:rsidRDefault="00000000">
            <w:pPr>
              <w:spacing w:before="40" w:after="40" w:line="240" w:lineRule="auto"/>
              <w:rPr>
                <w:rFonts w:ascii="Arial" w:hAnsi="Arial"/>
                <w:sz w:val="16"/>
              </w:rPr>
            </w:pPr>
            <w:r>
              <w:rPr>
                <w:rFonts w:ascii="Arial" w:hAnsi="Arial"/>
                <w:sz w:val="16"/>
              </w:rPr>
              <w:t>Городская</w:t>
            </w:r>
          </w:p>
        </w:tc>
        <w:tc>
          <w:tcPr>
            <w:tcW w:w="2041" w:type="dxa"/>
          </w:tcPr>
          <w:p w:rsidR="00000000" w:rsidRDefault="00000000">
            <w:pPr>
              <w:spacing w:before="40" w:after="40" w:line="240" w:lineRule="auto"/>
              <w:jc w:val="center"/>
              <w:rPr>
                <w:rFonts w:ascii="Arial" w:hAnsi="Arial"/>
                <w:sz w:val="16"/>
              </w:rPr>
            </w:pPr>
            <w:r>
              <w:rPr>
                <w:rFonts w:ascii="Arial" w:hAnsi="Arial"/>
                <w:sz w:val="16"/>
              </w:rPr>
              <w:t>5</w:t>
            </w:r>
          </w:p>
        </w:tc>
        <w:tc>
          <w:tcPr>
            <w:tcW w:w="2041" w:type="dxa"/>
          </w:tcPr>
          <w:p w:rsidR="00000000" w:rsidRDefault="00000000">
            <w:pPr>
              <w:spacing w:before="40" w:after="40" w:line="240" w:lineRule="auto"/>
              <w:jc w:val="center"/>
              <w:rPr>
                <w:rFonts w:ascii="Arial" w:hAnsi="Arial"/>
                <w:sz w:val="16"/>
              </w:rPr>
            </w:pPr>
            <w:r>
              <w:rPr>
                <w:rFonts w:ascii="Arial" w:hAnsi="Arial"/>
                <w:sz w:val="16"/>
              </w:rPr>
              <w:t>2</w:t>
            </w:r>
          </w:p>
        </w:tc>
        <w:tc>
          <w:tcPr>
            <w:tcW w:w="2041" w:type="dxa"/>
          </w:tcPr>
          <w:p w:rsidR="00000000" w:rsidRDefault="00000000">
            <w:pPr>
              <w:tabs>
                <w:tab w:val="clear" w:pos="340"/>
                <w:tab w:val="clear" w:pos="680"/>
                <w:tab w:val="decimal" w:pos="1134"/>
              </w:tabs>
              <w:spacing w:before="40" w:after="40" w:line="240" w:lineRule="auto"/>
              <w:rPr>
                <w:rFonts w:ascii="Arial" w:hAnsi="Arial"/>
                <w:sz w:val="16"/>
              </w:rPr>
            </w:pPr>
            <w:r>
              <w:rPr>
                <w:rFonts w:ascii="Arial" w:hAnsi="Arial"/>
                <w:sz w:val="16"/>
              </w:rPr>
              <w:t>11</w:t>
            </w:r>
          </w:p>
        </w:tc>
      </w:tr>
      <w:tr w:rsidR="00000000">
        <w:tblPrEx>
          <w:tblCellMar>
            <w:top w:w="0" w:type="dxa"/>
            <w:bottom w:w="0" w:type="dxa"/>
          </w:tblCellMar>
        </w:tblPrEx>
        <w:tc>
          <w:tcPr>
            <w:tcW w:w="2835" w:type="dxa"/>
          </w:tcPr>
          <w:p w:rsidR="00000000" w:rsidRDefault="00000000">
            <w:pPr>
              <w:spacing w:before="40" w:after="40" w:line="240" w:lineRule="auto"/>
              <w:rPr>
                <w:rFonts w:ascii="Arial" w:hAnsi="Arial"/>
                <w:sz w:val="16"/>
              </w:rPr>
            </w:pPr>
            <w:r>
              <w:rPr>
                <w:rFonts w:ascii="Arial" w:hAnsi="Arial"/>
                <w:sz w:val="16"/>
              </w:rPr>
              <w:t>Сельская</w:t>
            </w:r>
          </w:p>
        </w:tc>
        <w:tc>
          <w:tcPr>
            <w:tcW w:w="2041" w:type="dxa"/>
          </w:tcPr>
          <w:p w:rsidR="00000000" w:rsidRDefault="00000000">
            <w:pPr>
              <w:spacing w:before="40" w:after="40" w:line="240" w:lineRule="auto"/>
              <w:jc w:val="center"/>
              <w:rPr>
                <w:rFonts w:ascii="Arial" w:hAnsi="Arial"/>
                <w:sz w:val="16"/>
              </w:rPr>
            </w:pPr>
            <w:r>
              <w:rPr>
                <w:rFonts w:ascii="Arial" w:hAnsi="Arial"/>
                <w:sz w:val="16"/>
              </w:rPr>
              <w:t>4</w:t>
            </w:r>
          </w:p>
        </w:tc>
        <w:tc>
          <w:tcPr>
            <w:tcW w:w="2041" w:type="dxa"/>
          </w:tcPr>
          <w:p w:rsidR="00000000" w:rsidRDefault="00000000">
            <w:pPr>
              <w:spacing w:before="40" w:after="40" w:line="240" w:lineRule="auto"/>
              <w:jc w:val="center"/>
              <w:rPr>
                <w:rFonts w:ascii="Arial" w:hAnsi="Arial"/>
                <w:sz w:val="16"/>
              </w:rPr>
            </w:pPr>
            <w:r>
              <w:rPr>
                <w:rFonts w:ascii="Arial" w:hAnsi="Arial"/>
                <w:sz w:val="16"/>
              </w:rPr>
              <w:t>3</w:t>
            </w:r>
          </w:p>
        </w:tc>
        <w:tc>
          <w:tcPr>
            <w:tcW w:w="2041" w:type="dxa"/>
          </w:tcPr>
          <w:p w:rsidR="00000000" w:rsidRDefault="00000000">
            <w:pPr>
              <w:tabs>
                <w:tab w:val="clear" w:pos="340"/>
                <w:tab w:val="clear" w:pos="680"/>
                <w:tab w:val="decimal" w:pos="1134"/>
              </w:tabs>
              <w:spacing w:before="40" w:after="40" w:line="240" w:lineRule="auto"/>
              <w:rPr>
                <w:rFonts w:ascii="Arial" w:hAnsi="Arial"/>
                <w:sz w:val="16"/>
              </w:rPr>
            </w:pPr>
            <w:r>
              <w:rPr>
                <w:rFonts w:ascii="Arial" w:hAnsi="Arial"/>
                <w:sz w:val="16"/>
              </w:rPr>
              <w:t>93</w:t>
            </w:r>
          </w:p>
        </w:tc>
      </w:tr>
      <w:tr w:rsidR="00000000">
        <w:tblPrEx>
          <w:tblCellMar>
            <w:top w:w="0" w:type="dxa"/>
            <w:bottom w:w="0" w:type="dxa"/>
          </w:tblCellMar>
        </w:tblPrEx>
        <w:tc>
          <w:tcPr>
            <w:tcW w:w="2835" w:type="dxa"/>
          </w:tcPr>
          <w:p w:rsidR="00000000" w:rsidRDefault="00000000">
            <w:pPr>
              <w:spacing w:before="40" w:after="40" w:line="240" w:lineRule="auto"/>
              <w:rPr>
                <w:rFonts w:ascii="Arial" w:hAnsi="Arial"/>
                <w:sz w:val="16"/>
              </w:rPr>
            </w:pPr>
            <w:r>
              <w:rPr>
                <w:rFonts w:ascii="Arial" w:hAnsi="Arial"/>
                <w:sz w:val="16"/>
              </w:rPr>
              <w:t>Всего</w:t>
            </w:r>
          </w:p>
        </w:tc>
        <w:tc>
          <w:tcPr>
            <w:tcW w:w="2041" w:type="dxa"/>
          </w:tcPr>
          <w:p w:rsidR="00000000" w:rsidRDefault="00000000">
            <w:pPr>
              <w:spacing w:before="40" w:after="40" w:line="240" w:lineRule="auto"/>
              <w:jc w:val="center"/>
              <w:rPr>
                <w:rFonts w:ascii="Arial" w:hAnsi="Arial"/>
                <w:sz w:val="16"/>
              </w:rPr>
            </w:pPr>
            <w:r>
              <w:rPr>
                <w:rFonts w:ascii="Arial" w:hAnsi="Arial"/>
                <w:sz w:val="16"/>
              </w:rPr>
              <w:t>9</w:t>
            </w:r>
          </w:p>
        </w:tc>
        <w:tc>
          <w:tcPr>
            <w:tcW w:w="2041" w:type="dxa"/>
          </w:tcPr>
          <w:p w:rsidR="00000000" w:rsidRDefault="00000000">
            <w:pPr>
              <w:spacing w:before="40" w:after="40" w:line="240" w:lineRule="auto"/>
              <w:jc w:val="center"/>
              <w:rPr>
                <w:rFonts w:ascii="Arial" w:hAnsi="Arial"/>
                <w:sz w:val="16"/>
              </w:rPr>
            </w:pPr>
            <w:r>
              <w:rPr>
                <w:rFonts w:ascii="Arial" w:hAnsi="Arial"/>
                <w:sz w:val="16"/>
              </w:rPr>
              <w:t>6</w:t>
            </w:r>
          </w:p>
        </w:tc>
        <w:tc>
          <w:tcPr>
            <w:tcW w:w="2041" w:type="dxa"/>
          </w:tcPr>
          <w:p w:rsidR="00000000" w:rsidRDefault="00000000">
            <w:pPr>
              <w:tabs>
                <w:tab w:val="clear" w:pos="340"/>
                <w:tab w:val="clear" w:pos="680"/>
                <w:tab w:val="decimal" w:pos="1134"/>
              </w:tabs>
              <w:spacing w:before="40" w:after="40" w:line="240" w:lineRule="auto"/>
              <w:rPr>
                <w:rFonts w:ascii="Arial" w:hAnsi="Arial"/>
                <w:sz w:val="16"/>
              </w:rPr>
            </w:pPr>
            <w:r>
              <w:rPr>
                <w:rFonts w:ascii="Arial" w:hAnsi="Arial"/>
                <w:sz w:val="16"/>
              </w:rPr>
              <w:t>104</w:t>
            </w:r>
          </w:p>
        </w:tc>
      </w:tr>
    </w:tbl>
    <w:p w:rsidR="00000000" w:rsidRDefault="00000000"/>
    <w:p w:rsidR="00000000" w:rsidRDefault="00000000">
      <w:r>
        <w:t>313.</w:t>
      </w:r>
      <w:r>
        <w:tab/>
        <w:t>Закон о психическом здоровье, глава 28:02, регулирует госпитализацию лиц, страдающих психическими заболеваниями, уход за ними и лечение. Согласно статье 2 (1) этого закона "психически больными людьми" считаются лица, страдающие от такого умственного расстройства, в результате которого ей или ему требуется уход, наблюдение, лечение и контроль либо один из видов этой помощи, поскольку это необходимо для защиты или благополучия самого больного либо для защиты или благополучия окружающих.</w:t>
      </w:r>
    </w:p>
    <w:p w:rsidR="00000000" w:rsidRDefault="00000000">
      <w:r>
        <w:t>314.</w:t>
      </w:r>
      <w:r>
        <w:tab/>
        <w:t>В больницах Порт-оф-Спейна, Сан-Фернандо, Маунт-Хоуп и Скарборо, нескольких районных больницах и в сети общинных центров здоровья предоставляется бесплатная медицинская помощь. Для обеспечения нормального течения беременности и рождения живых и здоровых детей государственные медицинские учреждения предоставляют дородовой уход. Питание, препараты железа и поливитамины предоставляются беременным женщинам и детям бесплатно.</w:t>
      </w:r>
    </w:p>
    <w:p w:rsidR="00000000" w:rsidRDefault="00000000">
      <w:r>
        <w:t>315.</w:t>
      </w:r>
      <w:r>
        <w:tab/>
        <w:t xml:space="preserve">Средняя стоимость посещения врача-специалиста составляет не менее 200 долл. ТТ. В прошлые годы средняя стоимость посещения врача общего профиля равнялась 60 долл. ТТ, но за последнее время разброс стоимости услуг врача увеличился и составляет от 60 до 100 долл. ТТ. </w:t>
      </w:r>
    </w:p>
    <w:p w:rsidR="00000000" w:rsidRDefault="00000000">
      <w:r>
        <w:t>316.</w:t>
      </w:r>
      <w:r>
        <w:tab/>
        <w:t>По статистическим данным за 1993 год, в Тринидаде и Тобаго насчитывалось приблизительно 980 практикующих врачей, из которых приблизительно 150 были иностранными гражданами, работающими в качестве стажеров на условиях краткосрочного контракта. Соотношение числа врачей и общей численности населения в то время составляло приблизительно 1 на 1200 человек населения.</w:t>
      </w:r>
    </w:p>
    <w:p w:rsidR="00000000" w:rsidRDefault="00000000">
      <w:r>
        <w:t>317.</w:t>
      </w:r>
      <w:r>
        <w:tab/>
        <w:t>В Вест-Индском университете есть медицинский факультет, который ежегодно оканчивают 80 студентов.</w:t>
      </w:r>
    </w:p>
    <w:p w:rsidR="00000000" w:rsidRDefault="00000000">
      <w:r>
        <w:t>318.</w:t>
      </w:r>
      <w:r>
        <w:tab/>
        <w:t>Для сотрудников психиатрических лечебных учреждений, а также для персонала общего медицинского профиля в некоторых медицинских учреждениях была организована подготовка по учебным программам, учитывающим гендерные факторы. Гендерные факторы принимаются также во внимание при разработке архитектурных проектов и составлении программ для новых служб.</w:t>
      </w:r>
    </w:p>
    <w:p w:rsidR="00000000" w:rsidRDefault="00000000">
      <w:r>
        <w:br w:type="page"/>
        <w:t>319.</w:t>
      </w:r>
      <w:r>
        <w:tab/>
        <w:t>Пекинская платформа действий, так же как и Панамериканская организация здравоохранения/</w:t>
      </w:r>
      <w:r>
        <w:br/>
        <w:t>Всемирная организация здравоохранения (ПАОЗ/ВОЗ), рассматривает здоровье как состояние полного физического, психического и социального благополучия, а не просто как отсутствие болезней и физических недостатков. Поэтому право женщины на пользование услугами системы здравоохранения в течение всего цикла ее жизни представляет собой одно из основных прав человека. Такое право неотъемлемо от права на свободу от нищеты и экономической зависимости, от насилия, основанного на принадлежности к определенному полу, и других форм властвования над сексуальной и репродуктивной жизнью. Несправедливое распределение продуктов питания, плохие санитарные условия, неудовлетворительные жилищные условия и ограниченный доступ к информации также способствуют ухудшению состояния здоровья. Тринидад и Тобаго подписала Алма-Атинскую декларацию Всемирной организации здравоохранения, взяв на себя тем самым обязательства по достижению цели "здоровье для всех к 2000 году". Этой цели можно достигнуть путем принятия экстенсивной стратегии первичной медико-санитарной помощи.</w:t>
      </w:r>
    </w:p>
    <w:p w:rsidR="00000000" w:rsidRDefault="00000000">
      <w:r>
        <w:t>320.</w:t>
      </w:r>
      <w:r>
        <w:tab/>
        <w:t>Система здравоохранения Тобаго построена по тому же принципу, что и на Тринидаде, и проходит этап таких же преобразований.</w:t>
      </w:r>
    </w:p>
    <w:p w:rsidR="00000000" w:rsidRDefault="00000000">
      <w:r>
        <w:t>321.</w:t>
      </w:r>
      <w:r>
        <w:tab/>
        <w:t>До недавнего времени вопросы охраны здоровья женщин рассматривались в основном как проблемы репродуктивности и рождения детей, причем главное внимание уделялось проблеме охраны здоровья женщин в репродуктивный период, то есть в возрасте от 18 до 44 лет. Соответственно, основными врачами, занимавшимися здоровьем женщин, были акушеры и гинекологи.</w:t>
      </w:r>
    </w:p>
    <w:p w:rsidR="00000000" w:rsidRDefault="00000000">
      <w:r>
        <w:t>322.</w:t>
      </w:r>
      <w:r>
        <w:tab/>
        <w:t>Как показывает статистика, большинство домохозяйств в Тринидаде и Тобаго, главой которых являются женщины, имеют низкий доход. Фактически 54,8 процента семей, возглавляемых женщинами, имеют доход менее 500 долл. ТТ в месяц, а 31,7 процента живут за чертой абсолютной бедности. По данным обследования жилищно-бытовых условий, наиболее бедными являются семьи, которые возглавляют женщины с низким уровнем образования и которые проживают в сельской местности. Из-за сложности своего положения семьи с низким доходом часто имеют ограниченный доступ к услугам здравоохранения.</w:t>
      </w:r>
    </w:p>
    <w:p w:rsidR="00000000" w:rsidRDefault="00000000">
      <w:r>
        <w:t>323.</w:t>
      </w:r>
      <w:r>
        <w:tab/>
        <w:t>Статистика свидетельствует о том, что средняя продолжительность предстоящей жизни у женщин выше, чем у мужчин, хотя это не обязательно означает, что состояние здоровья женщин лучше. Дело в том, что показатели большей продолжительности жизни часто затушевывают действительно имеющиеся у женщин проблемы со здоровьем. Хотя женщины, как правило, живут дольше, чаще обращаются к услугам врачей и чаще проходят лечение в условиях стационара, они в то же время в большей степени, чем мужчины, подвержены депрессии и хронической потере трудоспособности. По данным Национального исследования в области здравоохранения 1995 года, мужчины (41,8 процента) чаще, чем женщины (31,4 процента), оценивали состояние своего здоровья как отличное или очень хорошее.</w:t>
      </w:r>
    </w:p>
    <w:p w:rsidR="00000000" w:rsidRDefault="00000000">
      <w:pPr>
        <w:spacing w:after="0"/>
      </w:pPr>
      <w:r>
        <w:t>324.</w:t>
      </w:r>
      <w:r>
        <w:tab/>
      </w:r>
      <w:r>
        <w:rPr>
          <w:b/>
        </w:rPr>
        <w:t>Коэффициенты фертильности, смертности и другие показатели, 1995–1997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82"/>
        <w:gridCol w:w="1644"/>
        <w:gridCol w:w="1644"/>
        <w:gridCol w:w="1644"/>
      </w:tblGrid>
      <w:tr w:rsidR="00000000">
        <w:tblPrEx>
          <w:tblCellMar>
            <w:top w:w="0" w:type="dxa"/>
            <w:bottom w:w="0" w:type="dxa"/>
          </w:tblCellMar>
        </w:tblPrEx>
        <w:tc>
          <w:tcPr>
            <w:tcW w:w="4082" w:type="dxa"/>
          </w:tcPr>
          <w:p w:rsidR="00000000" w:rsidRDefault="00000000">
            <w:pPr>
              <w:spacing w:before="60" w:after="20" w:line="240" w:lineRule="auto"/>
              <w:jc w:val="center"/>
              <w:rPr>
                <w:rFonts w:ascii="Arial" w:hAnsi="Arial"/>
                <w:sz w:val="16"/>
              </w:rPr>
            </w:pPr>
            <w:r>
              <w:rPr>
                <w:rFonts w:ascii="Arial" w:hAnsi="Arial"/>
                <w:sz w:val="16"/>
              </w:rPr>
              <w:t>КОЭФФИЦИЕНТ ФЕРТИЛЬНОСТИ</w:t>
            </w:r>
          </w:p>
        </w:tc>
        <w:tc>
          <w:tcPr>
            <w:tcW w:w="1644" w:type="dxa"/>
          </w:tcPr>
          <w:p w:rsidR="00000000" w:rsidRDefault="00000000">
            <w:pPr>
              <w:spacing w:before="60" w:after="20" w:line="240" w:lineRule="auto"/>
              <w:jc w:val="center"/>
              <w:rPr>
                <w:rFonts w:ascii="Arial" w:hAnsi="Arial"/>
                <w:sz w:val="16"/>
              </w:rPr>
            </w:pPr>
            <w:r>
              <w:rPr>
                <w:rFonts w:ascii="Arial" w:hAnsi="Arial"/>
                <w:sz w:val="16"/>
              </w:rPr>
              <w:t>1995 год</w:t>
            </w:r>
          </w:p>
        </w:tc>
        <w:tc>
          <w:tcPr>
            <w:tcW w:w="1644" w:type="dxa"/>
          </w:tcPr>
          <w:p w:rsidR="00000000" w:rsidRDefault="00000000">
            <w:pPr>
              <w:spacing w:before="60" w:after="20" w:line="240" w:lineRule="auto"/>
              <w:jc w:val="center"/>
              <w:rPr>
                <w:rFonts w:ascii="Arial" w:hAnsi="Arial"/>
                <w:sz w:val="16"/>
              </w:rPr>
            </w:pPr>
            <w:r>
              <w:rPr>
                <w:rFonts w:ascii="Arial" w:hAnsi="Arial"/>
                <w:sz w:val="16"/>
              </w:rPr>
              <w:t>1996 год</w:t>
            </w:r>
          </w:p>
        </w:tc>
        <w:tc>
          <w:tcPr>
            <w:tcW w:w="1644" w:type="dxa"/>
          </w:tcPr>
          <w:p w:rsidR="00000000" w:rsidRDefault="00000000">
            <w:pPr>
              <w:spacing w:before="60" w:after="20" w:line="240" w:lineRule="auto"/>
              <w:jc w:val="center"/>
              <w:rPr>
                <w:rFonts w:ascii="Arial" w:hAnsi="Arial"/>
                <w:sz w:val="16"/>
              </w:rPr>
            </w:pPr>
            <w:r>
              <w:rPr>
                <w:rFonts w:ascii="Arial" w:hAnsi="Arial"/>
                <w:sz w:val="16"/>
              </w:rPr>
              <w:t>1997 год</w:t>
            </w:r>
          </w:p>
        </w:tc>
      </w:tr>
      <w:tr w:rsidR="00000000">
        <w:tblPrEx>
          <w:tblCellMar>
            <w:top w:w="0" w:type="dxa"/>
            <w:bottom w:w="0" w:type="dxa"/>
          </w:tblCellMar>
        </w:tblPrEx>
        <w:tc>
          <w:tcPr>
            <w:tcW w:w="4082" w:type="dxa"/>
          </w:tcPr>
          <w:p w:rsidR="00000000" w:rsidRDefault="00000000">
            <w:pPr>
              <w:spacing w:before="120" w:after="20" w:line="240" w:lineRule="auto"/>
              <w:jc w:val="left"/>
              <w:rPr>
                <w:rFonts w:ascii="Arial" w:hAnsi="Arial"/>
                <w:sz w:val="16"/>
              </w:rPr>
            </w:pPr>
            <w:r>
              <w:rPr>
                <w:rFonts w:ascii="Arial" w:hAnsi="Arial"/>
                <w:sz w:val="16"/>
              </w:rPr>
              <w:t>Общий коэффициент рождаемости (число рождений на 1000 человек)</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15,3</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14,2</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14,5</w:t>
            </w:r>
          </w:p>
        </w:tc>
      </w:tr>
      <w:tr w:rsidR="00000000">
        <w:tblPrEx>
          <w:tblCellMar>
            <w:top w:w="0" w:type="dxa"/>
            <w:bottom w:w="0" w:type="dxa"/>
          </w:tblCellMar>
        </w:tblPrEx>
        <w:tc>
          <w:tcPr>
            <w:tcW w:w="4082" w:type="dxa"/>
          </w:tcPr>
          <w:p w:rsidR="00000000" w:rsidRDefault="00000000">
            <w:pPr>
              <w:spacing w:before="120" w:after="20" w:line="240" w:lineRule="auto"/>
              <w:jc w:val="left"/>
              <w:rPr>
                <w:rFonts w:ascii="Arial" w:hAnsi="Arial"/>
                <w:sz w:val="16"/>
              </w:rPr>
            </w:pPr>
            <w:r>
              <w:rPr>
                <w:rFonts w:ascii="Arial" w:hAnsi="Arial"/>
                <w:sz w:val="16"/>
              </w:rPr>
              <w:t>Общий коэффициент фертильности (число живорождений на 1000 женщин детородного возраста)</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56,3</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52,0</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52,2</w:t>
            </w:r>
          </w:p>
        </w:tc>
      </w:tr>
      <w:tr w:rsidR="00000000">
        <w:tblPrEx>
          <w:tblCellMar>
            <w:top w:w="0" w:type="dxa"/>
            <w:bottom w:w="0" w:type="dxa"/>
          </w:tblCellMar>
        </w:tblPrEx>
        <w:tc>
          <w:tcPr>
            <w:tcW w:w="4082" w:type="dxa"/>
          </w:tcPr>
          <w:p w:rsidR="00000000" w:rsidRDefault="00000000">
            <w:pPr>
              <w:spacing w:before="120" w:after="20" w:line="240" w:lineRule="auto"/>
              <w:jc w:val="left"/>
              <w:rPr>
                <w:rFonts w:ascii="Arial" w:hAnsi="Arial"/>
                <w:sz w:val="16"/>
              </w:rPr>
            </w:pPr>
            <w:r>
              <w:rPr>
                <w:rFonts w:ascii="Arial" w:hAnsi="Arial"/>
                <w:sz w:val="16"/>
              </w:rPr>
              <w:t>Общий коэффициент репродуктивности (число девочек, рожденных одной женщиной за годы ее репродуктивного периода)</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0,9</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0,8</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0,8</w:t>
            </w:r>
          </w:p>
        </w:tc>
      </w:tr>
      <w:tr w:rsidR="00000000">
        <w:tblPrEx>
          <w:tblCellMar>
            <w:top w:w="0" w:type="dxa"/>
            <w:bottom w:w="0" w:type="dxa"/>
          </w:tblCellMar>
        </w:tblPrEx>
        <w:tc>
          <w:tcPr>
            <w:tcW w:w="4082" w:type="dxa"/>
          </w:tcPr>
          <w:p w:rsidR="00000000" w:rsidRDefault="00000000">
            <w:pPr>
              <w:spacing w:before="120" w:after="20" w:line="240" w:lineRule="auto"/>
              <w:jc w:val="left"/>
              <w:rPr>
                <w:rFonts w:ascii="Arial" w:hAnsi="Arial"/>
                <w:sz w:val="16"/>
              </w:rPr>
            </w:pPr>
            <w:r>
              <w:rPr>
                <w:rFonts w:ascii="Arial" w:hAnsi="Arial"/>
                <w:sz w:val="16"/>
              </w:rPr>
              <w:t>Соотношение числа детей и числа матерей (число детей в возрасте 1–4 лет на 1000 женщин детородного возраста)</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298</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277</w:t>
            </w:r>
          </w:p>
        </w:tc>
        <w:tc>
          <w:tcPr>
            <w:tcW w:w="1644" w:type="dxa"/>
            <w:vAlign w:val="bottom"/>
          </w:tcPr>
          <w:p w:rsidR="00000000" w:rsidRDefault="00000000">
            <w:pPr>
              <w:tabs>
                <w:tab w:val="clear" w:pos="340"/>
                <w:tab w:val="clear" w:pos="680"/>
                <w:tab w:val="decimal" w:pos="907"/>
              </w:tabs>
              <w:spacing w:before="120" w:after="20" w:line="240" w:lineRule="auto"/>
              <w:rPr>
                <w:rFonts w:ascii="Arial" w:hAnsi="Arial"/>
                <w:sz w:val="16"/>
              </w:rPr>
            </w:pPr>
            <w:r>
              <w:rPr>
                <w:rFonts w:ascii="Arial" w:hAnsi="Arial"/>
                <w:sz w:val="16"/>
              </w:rPr>
              <w:t>262</w:t>
            </w:r>
          </w:p>
        </w:tc>
      </w:tr>
    </w:tbl>
    <w:p w:rsidR="00000000" w:rsidRDefault="00000000">
      <w:pPr>
        <w:rPr>
          <w:lang w:val="en-US"/>
        </w:rPr>
      </w:pPr>
    </w:p>
    <w:p w:rsidR="00000000" w:rsidRDefault="00000000">
      <w:pPr>
        <w:rPr>
          <w:lang w:val="en-US"/>
        </w:rPr>
      </w:pP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82"/>
        <w:gridCol w:w="1644"/>
        <w:gridCol w:w="1644"/>
        <w:gridCol w:w="1644"/>
      </w:tblGrid>
      <w:tr w:rsidR="00000000">
        <w:tblPrEx>
          <w:tblCellMar>
            <w:top w:w="0" w:type="dxa"/>
            <w:bottom w:w="0" w:type="dxa"/>
          </w:tblCellMar>
        </w:tblPrEx>
        <w:tc>
          <w:tcPr>
            <w:tcW w:w="4082" w:type="dxa"/>
          </w:tcPr>
          <w:p w:rsidR="00000000" w:rsidRDefault="00000000">
            <w:pPr>
              <w:spacing w:before="80" w:after="20" w:line="240" w:lineRule="auto"/>
              <w:jc w:val="center"/>
              <w:rPr>
                <w:rFonts w:ascii="Arial" w:hAnsi="Arial"/>
                <w:sz w:val="16"/>
              </w:rPr>
            </w:pPr>
            <w:r>
              <w:rPr>
                <w:rFonts w:ascii="Arial" w:hAnsi="Arial"/>
                <w:sz w:val="16"/>
              </w:rPr>
              <w:br w:type="page"/>
              <w:t>КОЭФФИЦИЕНТ СМЕРТНОСТИ</w:t>
            </w:r>
          </w:p>
        </w:tc>
        <w:tc>
          <w:tcPr>
            <w:tcW w:w="1644" w:type="dxa"/>
          </w:tcPr>
          <w:p w:rsidR="00000000" w:rsidRDefault="00000000">
            <w:pPr>
              <w:spacing w:before="80" w:after="20" w:line="240" w:lineRule="auto"/>
              <w:jc w:val="center"/>
              <w:rPr>
                <w:rFonts w:ascii="Arial" w:hAnsi="Arial"/>
                <w:sz w:val="16"/>
              </w:rPr>
            </w:pPr>
            <w:r>
              <w:rPr>
                <w:rFonts w:ascii="Arial" w:hAnsi="Arial"/>
                <w:sz w:val="16"/>
              </w:rPr>
              <w:t>1995 год</w:t>
            </w:r>
          </w:p>
        </w:tc>
        <w:tc>
          <w:tcPr>
            <w:tcW w:w="1644" w:type="dxa"/>
          </w:tcPr>
          <w:p w:rsidR="00000000" w:rsidRDefault="00000000">
            <w:pPr>
              <w:spacing w:before="80" w:after="20" w:line="240" w:lineRule="auto"/>
              <w:jc w:val="center"/>
              <w:rPr>
                <w:rFonts w:ascii="Arial" w:hAnsi="Arial"/>
                <w:sz w:val="16"/>
              </w:rPr>
            </w:pPr>
            <w:r>
              <w:rPr>
                <w:rFonts w:ascii="Arial" w:hAnsi="Arial"/>
                <w:sz w:val="16"/>
              </w:rPr>
              <w:t>1996 год</w:t>
            </w:r>
          </w:p>
        </w:tc>
        <w:tc>
          <w:tcPr>
            <w:tcW w:w="1644" w:type="dxa"/>
          </w:tcPr>
          <w:p w:rsidR="00000000" w:rsidRDefault="00000000">
            <w:pPr>
              <w:spacing w:before="80" w:after="20" w:line="240" w:lineRule="auto"/>
              <w:jc w:val="center"/>
              <w:rPr>
                <w:rFonts w:ascii="Arial" w:hAnsi="Arial"/>
                <w:sz w:val="16"/>
              </w:rPr>
            </w:pPr>
            <w:r>
              <w:rPr>
                <w:rFonts w:ascii="Arial" w:hAnsi="Arial"/>
                <w:sz w:val="16"/>
              </w:rPr>
              <w:t>1997 год</w:t>
            </w:r>
          </w:p>
        </w:tc>
      </w:tr>
      <w:tr w:rsidR="00000000">
        <w:tblPrEx>
          <w:tblCellMar>
            <w:top w:w="0" w:type="dxa"/>
            <w:bottom w:w="0" w:type="dxa"/>
          </w:tblCellMar>
        </w:tblPrEx>
        <w:tc>
          <w:tcPr>
            <w:tcW w:w="4082" w:type="dxa"/>
          </w:tcPr>
          <w:p w:rsidR="00000000" w:rsidRDefault="00000000">
            <w:pPr>
              <w:spacing w:before="120" w:after="0" w:line="240" w:lineRule="auto"/>
              <w:jc w:val="left"/>
              <w:rPr>
                <w:rFonts w:ascii="Arial" w:hAnsi="Arial"/>
                <w:sz w:val="16"/>
              </w:rPr>
            </w:pPr>
            <w:r>
              <w:rPr>
                <w:rFonts w:ascii="Arial" w:hAnsi="Arial"/>
                <w:sz w:val="16"/>
              </w:rPr>
              <w:t xml:space="preserve">Общий коэффициент смертности (число смертей </w:t>
            </w:r>
            <w:r>
              <w:rPr>
                <w:rFonts w:ascii="Arial" w:hAnsi="Arial"/>
                <w:sz w:val="16"/>
              </w:rPr>
              <w:br/>
              <w:t>на 1000 человек)</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7,2</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7,4</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7,2</w:t>
            </w:r>
          </w:p>
        </w:tc>
      </w:tr>
      <w:tr w:rsidR="00000000">
        <w:tblPrEx>
          <w:tblCellMar>
            <w:top w:w="0" w:type="dxa"/>
            <w:bottom w:w="0" w:type="dxa"/>
          </w:tblCellMar>
        </w:tblPrEx>
        <w:tc>
          <w:tcPr>
            <w:tcW w:w="4082" w:type="dxa"/>
          </w:tcPr>
          <w:p w:rsidR="00000000" w:rsidRDefault="00000000">
            <w:pPr>
              <w:spacing w:before="120" w:after="0" w:line="240" w:lineRule="auto"/>
              <w:jc w:val="left"/>
              <w:rPr>
                <w:rFonts w:ascii="Arial" w:hAnsi="Arial"/>
                <w:sz w:val="16"/>
              </w:rPr>
            </w:pPr>
            <w:r>
              <w:rPr>
                <w:rFonts w:ascii="Arial" w:hAnsi="Arial"/>
                <w:sz w:val="16"/>
              </w:rPr>
              <w:t xml:space="preserve">Коэффициент младенческой смертности (число умерших младенцев в возрасте до 1 года </w:t>
            </w:r>
            <w:r>
              <w:rPr>
                <w:rFonts w:ascii="Arial" w:hAnsi="Arial"/>
                <w:sz w:val="16"/>
              </w:rPr>
              <w:br/>
              <w:t>на 1000 живорождений)</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17,1*</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16,2</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17,1</w:t>
            </w:r>
          </w:p>
        </w:tc>
      </w:tr>
      <w:tr w:rsidR="00000000">
        <w:tblPrEx>
          <w:tblCellMar>
            <w:top w:w="0" w:type="dxa"/>
            <w:bottom w:w="0" w:type="dxa"/>
          </w:tblCellMar>
        </w:tblPrEx>
        <w:tc>
          <w:tcPr>
            <w:tcW w:w="4082" w:type="dxa"/>
          </w:tcPr>
          <w:p w:rsidR="00000000" w:rsidRDefault="00000000">
            <w:pPr>
              <w:spacing w:before="120" w:after="0" w:line="240" w:lineRule="auto"/>
              <w:jc w:val="left"/>
              <w:rPr>
                <w:rFonts w:ascii="Arial" w:hAnsi="Arial"/>
                <w:sz w:val="16"/>
              </w:rPr>
            </w:pPr>
            <w:r>
              <w:rPr>
                <w:rFonts w:ascii="Arial" w:hAnsi="Arial"/>
                <w:sz w:val="16"/>
              </w:rPr>
              <w:t>Коэффициент постнатальной смертности (число умерших младенцев в возрасте от 1 до 12 месяцев на 1000 живорождений)</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3,3</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4,0</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4,0</w:t>
            </w:r>
          </w:p>
        </w:tc>
      </w:tr>
      <w:tr w:rsidR="00000000">
        <w:tblPrEx>
          <w:tblCellMar>
            <w:top w:w="0" w:type="dxa"/>
            <w:bottom w:w="0" w:type="dxa"/>
          </w:tblCellMar>
        </w:tblPrEx>
        <w:tc>
          <w:tcPr>
            <w:tcW w:w="4082" w:type="dxa"/>
          </w:tcPr>
          <w:p w:rsidR="00000000" w:rsidRDefault="00000000">
            <w:pPr>
              <w:spacing w:before="120" w:after="0" w:line="240" w:lineRule="auto"/>
              <w:jc w:val="left"/>
              <w:rPr>
                <w:rFonts w:ascii="Arial" w:hAnsi="Arial"/>
                <w:sz w:val="16"/>
              </w:rPr>
            </w:pPr>
            <w:r>
              <w:rPr>
                <w:rFonts w:ascii="Arial" w:hAnsi="Arial"/>
                <w:sz w:val="16"/>
              </w:rPr>
              <w:t xml:space="preserve">Коэффициент неонатальной смертности (число умерших младенцев в возрасте до 1 месяца </w:t>
            </w:r>
            <w:r>
              <w:rPr>
                <w:rFonts w:ascii="Arial" w:hAnsi="Arial"/>
                <w:sz w:val="16"/>
              </w:rPr>
              <w:br/>
              <w:t>на 1000</w:t>
            </w:r>
            <w:r>
              <w:rPr>
                <w:rFonts w:ascii="Arial" w:hAnsi="Arial"/>
                <w:sz w:val="16"/>
                <w:lang w:val="en-US"/>
              </w:rPr>
              <w:t> </w:t>
            </w:r>
            <w:r>
              <w:rPr>
                <w:rFonts w:ascii="Arial" w:hAnsi="Arial"/>
                <w:sz w:val="16"/>
              </w:rPr>
              <w:t>живорождений)</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13,9</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12,2</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13,1</w:t>
            </w:r>
          </w:p>
        </w:tc>
      </w:tr>
      <w:tr w:rsidR="00000000">
        <w:tblPrEx>
          <w:tblCellMar>
            <w:top w:w="0" w:type="dxa"/>
            <w:bottom w:w="0" w:type="dxa"/>
          </w:tblCellMar>
        </w:tblPrEx>
        <w:tc>
          <w:tcPr>
            <w:tcW w:w="4082" w:type="dxa"/>
          </w:tcPr>
          <w:p w:rsidR="00000000" w:rsidRDefault="00000000">
            <w:pPr>
              <w:spacing w:before="120" w:after="0" w:line="240" w:lineRule="auto"/>
              <w:jc w:val="left"/>
              <w:rPr>
                <w:rFonts w:ascii="Arial" w:hAnsi="Arial"/>
                <w:sz w:val="16"/>
              </w:rPr>
            </w:pPr>
            <w:r>
              <w:rPr>
                <w:rFonts w:ascii="Arial" w:hAnsi="Arial"/>
                <w:sz w:val="16"/>
              </w:rPr>
              <w:t>Коэффициент пренатальной смертности (число мертворождений на 1000 рождений)</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24,5</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23,5</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22,4</w:t>
            </w:r>
          </w:p>
        </w:tc>
      </w:tr>
      <w:tr w:rsidR="00000000">
        <w:tblPrEx>
          <w:tblCellMar>
            <w:top w:w="0" w:type="dxa"/>
            <w:bottom w:w="0" w:type="dxa"/>
          </w:tblCellMar>
        </w:tblPrEx>
        <w:tc>
          <w:tcPr>
            <w:tcW w:w="4082" w:type="dxa"/>
          </w:tcPr>
          <w:p w:rsidR="00000000" w:rsidRDefault="00000000">
            <w:pPr>
              <w:spacing w:before="120" w:after="0" w:line="240" w:lineRule="auto"/>
              <w:jc w:val="left"/>
              <w:rPr>
                <w:rFonts w:ascii="Arial" w:hAnsi="Arial"/>
                <w:sz w:val="16"/>
              </w:rPr>
            </w:pPr>
            <w:r>
              <w:rPr>
                <w:rFonts w:ascii="Arial" w:hAnsi="Arial"/>
                <w:sz w:val="16"/>
              </w:rPr>
              <w:t xml:space="preserve">Коэффициент материнской смертности (число женщин, умерших от осложнений во время беременности и деторождения </w:t>
            </w:r>
            <w:r>
              <w:rPr>
                <w:rFonts w:ascii="Arial" w:hAnsi="Arial"/>
                <w:sz w:val="16"/>
              </w:rPr>
              <w:br/>
              <w:t>на 100 000 живорождений)</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67,5</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38,9</w:t>
            </w:r>
          </w:p>
        </w:tc>
        <w:tc>
          <w:tcPr>
            <w:tcW w:w="1644" w:type="dxa"/>
            <w:vAlign w:val="bottom"/>
          </w:tcPr>
          <w:p w:rsidR="00000000" w:rsidRDefault="00000000">
            <w:pPr>
              <w:tabs>
                <w:tab w:val="clear" w:pos="340"/>
                <w:tab w:val="clear" w:pos="680"/>
                <w:tab w:val="decimal" w:pos="907"/>
              </w:tabs>
              <w:spacing w:before="120" w:after="0" w:line="240" w:lineRule="auto"/>
              <w:rPr>
                <w:rFonts w:ascii="Arial" w:hAnsi="Arial"/>
                <w:sz w:val="16"/>
              </w:rPr>
            </w:pPr>
            <w:r>
              <w:rPr>
                <w:rFonts w:ascii="Arial" w:hAnsi="Arial"/>
                <w:sz w:val="16"/>
              </w:rPr>
              <w:t>70,4</w:t>
            </w:r>
          </w:p>
        </w:tc>
      </w:tr>
    </w:tbl>
    <w:p w:rsidR="00000000" w:rsidRDefault="00000000">
      <w:pPr>
        <w:spacing w:after="0"/>
      </w:pP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82"/>
        <w:gridCol w:w="1644"/>
        <w:gridCol w:w="1644"/>
        <w:gridCol w:w="1644"/>
      </w:tblGrid>
      <w:tr w:rsidR="00000000">
        <w:tblPrEx>
          <w:tblCellMar>
            <w:top w:w="0" w:type="dxa"/>
            <w:bottom w:w="0" w:type="dxa"/>
          </w:tblCellMar>
        </w:tblPrEx>
        <w:tc>
          <w:tcPr>
            <w:tcW w:w="4082" w:type="dxa"/>
          </w:tcPr>
          <w:p w:rsidR="00000000" w:rsidRDefault="00000000">
            <w:pPr>
              <w:spacing w:before="80" w:after="20" w:line="240" w:lineRule="auto"/>
              <w:jc w:val="center"/>
              <w:rPr>
                <w:rFonts w:ascii="Arial" w:hAnsi="Arial"/>
                <w:sz w:val="16"/>
              </w:rPr>
            </w:pPr>
            <w:r>
              <w:rPr>
                <w:rFonts w:ascii="Arial" w:hAnsi="Arial"/>
                <w:sz w:val="16"/>
              </w:rPr>
              <w:t>ДРУГИЕ ПОКАЗАТЕЛИ</w:t>
            </w:r>
          </w:p>
        </w:tc>
        <w:tc>
          <w:tcPr>
            <w:tcW w:w="1644" w:type="dxa"/>
          </w:tcPr>
          <w:p w:rsidR="00000000" w:rsidRDefault="00000000">
            <w:pPr>
              <w:spacing w:before="80" w:after="20" w:line="240" w:lineRule="auto"/>
              <w:jc w:val="center"/>
              <w:rPr>
                <w:rFonts w:ascii="Arial" w:hAnsi="Arial"/>
                <w:sz w:val="16"/>
              </w:rPr>
            </w:pPr>
            <w:r>
              <w:rPr>
                <w:rFonts w:ascii="Arial" w:hAnsi="Arial"/>
                <w:sz w:val="16"/>
              </w:rPr>
              <w:t>1995 год</w:t>
            </w:r>
          </w:p>
        </w:tc>
        <w:tc>
          <w:tcPr>
            <w:tcW w:w="1644" w:type="dxa"/>
          </w:tcPr>
          <w:p w:rsidR="00000000" w:rsidRDefault="00000000">
            <w:pPr>
              <w:spacing w:before="80" w:after="20" w:line="240" w:lineRule="auto"/>
              <w:jc w:val="center"/>
              <w:rPr>
                <w:rFonts w:ascii="Arial" w:hAnsi="Arial"/>
                <w:sz w:val="16"/>
              </w:rPr>
            </w:pPr>
            <w:r>
              <w:rPr>
                <w:rFonts w:ascii="Arial" w:hAnsi="Arial"/>
                <w:sz w:val="16"/>
              </w:rPr>
              <w:t>1996 год</w:t>
            </w:r>
          </w:p>
        </w:tc>
        <w:tc>
          <w:tcPr>
            <w:tcW w:w="1644" w:type="dxa"/>
          </w:tcPr>
          <w:p w:rsidR="00000000" w:rsidRDefault="00000000">
            <w:pPr>
              <w:spacing w:before="80" w:after="20" w:line="240" w:lineRule="auto"/>
              <w:jc w:val="center"/>
              <w:rPr>
                <w:rFonts w:ascii="Arial" w:hAnsi="Arial"/>
                <w:sz w:val="16"/>
              </w:rPr>
            </w:pPr>
            <w:r>
              <w:rPr>
                <w:rFonts w:ascii="Arial" w:hAnsi="Arial"/>
                <w:sz w:val="16"/>
              </w:rPr>
              <w:t>1997 год</w:t>
            </w:r>
          </w:p>
        </w:tc>
      </w:tr>
      <w:tr w:rsidR="00000000">
        <w:tblPrEx>
          <w:tblCellMar>
            <w:top w:w="0" w:type="dxa"/>
            <w:bottom w:w="0" w:type="dxa"/>
          </w:tblCellMar>
        </w:tblPrEx>
        <w:tc>
          <w:tcPr>
            <w:tcW w:w="4082" w:type="dxa"/>
          </w:tcPr>
          <w:p w:rsidR="00000000" w:rsidRDefault="00000000">
            <w:pPr>
              <w:spacing w:before="40" w:after="20" w:line="240" w:lineRule="auto"/>
              <w:jc w:val="left"/>
              <w:rPr>
                <w:rFonts w:ascii="Arial" w:hAnsi="Arial"/>
                <w:sz w:val="16"/>
              </w:rPr>
            </w:pPr>
            <w:r>
              <w:rPr>
                <w:rFonts w:ascii="Arial" w:hAnsi="Arial"/>
                <w:sz w:val="16"/>
              </w:rPr>
              <w:t xml:space="preserve">Соотношение полов </w:t>
            </w:r>
            <w:r>
              <w:rPr>
                <w:rFonts w:ascii="Arial" w:hAnsi="Arial"/>
                <w:sz w:val="16"/>
                <w:lang w:val="en-US"/>
              </w:rPr>
              <w:br/>
            </w:r>
            <w:r>
              <w:rPr>
                <w:rFonts w:ascii="Arial" w:hAnsi="Arial"/>
                <w:sz w:val="16"/>
              </w:rPr>
              <w:t>(число мужчин на 100 женщин)</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101</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101</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100</w:t>
            </w:r>
          </w:p>
        </w:tc>
      </w:tr>
      <w:tr w:rsidR="00000000">
        <w:tblPrEx>
          <w:tblCellMar>
            <w:top w:w="0" w:type="dxa"/>
            <w:bottom w:w="0" w:type="dxa"/>
          </w:tblCellMar>
        </w:tblPrEx>
        <w:tc>
          <w:tcPr>
            <w:tcW w:w="4082" w:type="dxa"/>
          </w:tcPr>
          <w:p w:rsidR="00000000" w:rsidRDefault="00000000">
            <w:pPr>
              <w:spacing w:before="40" w:after="20" w:line="240" w:lineRule="auto"/>
              <w:jc w:val="left"/>
              <w:rPr>
                <w:rFonts w:ascii="Arial" w:hAnsi="Arial"/>
                <w:sz w:val="16"/>
              </w:rPr>
            </w:pPr>
            <w:r>
              <w:rPr>
                <w:rFonts w:ascii="Arial" w:hAnsi="Arial"/>
                <w:sz w:val="16"/>
              </w:rPr>
              <w:t xml:space="preserve">Относительный показатель числа иждивенцев </w:t>
            </w:r>
            <w:r>
              <w:rPr>
                <w:rFonts w:ascii="Arial" w:hAnsi="Arial"/>
                <w:sz w:val="16"/>
                <w:lang w:val="en-US"/>
              </w:rPr>
              <w:br/>
            </w:r>
            <w:r>
              <w:rPr>
                <w:rFonts w:ascii="Arial" w:hAnsi="Arial"/>
                <w:sz w:val="16"/>
              </w:rPr>
              <w:t xml:space="preserve">(число лиц в возрасте до 15 лет и 65 лет и старше </w:t>
            </w:r>
            <w:r>
              <w:rPr>
                <w:rFonts w:ascii="Arial" w:hAnsi="Arial"/>
                <w:sz w:val="16"/>
              </w:rPr>
              <w:br/>
              <w:t>на 1000</w:t>
            </w:r>
            <w:r>
              <w:rPr>
                <w:rFonts w:ascii="Arial" w:hAnsi="Arial"/>
                <w:sz w:val="16"/>
                <w:lang w:val="en-US"/>
              </w:rPr>
              <w:t> </w:t>
            </w:r>
            <w:r>
              <w:rPr>
                <w:rFonts w:ascii="Arial" w:hAnsi="Arial"/>
                <w:sz w:val="16"/>
              </w:rPr>
              <w:t>человек населения)</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541,8</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519,9</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502,4</w:t>
            </w:r>
          </w:p>
        </w:tc>
      </w:tr>
      <w:tr w:rsidR="00000000">
        <w:tblPrEx>
          <w:tblCellMar>
            <w:top w:w="0" w:type="dxa"/>
            <w:bottom w:w="0" w:type="dxa"/>
          </w:tblCellMar>
        </w:tblPrEx>
        <w:tc>
          <w:tcPr>
            <w:tcW w:w="4082" w:type="dxa"/>
          </w:tcPr>
          <w:p w:rsidR="00000000" w:rsidRDefault="00000000">
            <w:pPr>
              <w:spacing w:before="40" w:after="20" w:line="240" w:lineRule="auto"/>
              <w:jc w:val="left"/>
              <w:rPr>
                <w:rFonts w:ascii="Arial" w:hAnsi="Arial"/>
                <w:sz w:val="16"/>
              </w:rPr>
            </w:pPr>
            <w:r>
              <w:rPr>
                <w:rFonts w:ascii="Arial" w:hAnsi="Arial"/>
                <w:sz w:val="16"/>
              </w:rPr>
              <w:t xml:space="preserve">Общий коэффициент брачности (число браков </w:t>
            </w:r>
            <w:r>
              <w:rPr>
                <w:rFonts w:ascii="Arial" w:hAnsi="Arial"/>
                <w:sz w:val="16"/>
              </w:rPr>
              <w:br/>
              <w:t>на 1000 человек – в среднем за год)</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5,3</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5,6</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5,8</w:t>
            </w:r>
          </w:p>
        </w:tc>
      </w:tr>
      <w:tr w:rsidR="00000000">
        <w:tblPrEx>
          <w:tblCellMar>
            <w:top w:w="0" w:type="dxa"/>
            <w:bottom w:w="0" w:type="dxa"/>
          </w:tblCellMar>
        </w:tblPrEx>
        <w:tc>
          <w:tcPr>
            <w:tcW w:w="4082" w:type="dxa"/>
          </w:tcPr>
          <w:p w:rsidR="00000000" w:rsidRDefault="00000000">
            <w:pPr>
              <w:spacing w:before="40" w:after="20" w:line="240" w:lineRule="auto"/>
              <w:jc w:val="left"/>
              <w:rPr>
                <w:rFonts w:ascii="Arial" w:hAnsi="Arial"/>
                <w:sz w:val="16"/>
              </w:rPr>
            </w:pPr>
            <w:r>
              <w:rPr>
                <w:rFonts w:ascii="Arial" w:hAnsi="Arial"/>
                <w:sz w:val="16"/>
              </w:rPr>
              <w:t xml:space="preserve">Общий коэффициент разводов (число разводов </w:t>
            </w:r>
            <w:r>
              <w:rPr>
                <w:rFonts w:ascii="Arial" w:hAnsi="Arial"/>
                <w:sz w:val="16"/>
              </w:rPr>
              <w:br/>
              <w:t>на 1000</w:t>
            </w:r>
            <w:r>
              <w:rPr>
                <w:rFonts w:ascii="Arial" w:hAnsi="Arial"/>
                <w:sz w:val="16"/>
                <w:lang w:val="en-US"/>
              </w:rPr>
              <w:t> </w:t>
            </w:r>
            <w:r>
              <w:rPr>
                <w:rFonts w:ascii="Arial" w:hAnsi="Arial"/>
                <w:sz w:val="16"/>
              </w:rPr>
              <w:t>человек – в среднем за год)</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0,8</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1,2</w:t>
            </w:r>
          </w:p>
        </w:tc>
        <w:tc>
          <w:tcPr>
            <w:tcW w:w="1644" w:type="dxa"/>
            <w:vAlign w:val="bottom"/>
          </w:tcPr>
          <w:p w:rsidR="00000000" w:rsidRDefault="00000000">
            <w:pPr>
              <w:tabs>
                <w:tab w:val="clear" w:pos="340"/>
                <w:tab w:val="clear" w:pos="680"/>
                <w:tab w:val="decimal" w:pos="907"/>
              </w:tabs>
              <w:spacing w:before="40" w:after="20" w:line="240" w:lineRule="auto"/>
              <w:rPr>
                <w:rFonts w:ascii="Arial" w:hAnsi="Arial"/>
                <w:sz w:val="16"/>
              </w:rPr>
            </w:pPr>
            <w:r>
              <w:rPr>
                <w:rFonts w:ascii="Arial" w:hAnsi="Arial"/>
                <w:sz w:val="16"/>
              </w:rPr>
              <w:t>1,0</w:t>
            </w:r>
          </w:p>
        </w:tc>
      </w:tr>
    </w:tbl>
    <w:p w:rsidR="00000000" w:rsidRDefault="00000000">
      <w:pPr>
        <w:spacing w:after="120"/>
      </w:pPr>
    </w:p>
    <w:p w:rsidR="00000000" w:rsidRDefault="00000000">
      <w:pPr>
        <w:spacing w:after="0"/>
        <w:ind w:left="680" w:hanging="680"/>
      </w:pPr>
      <w:r>
        <w:t>325.</w:t>
      </w:r>
      <w:r>
        <w:tab/>
      </w:r>
      <w:r>
        <w:rPr>
          <w:b/>
        </w:rPr>
        <w:t xml:space="preserve">Материнская смертность, младенческая смертность и общий показатель фертильности, </w:t>
      </w:r>
      <w:r>
        <w:rPr>
          <w:b/>
          <w:lang w:val="en-US"/>
        </w:rPr>
        <w:br/>
      </w:r>
      <w:r>
        <w:rPr>
          <w:b/>
        </w:rPr>
        <w:t>1991–1994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2438"/>
        <w:gridCol w:w="2438"/>
        <w:gridCol w:w="2438"/>
      </w:tblGrid>
      <w:tr w:rsidR="00000000">
        <w:tblPrEx>
          <w:tblCellMar>
            <w:top w:w="0" w:type="dxa"/>
            <w:bottom w:w="0" w:type="dxa"/>
          </w:tblCellMar>
        </w:tblPrEx>
        <w:tc>
          <w:tcPr>
            <w:tcW w:w="1701" w:type="dxa"/>
          </w:tcPr>
          <w:p w:rsidR="00000000" w:rsidRDefault="00000000">
            <w:pPr>
              <w:spacing w:before="60" w:after="20" w:line="240" w:lineRule="auto"/>
              <w:jc w:val="center"/>
              <w:rPr>
                <w:rFonts w:ascii="Arial" w:hAnsi="Arial"/>
                <w:sz w:val="16"/>
              </w:rPr>
            </w:pPr>
            <w:r>
              <w:rPr>
                <w:rFonts w:ascii="Arial" w:hAnsi="Arial"/>
                <w:sz w:val="16"/>
              </w:rPr>
              <w:t>ГОД</w:t>
            </w:r>
          </w:p>
        </w:tc>
        <w:tc>
          <w:tcPr>
            <w:tcW w:w="2438" w:type="dxa"/>
          </w:tcPr>
          <w:p w:rsidR="00000000" w:rsidRDefault="00000000">
            <w:pPr>
              <w:spacing w:before="60" w:after="20" w:line="240" w:lineRule="auto"/>
              <w:jc w:val="center"/>
              <w:rPr>
                <w:rFonts w:ascii="Arial" w:hAnsi="Arial"/>
                <w:sz w:val="16"/>
              </w:rPr>
            </w:pPr>
            <w:r>
              <w:rPr>
                <w:rFonts w:ascii="Arial" w:hAnsi="Arial"/>
                <w:sz w:val="16"/>
              </w:rPr>
              <w:t xml:space="preserve">МАТЕРИНСКАЯ </w:t>
            </w:r>
            <w:r>
              <w:rPr>
                <w:rFonts w:ascii="Arial" w:hAnsi="Arial"/>
                <w:sz w:val="16"/>
              </w:rPr>
              <w:br/>
              <w:t>СМЕРТНОСТЬ</w:t>
            </w:r>
          </w:p>
        </w:tc>
        <w:tc>
          <w:tcPr>
            <w:tcW w:w="2438" w:type="dxa"/>
          </w:tcPr>
          <w:p w:rsidR="00000000" w:rsidRDefault="00000000">
            <w:pPr>
              <w:spacing w:before="60" w:after="20" w:line="240" w:lineRule="auto"/>
              <w:jc w:val="center"/>
              <w:rPr>
                <w:rFonts w:ascii="Arial" w:hAnsi="Arial"/>
                <w:sz w:val="16"/>
              </w:rPr>
            </w:pPr>
            <w:r>
              <w:rPr>
                <w:rFonts w:ascii="Arial" w:hAnsi="Arial"/>
                <w:sz w:val="16"/>
              </w:rPr>
              <w:t>МЛАДЕНЧЕСКАЯ СМЕРТНОСТЬ</w:t>
            </w:r>
          </w:p>
        </w:tc>
        <w:tc>
          <w:tcPr>
            <w:tcW w:w="2438" w:type="dxa"/>
          </w:tcPr>
          <w:p w:rsidR="00000000" w:rsidRDefault="00000000">
            <w:pPr>
              <w:spacing w:before="60" w:after="20" w:line="240" w:lineRule="auto"/>
              <w:jc w:val="center"/>
              <w:rPr>
                <w:rFonts w:ascii="Arial" w:hAnsi="Arial"/>
                <w:sz w:val="16"/>
              </w:rPr>
            </w:pPr>
            <w:r>
              <w:rPr>
                <w:rFonts w:ascii="Arial" w:hAnsi="Arial"/>
                <w:sz w:val="16"/>
              </w:rPr>
              <w:t>ОБЩИЙ КОЭФФИЦИЕНТ ФЕРТИЛЬНОСТИ</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1991</w:t>
            </w:r>
          </w:p>
        </w:tc>
        <w:tc>
          <w:tcPr>
            <w:tcW w:w="2438" w:type="dxa"/>
          </w:tcPr>
          <w:p w:rsidR="00000000" w:rsidRDefault="00000000">
            <w:pPr>
              <w:spacing w:before="20" w:after="20" w:line="240" w:lineRule="auto"/>
              <w:jc w:val="center"/>
              <w:rPr>
                <w:rFonts w:ascii="Arial" w:hAnsi="Arial"/>
                <w:sz w:val="16"/>
              </w:rPr>
            </w:pPr>
            <w:r>
              <w:rPr>
                <w:rFonts w:ascii="Arial" w:hAnsi="Arial"/>
                <w:sz w:val="16"/>
              </w:rPr>
              <w:t>49,18</w:t>
            </w:r>
          </w:p>
        </w:tc>
        <w:tc>
          <w:tcPr>
            <w:tcW w:w="2438" w:type="dxa"/>
          </w:tcPr>
          <w:p w:rsidR="00000000" w:rsidRDefault="00000000">
            <w:pPr>
              <w:spacing w:before="20" w:after="20" w:line="240" w:lineRule="auto"/>
              <w:jc w:val="center"/>
              <w:rPr>
                <w:rFonts w:ascii="Arial" w:hAnsi="Arial"/>
                <w:sz w:val="16"/>
              </w:rPr>
            </w:pPr>
            <w:r>
              <w:rPr>
                <w:rFonts w:ascii="Arial" w:hAnsi="Arial"/>
                <w:sz w:val="16"/>
              </w:rPr>
              <w:t>11,0</w:t>
            </w:r>
          </w:p>
        </w:tc>
        <w:tc>
          <w:tcPr>
            <w:tcW w:w="2438" w:type="dxa"/>
          </w:tcPr>
          <w:p w:rsidR="00000000" w:rsidRDefault="00000000">
            <w:pPr>
              <w:spacing w:before="20" w:after="20" w:line="240" w:lineRule="auto"/>
              <w:jc w:val="center"/>
              <w:rPr>
                <w:rFonts w:ascii="Arial" w:hAnsi="Arial"/>
                <w:sz w:val="16"/>
              </w:rPr>
            </w:pPr>
            <w:r>
              <w:rPr>
                <w:rFonts w:ascii="Arial" w:hAnsi="Arial"/>
                <w:sz w:val="16"/>
              </w:rPr>
              <w:t>73,49</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1992</w:t>
            </w:r>
          </w:p>
        </w:tc>
        <w:tc>
          <w:tcPr>
            <w:tcW w:w="2438" w:type="dxa"/>
          </w:tcPr>
          <w:p w:rsidR="00000000" w:rsidRDefault="00000000">
            <w:pPr>
              <w:spacing w:before="20" w:after="20" w:line="240" w:lineRule="auto"/>
              <w:jc w:val="center"/>
              <w:rPr>
                <w:rFonts w:ascii="Arial" w:hAnsi="Arial"/>
                <w:sz w:val="16"/>
              </w:rPr>
            </w:pPr>
            <w:r>
              <w:rPr>
                <w:rFonts w:ascii="Arial" w:hAnsi="Arial"/>
                <w:sz w:val="16"/>
              </w:rPr>
              <w:t>60,70</w:t>
            </w:r>
          </w:p>
        </w:tc>
        <w:tc>
          <w:tcPr>
            <w:tcW w:w="2438" w:type="dxa"/>
          </w:tcPr>
          <w:p w:rsidR="00000000" w:rsidRDefault="00000000">
            <w:pPr>
              <w:spacing w:before="20" w:after="20" w:line="240" w:lineRule="auto"/>
              <w:jc w:val="center"/>
              <w:rPr>
                <w:rFonts w:ascii="Arial" w:hAnsi="Arial"/>
                <w:sz w:val="16"/>
              </w:rPr>
            </w:pPr>
            <w:r>
              <w:rPr>
                <w:rFonts w:ascii="Arial" w:hAnsi="Arial"/>
                <w:sz w:val="16"/>
              </w:rPr>
              <w:t>10,5</w:t>
            </w:r>
          </w:p>
        </w:tc>
        <w:tc>
          <w:tcPr>
            <w:tcW w:w="2438" w:type="dxa"/>
          </w:tcPr>
          <w:p w:rsidR="00000000" w:rsidRDefault="00000000">
            <w:pPr>
              <w:spacing w:before="20" w:after="20" w:line="240" w:lineRule="auto"/>
              <w:jc w:val="center"/>
              <w:rPr>
                <w:rFonts w:ascii="Arial" w:hAnsi="Arial"/>
                <w:sz w:val="16"/>
              </w:rPr>
            </w:pPr>
            <w:r>
              <w:rPr>
                <w:rFonts w:ascii="Arial" w:hAnsi="Arial"/>
                <w:sz w:val="16"/>
              </w:rPr>
              <w:t>74,00</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1993</w:t>
            </w:r>
          </w:p>
        </w:tc>
        <w:tc>
          <w:tcPr>
            <w:tcW w:w="2438" w:type="dxa"/>
          </w:tcPr>
          <w:p w:rsidR="00000000" w:rsidRDefault="00000000">
            <w:pPr>
              <w:spacing w:before="20" w:after="20" w:line="240" w:lineRule="auto"/>
              <w:jc w:val="center"/>
              <w:rPr>
                <w:rFonts w:ascii="Arial" w:hAnsi="Arial"/>
                <w:sz w:val="16"/>
              </w:rPr>
            </w:pPr>
            <w:r>
              <w:rPr>
                <w:rFonts w:ascii="Arial" w:hAnsi="Arial"/>
                <w:sz w:val="16"/>
              </w:rPr>
              <w:t>66,40</w:t>
            </w:r>
          </w:p>
        </w:tc>
        <w:tc>
          <w:tcPr>
            <w:tcW w:w="2438" w:type="dxa"/>
          </w:tcPr>
          <w:p w:rsidR="00000000" w:rsidRDefault="00000000">
            <w:pPr>
              <w:spacing w:before="20" w:after="20" w:line="240" w:lineRule="auto"/>
              <w:jc w:val="center"/>
              <w:rPr>
                <w:rFonts w:ascii="Arial" w:hAnsi="Arial"/>
                <w:sz w:val="16"/>
              </w:rPr>
            </w:pPr>
            <w:r>
              <w:rPr>
                <w:rFonts w:ascii="Arial" w:hAnsi="Arial"/>
                <w:sz w:val="16"/>
              </w:rPr>
              <w:t>12,2</w:t>
            </w:r>
          </w:p>
        </w:tc>
        <w:tc>
          <w:tcPr>
            <w:tcW w:w="2438" w:type="dxa"/>
          </w:tcPr>
          <w:p w:rsidR="00000000" w:rsidRDefault="00000000">
            <w:pPr>
              <w:spacing w:before="20" w:after="20" w:line="240" w:lineRule="auto"/>
              <w:jc w:val="center"/>
              <w:rPr>
                <w:rFonts w:ascii="Arial" w:hAnsi="Arial"/>
                <w:sz w:val="16"/>
              </w:rPr>
            </w:pPr>
            <w:r>
              <w:rPr>
                <w:rFonts w:ascii="Arial" w:hAnsi="Arial"/>
                <w:sz w:val="16"/>
              </w:rPr>
              <w:t>64,10</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1994</w:t>
            </w:r>
          </w:p>
        </w:tc>
        <w:tc>
          <w:tcPr>
            <w:tcW w:w="2438" w:type="dxa"/>
          </w:tcPr>
          <w:p w:rsidR="00000000" w:rsidRDefault="00000000">
            <w:pPr>
              <w:spacing w:before="20" w:after="20" w:line="240" w:lineRule="auto"/>
              <w:jc w:val="center"/>
              <w:rPr>
                <w:rFonts w:ascii="Arial" w:hAnsi="Arial"/>
                <w:sz w:val="16"/>
              </w:rPr>
            </w:pPr>
            <w:r>
              <w:rPr>
                <w:rFonts w:ascii="Arial" w:hAnsi="Arial"/>
                <w:sz w:val="16"/>
              </w:rPr>
              <w:t>76,20</w:t>
            </w:r>
          </w:p>
        </w:tc>
        <w:tc>
          <w:tcPr>
            <w:tcW w:w="2438" w:type="dxa"/>
          </w:tcPr>
          <w:p w:rsidR="00000000" w:rsidRDefault="00000000">
            <w:pPr>
              <w:spacing w:before="20" w:after="20" w:line="240" w:lineRule="auto"/>
              <w:jc w:val="center"/>
              <w:rPr>
                <w:rFonts w:ascii="Arial" w:hAnsi="Arial"/>
                <w:sz w:val="16"/>
              </w:rPr>
            </w:pPr>
            <w:r>
              <w:rPr>
                <w:rFonts w:ascii="Arial" w:hAnsi="Arial"/>
                <w:sz w:val="16"/>
              </w:rPr>
              <w:t>13,8</w:t>
            </w:r>
          </w:p>
        </w:tc>
        <w:tc>
          <w:tcPr>
            <w:tcW w:w="2438" w:type="dxa"/>
          </w:tcPr>
          <w:p w:rsidR="00000000" w:rsidRDefault="00000000">
            <w:pPr>
              <w:spacing w:before="20" w:after="20" w:line="240" w:lineRule="auto"/>
              <w:jc w:val="center"/>
              <w:rPr>
                <w:rFonts w:ascii="Arial" w:hAnsi="Arial"/>
                <w:sz w:val="16"/>
              </w:rPr>
            </w:pPr>
            <w:r>
              <w:rPr>
                <w:rFonts w:ascii="Arial" w:hAnsi="Arial"/>
                <w:sz w:val="16"/>
              </w:rPr>
              <w:t>59,30</w:t>
            </w:r>
          </w:p>
        </w:tc>
      </w:tr>
    </w:tbl>
    <w:p w:rsidR="00000000" w:rsidRDefault="00000000"/>
    <w:p w:rsidR="00000000" w:rsidRDefault="00000000">
      <w:r>
        <w:t>326.</w:t>
      </w:r>
      <w:r>
        <w:tab/>
        <w:t>Коэффициент младенческой смертности в Тринидаде и Тобаго в 1998 году составлял 15,6</w:t>
      </w:r>
      <w:r>
        <w:rPr>
          <w:lang w:val="en-US"/>
        </w:rPr>
        <w:t> </w:t>
      </w:r>
      <w:r>
        <w:t>процента на тысячу живорождений, а средний годовой показатель увеличения численности населения в 1998 году равнялся 0,6</w:t>
      </w:r>
      <w:r>
        <w:rPr>
          <w:lang w:val="en-US"/>
        </w:rPr>
        <w:t> </w:t>
      </w:r>
      <w:r>
        <w:t>процента. В 1997</w:t>
      </w:r>
      <w:r>
        <w:rPr>
          <w:lang w:val="en-US"/>
        </w:rPr>
        <w:t> </w:t>
      </w:r>
      <w:r>
        <w:t>году коэффициент младенческой смертности равнялся 16,2</w:t>
      </w:r>
      <w:r>
        <w:rPr>
          <w:lang w:val="en-US"/>
        </w:rPr>
        <w:t> </w:t>
      </w:r>
      <w:r>
        <w:t>случая на тысячу живорождений, а средний показатель увеличения численности населения составил 0,9</w:t>
      </w:r>
      <w:r>
        <w:rPr>
          <w:lang w:val="en-US"/>
        </w:rPr>
        <w:t> </w:t>
      </w:r>
      <w:r>
        <w:t>процента. Лечение распространенных детских болезней, которые являются причиной высоких показателей младенческой смертности, таких как диарея, успешно и эффективно осуществляется во всех государственных медицинских учреждениях. Разбивка данных о младенческой смертности по городскому и сельскому населению или социально-экономическому положению отсутствует.</w:t>
      </w:r>
    </w:p>
    <w:p w:rsidR="00000000" w:rsidRDefault="00000000">
      <w:r>
        <w:t>327.</w:t>
      </w:r>
      <w:r>
        <w:tab/>
        <w:t>Причинами ухудшения состояния здоровья женщин в стране, которые в 60 процентах случаев приводят к потере женщинами трудоспособности в возрастной группе от 65 лет и старше, являются хронические, неинфекционные заболевания. Женщины в возрасте 35 лет и старше – 28,1 и 12,6 процента, соответственно, – страдают гипертензией, диагностированной врачом, и диабетом (по сообщениям самих больных). В соответствии с установленным врачами диагнозом гипертензией больны 50 процентов женщин в возрасте 65 лет и старше (1992 год).</w:t>
      </w:r>
    </w:p>
    <w:p w:rsidR="00000000" w:rsidRDefault="00000000">
      <w:r>
        <w:t>328.</w:t>
      </w:r>
      <w:r>
        <w:tab/>
        <w:t>Основная причина смертности среди женщин – заболевание системы кровообращения. За последние два десятилетия возрос показатель смертности от диабета, и эта болезнь занимает сейчас второе место в перечне причин смертности женщин. Наиболее распространенной причиной смерти женщин в возрасте до 65</w:t>
      </w:r>
      <w:r>
        <w:rPr>
          <w:lang w:val="en-US"/>
        </w:rPr>
        <w:t> </w:t>
      </w:r>
      <w:r>
        <w:t>лет является рак, особенно рак молочной железы и шейки матки. Если показатель заболеваемости раком шейки матки в последние годы снижается, то коэффициент смертности от рака молочной железы вырос с 17,6</w:t>
      </w:r>
      <w:r>
        <w:rPr>
          <w:lang w:val="en-US"/>
        </w:rPr>
        <w:t> </w:t>
      </w:r>
      <w:r>
        <w:t>случая смерти на 100</w:t>
      </w:r>
      <w:r>
        <w:rPr>
          <w:lang w:val="en-US"/>
        </w:rPr>
        <w:t> </w:t>
      </w:r>
      <w:r>
        <w:t>000</w:t>
      </w:r>
      <w:r>
        <w:rPr>
          <w:lang w:val="en-US"/>
        </w:rPr>
        <w:t> </w:t>
      </w:r>
      <w:r>
        <w:t>женщин в 1990 году до 19,5 случая смерти в 1994 году. "Внешние факторы</w:t>
      </w:r>
      <w:r>
        <w:rPr>
          <w:lang w:val="en-US"/>
        </w:rPr>
        <w:t>" –</w:t>
      </w:r>
      <w:r>
        <w:t xml:space="preserve"> еще одна и серьезная причина смертности среди молодых женщин в возрасте от 15 до 24 лет. На них приходится 32,9 процента случаев смерти среди женщин, из которых 67,8 процента составляют убийства и самоубийства.</w:t>
      </w:r>
    </w:p>
    <w:p w:rsidR="00000000" w:rsidRDefault="00000000">
      <w:pPr>
        <w:spacing w:after="0"/>
        <w:ind w:left="680"/>
        <w:jc w:val="left"/>
        <w:rPr>
          <w:b/>
        </w:rPr>
      </w:pPr>
      <w:r>
        <w:rPr>
          <w:b/>
        </w:rPr>
        <w:t>Смертность среди женщин от отдельных причин по отношению к общему числу смертей в данной возрастной группе (%), 1990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19"/>
        <w:gridCol w:w="1474"/>
        <w:gridCol w:w="1474"/>
        <w:gridCol w:w="1474"/>
        <w:gridCol w:w="1474"/>
      </w:tblGrid>
      <w:tr w:rsidR="00000000">
        <w:tblPrEx>
          <w:tblCellMar>
            <w:top w:w="0" w:type="dxa"/>
            <w:bottom w:w="0" w:type="dxa"/>
          </w:tblCellMar>
        </w:tblPrEx>
        <w:trPr>
          <w:cantSplit/>
        </w:trPr>
        <w:tc>
          <w:tcPr>
            <w:tcW w:w="3119" w:type="dxa"/>
            <w:tcBorders>
              <w:bottom w:val="nil"/>
            </w:tcBorders>
          </w:tcPr>
          <w:p w:rsidR="00000000" w:rsidRDefault="00000000">
            <w:pPr>
              <w:spacing w:before="60" w:after="20" w:line="240" w:lineRule="auto"/>
              <w:jc w:val="center"/>
              <w:rPr>
                <w:rFonts w:ascii="Arial" w:hAnsi="Arial"/>
                <w:sz w:val="16"/>
              </w:rPr>
            </w:pPr>
            <w:r>
              <w:rPr>
                <w:rFonts w:ascii="Arial" w:hAnsi="Arial"/>
                <w:sz w:val="16"/>
              </w:rPr>
              <w:t>ПРИЧИНЫ СМЕРТИ</w:t>
            </w:r>
          </w:p>
        </w:tc>
        <w:tc>
          <w:tcPr>
            <w:tcW w:w="5896" w:type="dxa"/>
            <w:gridSpan w:val="4"/>
          </w:tcPr>
          <w:p w:rsidR="00000000" w:rsidRDefault="00000000">
            <w:pPr>
              <w:spacing w:before="60" w:after="20" w:line="240" w:lineRule="auto"/>
              <w:jc w:val="center"/>
              <w:rPr>
                <w:rFonts w:ascii="Arial" w:hAnsi="Arial"/>
                <w:sz w:val="16"/>
              </w:rPr>
            </w:pPr>
            <w:r>
              <w:rPr>
                <w:rFonts w:ascii="Arial" w:hAnsi="Arial"/>
                <w:sz w:val="16"/>
              </w:rPr>
              <w:t>ВОЗРАСТ</w:t>
            </w:r>
          </w:p>
        </w:tc>
      </w:tr>
      <w:tr w:rsidR="00000000">
        <w:tblPrEx>
          <w:tblCellMar>
            <w:top w:w="0" w:type="dxa"/>
            <w:bottom w:w="0" w:type="dxa"/>
          </w:tblCellMar>
        </w:tblPrEx>
        <w:tc>
          <w:tcPr>
            <w:tcW w:w="3119" w:type="dxa"/>
            <w:tcBorders>
              <w:top w:val="nil"/>
              <w:bottom w:val="nil"/>
            </w:tcBorders>
          </w:tcPr>
          <w:p w:rsidR="00000000" w:rsidRDefault="00000000">
            <w:pPr>
              <w:spacing w:before="60" w:after="0" w:line="240" w:lineRule="auto"/>
              <w:jc w:val="center"/>
              <w:rPr>
                <w:rFonts w:ascii="Arial" w:hAnsi="Arial"/>
                <w:sz w:val="16"/>
              </w:rPr>
            </w:pPr>
          </w:p>
        </w:tc>
        <w:tc>
          <w:tcPr>
            <w:tcW w:w="1474" w:type="dxa"/>
            <w:tcBorders>
              <w:bottom w:val="nil"/>
            </w:tcBorders>
          </w:tcPr>
          <w:p w:rsidR="00000000" w:rsidRDefault="00000000">
            <w:pPr>
              <w:spacing w:before="60" w:after="0" w:line="240" w:lineRule="auto"/>
              <w:jc w:val="center"/>
              <w:rPr>
                <w:rFonts w:ascii="Arial" w:hAnsi="Arial"/>
                <w:sz w:val="16"/>
              </w:rPr>
            </w:pPr>
            <w:r>
              <w:rPr>
                <w:rFonts w:ascii="Arial" w:hAnsi="Arial"/>
                <w:sz w:val="16"/>
              </w:rPr>
              <w:t>15–24 года</w:t>
            </w:r>
          </w:p>
        </w:tc>
        <w:tc>
          <w:tcPr>
            <w:tcW w:w="1474" w:type="dxa"/>
            <w:tcBorders>
              <w:bottom w:val="nil"/>
            </w:tcBorders>
          </w:tcPr>
          <w:p w:rsidR="00000000" w:rsidRDefault="00000000">
            <w:pPr>
              <w:spacing w:before="60" w:after="0" w:line="240" w:lineRule="auto"/>
              <w:jc w:val="center"/>
              <w:rPr>
                <w:rFonts w:ascii="Arial" w:hAnsi="Arial"/>
                <w:sz w:val="16"/>
              </w:rPr>
            </w:pPr>
            <w:r>
              <w:rPr>
                <w:rFonts w:ascii="Arial" w:hAnsi="Arial"/>
                <w:sz w:val="16"/>
              </w:rPr>
              <w:t>25–44 года</w:t>
            </w:r>
          </w:p>
        </w:tc>
        <w:tc>
          <w:tcPr>
            <w:tcW w:w="1474" w:type="dxa"/>
            <w:tcBorders>
              <w:bottom w:val="nil"/>
            </w:tcBorders>
          </w:tcPr>
          <w:p w:rsidR="00000000" w:rsidRDefault="00000000">
            <w:pPr>
              <w:spacing w:before="60" w:after="0" w:line="240" w:lineRule="auto"/>
              <w:jc w:val="center"/>
              <w:rPr>
                <w:rFonts w:ascii="Arial" w:hAnsi="Arial"/>
                <w:sz w:val="16"/>
              </w:rPr>
            </w:pPr>
            <w:r>
              <w:rPr>
                <w:rFonts w:ascii="Arial" w:hAnsi="Arial"/>
                <w:sz w:val="16"/>
              </w:rPr>
              <w:t>45–64 года</w:t>
            </w:r>
          </w:p>
        </w:tc>
        <w:tc>
          <w:tcPr>
            <w:tcW w:w="1474" w:type="dxa"/>
            <w:tcBorders>
              <w:bottom w:val="nil"/>
            </w:tcBorders>
          </w:tcPr>
          <w:p w:rsidR="00000000" w:rsidRDefault="00000000">
            <w:pPr>
              <w:spacing w:before="60" w:after="0" w:line="240" w:lineRule="auto"/>
              <w:jc w:val="center"/>
              <w:rPr>
                <w:rFonts w:ascii="Arial" w:hAnsi="Arial"/>
                <w:sz w:val="16"/>
              </w:rPr>
            </w:pPr>
            <w:r>
              <w:rPr>
                <w:rFonts w:ascii="Arial" w:hAnsi="Arial"/>
                <w:sz w:val="16"/>
              </w:rPr>
              <w:t>65+ лет</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60" w:after="0" w:line="240" w:lineRule="auto"/>
              <w:jc w:val="left"/>
              <w:rPr>
                <w:rFonts w:ascii="Arial" w:hAnsi="Arial"/>
                <w:sz w:val="16"/>
              </w:rPr>
            </w:pPr>
            <w:r>
              <w:rPr>
                <w:rFonts w:ascii="Arial" w:hAnsi="Arial"/>
                <w:sz w:val="16"/>
              </w:rPr>
              <w:t>Осложнения во время беременности и родов</w:t>
            </w:r>
          </w:p>
        </w:tc>
        <w:tc>
          <w:tcPr>
            <w:tcW w:w="1474" w:type="dxa"/>
            <w:tcBorders>
              <w:top w:val="single" w:sz="4" w:space="0" w:color="auto"/>
              <w:bottom w:val="single" w:sz="4" w:space="0" w:color="auto"/>
            </w:tcBorders>
            <w:vAlign w:val="bottom"/>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3,3</w:t>
            </w:r>
          </w:p>
        </w:tc>
        <w:tc>
          <w:tcPr>
            <w:tcW w:w="1474" w:type="dxa"/>
            <w:tcBorders>
              <w:top w:val="single" w:sz="4" w:space="0" w:color="auto"/>
              <w:bottom w:val="single" w:sz="4" w:space="0" w:color="auto"/>
            </w:tcBorders>
            <w:vAlign w:val="bottom"/>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2,2</w:t>
            </w:r>
          </w:p>
        </w:tc>
        <w:tc>
          <w:tcPr>
            <w:tcW w:w="1474" w:type="dxa"/>
            <w:tcBorders>
              <w:top w:val="single" w:sz="4" w:space="0" w:color="auto"/>
              <w:bottom w:val="single" w:sz="4" w:space="0" w:color="auto"/>
            </w:tcBorders>
            <w:vAlign w:val="bottom"/>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0,1</w:t>
            </w:r>
          </w:p>
        </w:tc>
        <w:tc>
          <w:tcPr>
            <w:tcW w:w="1474" w:type="dxa"/>
            <w:tcBorders>
              <w:top w:val="single" w:sz="4" w:space="0" w:color="auto"/>
              <w:bottom w:val="single" w:sz="4" w:space="0" w:color="auto"/>
            </w:tcBorders>
            <w:vAlign w:val="bottom"/>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60" w:after="0" w:line="240" w:lineRule="auto"/>
              <w:jc w:val="left"/>
              <w:rPr>
                <w:rFonts w:ascii="Arial" w:hAnsi="Arial"/>
                <w:sz w:val="16"/>
              </w:rPr>
            </w:pPr>
            <w:r>
              <w:rPr>
                <w:rFonts w:ascii="Arial" w:hAnsi="Arial"/>
                <w:sz w:val="16"/>
              </w:rPr>
              <w:t>СПИД</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18,9</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24,4</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3,0</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1,3</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60" w:after="0" w:line="240" w:lineRule="auto"/>
              <w:jc w:val="left"/>
              <w:rPr>
                <w:rFonts w:ascii="Arial" w:hAnsi="Arial"/>
                <w:sz w:val="16"/>
              </w:rPr>
            </w:pPr>
            <w:r>
              <w:rPr>
                <w:rFonts w:ascii="Arial" w:hAnsi="Arial"/>
                <w:sz w:val="16"/>
              </w:rPr>
              <w:t>Болезни системы кровообращения</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10,0</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19,5</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38,7</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61,2</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60" w:after="0" w:line="240" w:lineRule="auto"/>
              <w:jc w:val="left"/>
              <w:rPr>
                <w:rFonts w:ascii="Arial" w:hAnsi="Arial"/>
                <w:sz w:val="16"/>
              </w:rPr>
            </w:pPr>
            <w:r>
              <w:rPr>
                <w:rFonts w:ascii="Arial" w:hAnsi="Arial"/>
                <w:sz w:val="16"/>
              </w:rPr>
              <w:t>Диабет</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2,2</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4,6</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21,2</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10,7</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60" w:after="0" w:line="240" w:lineRule="auto"/>
              <w:jc w:val="left"/>
              <w:rPr>
                <w:rFonts w:ascii="Arial" w:hAnsi="Arial"/>
                <w:sz w:val="16"/>
              </w:rPr>
            </w:pPr>
            <w:r>
              <w:rPr>
                <w:rFonts w:ascii="Arial" w:hAnsi="Arial"/>
                <w:sz w:val="16"/>
              </w:rPr>
              <w:t>Рак</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6,6</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19,1</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20,5</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11,8</w:t>
            </w:r>
          </w:p>
        </w:tc>
      </w:tr>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spacing w:before="60" w:after="0" w:line="240" w:lineRule="auto"/>
              <w:jc w:val="left"/>
              <w:rPr>
                <w:rFonts w:ascii="Arial" w:hAnsi="Arial"/>
                <w:sz w:val="16"/>
              </w:rPr>
            </w:pPr>
            <w:r>
              <w:rPr>
                <w:rFonts w:ascii="Arial" w:hAnsi="Arial"/>
                <w:sz w:val="16"/>
              </w:rPr>
              <w:t>Внешние причины</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32,9</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13,2</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2,2</w:t>
            </w:r>
          </w:p>
        </w:tc>
        <w:tc>
          <w:tcPr>
            <w:tcW w:w="1474" w:type="dxa"/>
            <w:tcBorders>
              <w:top w:val="single" w:sz="4" w:space="0" w:color="auto"/>
              <w:bottom w:val="single" w:sz="4" w:space="0" w:color="auto"/>
            </w:tcBorders>
          </w:tcPr>
          <w:p w:rsidR="00000000" w:rsidRDefault="00000000">
            <w:pPr>
              <w:tabs>
                <w:tab w:val="clear" w:pos="340"/>
                <w:tab w:val="clear" w:pos="680"/>
                <w:tab w:val="decimal" w:pos="851"/>
              </w:tabs>
              <w:spacing w:before="60" w:after="0" w:line="240" w:lineRule="auto"/>
              <w:rPr>
                <w:rFonts w:ascii="Arial" w:hAnsi="Arial"/>
                <w:sz w:val="16"/>
              </w:rPr>
            </w:pPr>
            <w:r>
              <w:rPr>
                <w:rFonts w:ascii="Arial" w:hAnsi="Arial"/>
                <w:sz w:val="16"/>
              </w:rPr>
              <w:t>–</w:t>
            </w:r>
          </w:p>
        </w:tc>
      </w:tr>
    </w:tbl>
    <w:p w:rsidR="00000000" w:rsidRDefault="00000000"/>
    <w:p w:rsidR="00000000" w:rsidRDefault="00000000">
      <w:r>
        <w:t>329.</w:t>
      </w:r>
      <w:r>
        <w:tab/>
        <w:t>Необходимо разработать стратегии по снижению таких факторов риска для здоровья, как избыточный вес и плохое питание женщин. В то же время следует предусмотреть более широкий охват населения программами массового обследования в учреждениях первичной медико-санитарной помощи для выявления хронических заболеваний. Следует изыскать средства для того, чтобы женщины имели возможность и право пройти обследование и приступить к лечению хронических заболеваний на ранней стадии, следует поощрять их в этих действиях, а также предоставить им необходимые ресурсы для осуществления постоянного контроля за состоянием здоровья.</w:t>
      </w:r>
    </w:p>
    <w:p w:rsidR="00000000" w:rsidRDefault="00000000">
      <w:r>
        <w:t>330.</w:t>
      </w:r>
      <w:r>
        <w:tab/>
        <w:t>За основу национальной политики Тринидада и Тобаго в области здравоохранения принят принцип Всемирной организации здравоохранения (ВОЗ) о необходимости предоставления первичной медико-санитарной помощи. Все региональные органы здравоохранения рассматривают первичную медико-санитарную помощь в качестве главной стратегии в своей деятельности и бюджетного приоритета. Был проведен ремонт центров здоровья, и есть планы создания дополнительных мощностей. Ведется профессиональная подготовка кадров в этой области.</w:t>
      </w:r>
    </w:p>
    <w:p w:rsidR="00000000" w:rsidRDefault="00000000">
      <w:r>
        <w:t>331.</w:t>
      </w:r>
      <w:r>
        <w:tab/>
        <w:t>Ниже приводятся данные об общих расходах на первичную медико-санитарную помощь в процентном отношении к общим расходам на здравоохранение:</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05"/>
        <w:gridCol w:w="1985"/>
        <w:gridCol w:w="1985"/>
        <w:gridCol w:w="1985"/>
      </w:tblGrid>
      <w:tr w:rsidR="00000000">
        <w:tblPrEx>
          <w:tblCellMar>
            <w:top w:w="0" w:type="dxa"/>
            <w:bottom w:w="0" w:type="dxa"/>
          </w:tblCellMar>
        </w:tblPrEx>
        <w:tc>
          <w:tcPr>
            <w:tcW w:w="3005" w:type="dxa"/>
            <w:tcBorders>
              <w:top w:val="nil"/>
              <w:left w:val="nil"/>
            </w:tcBorders>
          </w:tcPr>
          <w:p w:rsidR="00000000" w:rsidRDefault="00000000">
            <w:pPr>
              <w:spacing w:before="60" w:after="20" w:line="240" w:lineRule="auto"/>
              <w:jc w:val="center"/>
              <w:rPr>
                <w:rFonts w:ascii="Arial" w:hAnsi="Arial"/>
                <w:sz w:val="16"/>
              </w:rPr>
            </w:pPr>
          </w:p>
        </w:tc>
        <w:tc>
          <w:tcPr>
            <w:tcW w:w="1985" w:type="dxa"/>
          </w:tcPr>
          <w:p w:rsidR="00000000" w:rsidRDefault="00000000">
            <w:pPr>
              <w:spacing w:before="60" w:after="20" w:line="240" w:lineRule="auto"/>
              <w:jc w:val="center"/>
              <w:rPr>
                <w:rFonts w:ascii="Arial" w:hAnsi="Arial"/>
                <w:sz w:val="16"/>
              </w:rPr>
            </w:pPr>
            <w:r>
              <w:rPr>
                <w:rFonts w:ascii="Arial" w:hAnsi="Arial"/>
                <w:sz w:val="16"/>
              </w:rPr>
              <w:t>1987 год (долл. ТТ)</w:t>
            </w:r>
          </w:p>
        </w:tc>
        <w:tc>
          <w:tcPr>
            <w:tcW w:w="1985" w:type="dxa"/>
          </w:tcPr>
          <w:p w:rsidR="00000000" w:rsidRDefault="00000000">
            <w:pPr>
              <w:spacing w:before="60" w:after="20" w:line="240" w:lineRule="auto"/>
              <w:jc w:val="center"/>
              <w:rPr>
                <w:rFonts w:ascii="Arial" w:hAnsi="Arial"/>
                <w:sz w:val="16"/>
              </w:rPr>
            </w:pPr>
            <w:r>
              <w:rPr>
                <w:rFonts w:ascii="Arial" w:hAnsi="Arial"/>
                <w:sz w:val="16"/>
              </w:rPr>
              <w:t>1992 год (долл. ТТ)</w:t>
            </w:r>
          </w:p>
        </w:tc>
        <w:tc>
          <w:tcPr>
            <w:tcW w:w="1985" w:type="dxa"/>
          </w:tcPr>
          <w:p w:rsidR="00000000" w:rsidRDefault="00000000">
            <w:pPr>
              <w:spacing w:before="60" w:after="20" w:line="240" w:lineRule="auto"/>
              <w:jc w:val="center"/>
              <w:rPr>
                <w:rFonts w:ascii="Arial" w:hAnsi="Arial"/>
                <w:sz w:val="16"/>
              </w:rPr>
            </w:pPr>
            <w:r>
              <w:rPr>
                <w:rFonts w:ascii="Arial" w:hAnsi="Arial"/>
                <w:sz w:val="16"/>
              </w:rPr>
              <w:t>1997 год (долл. ТТ)</w:t>
            </w:r>
          </w:p>
        </w:tc>
      </w:tr>
      <w:tr w:rsidR="00000000">
        <w:tblPrEx>
          <w:tblCellMar>
            <w:top w:w="0" w:type="dxa"/>
            <w:bottom w:w="0" w:type="dxa"/>
          </w:tblCellMar>
        </w:tblPrEx>
        <w:tc>
          <w:tcPr>
            <w:tcW w:w="3005" w:type="dxa"/>
          </w:tcPr>
          <w:p w:rsidR="00000000" w:rsidRDefault="00000000">
            <w:pPr>
              <w:spacing w:before="60" w:after="0" w:line="240" w:lineRule="auto"/>
              <w:jc w:val="left"/>
              <w:rPr>
                <w:rFonts w:ascii="Arial" w:hAnsi="Arial"/>
                <w:sz w:val="16"/>
              </w:rPr>
            </w:pPr>
            <w:r>
              <w:rPr>
                <w:rFonts w:ascii="Arial" w:hAnsi="Arial"/>
                <w:sz w:val="16"/>
              </w:rPr>
              <w:t>Расходы на первичную медико-санитарную помощь</w:t>
            </w:r>
          </w:p>
        </w:tc>
        <w:tc>
          <w:tcPr>
            <w:tcW w:w="1985" w:type="dxa"/>
            <w:vAlign w:val="bottom"/>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38 956 118,00</w:t>
            </w:r>
          </w:p>
        </w:tc>
        <w:tc>
          <w:tcPr>
            <w:tcW w:w="1985" w:type="dxa"/>
            <w:vAlign w:val="bottom"/>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45 082 166,00</w:t>
            </w:r>
          </w:p>
        </w:tc>
        <w:tc>
          <w:tcPr>
            <w:tcW w:w="1985" w:type="dxa"/>
            <w:vAlign w:val="bottom"/>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72 200 000,00</w:t>
            </w:r>
          </w:p>
        </w:tc>
      </w:tr>
      <w:tr w:rsidR="00000000">
        <w:tblPrEx>
          <w:tblCellMar>
            <w:top w:w="0" w:type="dxa"/>
            <w:bottom w:w="0" w:type="dxa"/>
          </w:tblCellMar>
        </w:tblPrEx>
        <w:tc>
          <w:tcPr>
            <w:tcW w:w="3005" w:type="dxa"/>
          </w:tcPr>
          <w:p w:rsidR="00000000" w:rsidRDefault="00000000">
            <w:pPr>
              <w:spacing w:before="60" w:after="0" w:line="240" w:lineRule="auto"/>
              <w:jc w:val="left"/>
              <w:rPr>
                <w:rFonts w:ascii="Arial" w:hAnsi="Arial"/>
                <w:sz w:val="16"/>
              </w:rPr>
            </w:pPr>
            <w:r>
              <w:rPr>
                <w:rFonts w:ascii="Arial" w:hAnsi="Arial"/>
                <w:sz w:val="16"/>
              </w:rPr>
              <w:t>Общие расходы на здравоохранение</w:t>
            </w:r>
          </w:p>
        </w:tc>
        <w:tc>
          <w:tcPr>
            <w:tcW w:w="1985" w:type="dxa"/>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539 175 644,00</w:t>
            </w:r>
          </w:p>
        </w:tc>
        <w:tc>
          <w:tcPr>
            <w:tcW w:w="1985" w:type="dxa"/>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544 646 567,00</w:t>
            </w:r>
          </w:p>
        </w:tc>
        <w:tc>
          <w:tcPr>
            <w:tcW w:w="1985" w:type="dxa"/>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663 218 305,00</w:t>
            </w:r>
          </w:p>
        </w:tc>
      </w:tr>
      <w:tr w:rsidR="00000000">
        <w:tblPrEx>
          <w:tblCellMar>
            <w:top w:w="0" w:type="dxa"/>
            <w:bottom w:w="0" w:type="dxa"/>
          </w:tblCellMar>
        </w:tblPrEx>
        <w:tc>
          <w:tcPr>
            <w:tcW w:w="3005" w:type="dxa"/>
          </w:tcPr>
          <w:p w:rsidR="00000000" w:rsidRDefault="00000000">
            <w:pPr>
              <w:spacing w:before="60" w:after="0" w:line="240" w:lineRule="auto"/>
              <w:jc w:val="left"/>
              <w:rPr>
                <w:rFonts w:ascii="Arial" w:hAnsi="Arial"/>
                <w:sz w:val="16"/>
              </w:rPr>
            </w:pPr>
            <w:r>
              <w:rPr>
                <w:rFonts w:ascii="Arial" w:hAnsi="Arial"/>
                <w:sz w:val="16"/>
              </w:rPr>
              <w:t>Доля расходов на первичную медико-санитарную помощь (%)</w:t>
            </w:r>
          </w:p>
        </w:tc>
        <w:tc>
          <w:tcPr>
            <w:tcW w:w="1985" w:type="dxa"/>
            <w:vAlign w:val="bottom"/>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7,23</w:t>
            </w:r>
          </w:p>
        </w:tc>
        <w:tc>
          <w:tcPr>
            <w:tcW w:w="1985" w:type="dxa"/>
            <w:vAlign w:val="bottom"/>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8,28</w:t>
            </w:r>
          </w:p>
        </w:tc>
        <w:tc>
          <w:tcPr>
            <w:tcW w:w="1985" w:type="dxa"/>
            <w:vAlign w:val="bottom"/>
          </w:tcPr>
          <w:p w:rsidR="00000000" w:rsidRDefault="00000000">
            <w:pPr>
              <w:tabs>
                <w:tab w:val="clear" w:pos="340"/>
                <w:tab w:val="clear" w:pos="680"/>
                <w:tab w:val="decimal" w:pos="1247"/>
              </w:tabs>
              <w:spacing w:before="60" w:after="0" w:line="240" w:lineRule="auto"/>
              <w:jc w:val="left"/>
              <w:rPr>
                <w:rFonts w:ascii="Arial" w:hAnsi="Arial"/>
                <w:sz w:val="16"/>
              </w:rPr>
            </w:pPr>
            <w:r>
              <w:rPr>
                <w:rFonts w:ascii="Arial" w:hAnsi="Arial"/>
                <w:sz w:val="16"/>
              </w:rPr>
              <w:t>10,89</w:t>
            </w:r>
          </w:p>
        </w:tc>
      </w:tr>
    </w:tbl>
    <w:p w:rsidR="00000000" w:rsidRDefault="00000000"/>
    <w:p w:rsidR="00000000" w:rsidRDefault="00000000">
      <w:r>
        <w:t>332.</w:t>
      </w:r>
      <w:r>
        <w:tab/>
        <w:t>Все беременные женщины, независимо от возраста, цвета кожи, национальности и религии, имеют одинаковый доступ к пренатальным услугам и службам планирования семьи в больницах Порт-оф-Спейна, Сангре-Гранде, Скарборо и Пойнт-Фортина, трех районных медицинских учреждениях и в большинстве из 104 центров здоровья.</w:t>
      </w:r>
    </w:p>
    <w:p w:rsidR="00000000" w:rsidRDefault="00000000">
      <w:r>
        <w:t>333.</w:t>
      </w:r>
      <w:r>
        <w:tab/>
        <w:t>Следующие меры принимаются для борьбы с мертворождением и младенческой смертностью:</w:t>
      </w:r>
    </w:p>
    <w:p w:rsidR="00000000" w:rsidRDefault="00000000">
      <w:pPr>
        <w:spacing w:after="120"/>
      </w:pPr>
      <w:r>
        <w:rPr>
          <w:lang w:val="en-US"/>
        </w:rPr>
        <w:tab/>
        <w:t>i</w:t>
      </w:r>
      <w:r>
        <w:t>)</w:t>
      </w:r>
      <w:r>
        <w:tab/>
        <w:t>Пренатальное обслуживание беременных в центрах здоровья и больницах, которое включает:</w:t>
      </w:r>
    </w:p>
    <w:p w:rsidR="00000000" w:rsidRDefault="00000000">
      <w:pPr>
        <w:numPr>
          <w:ilvl w:val="0"/>
          <w:numId w:val="674"/>
        </w:numPr>
        <w:tabs>
          <w:tab w:val="clear" w:pos="1721"/>
          <w:tab w:val="left" w:pos="1701"/>
        </w:tabs>
        <w:spacing w:after="0"/>
      </w:pPr>
      <w:r>
        <w:t>пропаганду среди женщин практики раннего посещения дородовых женских консультаций, то есть посещение в течение первых 12 недель беременности. Дородовой уход предоставляется также во всех центрах здоровья и больницах на территории всей страны;</w:t>
      </w:r>
    </w:p>
    <w:p w:rsidR="00000000" w:rsidRDefault="00000000">
      <w:pPr>
        <w:numPr>
          <w:ilvl w:val="0"/>
          <w:numId w:val="674"/>
        </w:numPr>
        <w:tabs>
          <w:tab w:val="clear" w:pos="1721"/>
          <w:tab w:val="left" w:pos="1701"/>
        </w:tabs>
        <w:spacing w:after="0"/>
      </w:pPr>
      <w:r>
        <w:t>раннюю диагностику и лечение осложнений, включая направление на получение вторичной (специализированной) медицинской помощи;</w:t>
      </w:r>
    </w:p>
    <w:p w:rsidR="00000000" w:rsidRDefault="00000000">
      <w:pPr>
        <w:numPr>
          <w:ilvl w:val="0"/>
          <w:numId w:val="674"/>
        </w:numPr>
        <w:tabs>
          <w:tab w:val="clear" w:pos="1721"/>
          <w:tab w:val="left" w:pos="1701"/>
        </w:tabs>
        <w:spacing w:after="0"/>
      </w:pPr>
      <w:r>
        <w:t>консультации по вопросам питания; и</w:t>
      </w:r>
    </w:p>
    <w:p w:rsidR="00000000" w:rsidRDefault="00000000">
      <w:pPr>
        <w:numPr>
          <w:ilvl w:val="0"/>
          <w:numId w:val="674"/>
        </w:numPr>
        <w:tabs>
          <w:tab w:val="clear" w:pos="1721"/>
          <w:tab w:val="left" w:pos="1701"/>
        </w:tabs>
      </w:pPr>
      <w:r>
        <w:t>обеспечение высококвалифицированными медицинскими кадрами.</w:t>
      </w:r>
    </w:p>
    <w:p w:rsidR="00000000" w:rsidRDefault="00000000">
      <w:pPr>
        <w:spacing w:after="120"/>
      </w:pPr>
      <w:r>
        <w:rPr>
          <w:lang w:val="en-US"/>
        </w:rPr>
        <w:tab/>
        <w:t>ii</w:t>
      </w:r>
      <w:r>
        <w:t>)</w:t>
      </w:r>
      <w:r>
        <w:tab/>
        <w:t>Интернатальный уход в некоторых больницах, что предполагает:</w:t>
      </w:r>
    </w:p>
    <w:p w:rsidR="00000000" w:rsidRDefault="00000000">
      <w:pPr>
        <w:numPr>
          <w:ilvl w:val="0"/>
          <w:numId w:val="675"/>
        </w:numPr>
        <w:tabs>
          <w:tab w:val="clear" w:pos="1721"/>
          <w:tab w:val="left" w:pos="1701"/>
        </w:tabs>
        <w:spacing w:after="0"/>
      </w:pPr>
      <w:r>
        <w:t>использование соответствующих технологий, например обслуживание в отделениях неонаталогии, диагностика с помощью приборов ультразвуковой эхографии и т. д.;</w:t>
      </w:r>
    </w:p>
    <w:p w:rsidR="00000000" w:rsidRDefault="00000000">
      <w:pPr>
        <w:numPr>
          <w:ilvl w:val="0"/>
          <w:numId w:val="675"/>
        </w:numPr>
        <w:tabs>
          <w:tab w:val="clear" w:pos="1721"/>
          <w:tab w:val="left" w:pos="1701"/>
        </w:tabs>
        <w:spacing w:after="0"/>
      </w:pPr>
      <w:r>
        <w:t>слежение за развитием плода; и</w:t>
      </w:r>
    </w:p>
    <w:p w:rsidR="00000000" w:rsidRDefault="00000000">
      <w:pPr>
        <w:numPr>
          <w:ilvl w:val="0"/>
          <w:numId w:val="675"/>
        </w:numPr>
        <w:tabs>
          <w:tab w:val="clear" w:pos="1721"/>
          <w:tab w:val="left" w:pos="1701"/>
        </w:tabs>
      </w:pPr>
      <w:r>
        <w:t>обеспечение высококвалифицированным сестринским и медицинским персоналом.</w:t>
      </w:r>
    </w:p>
    <w:p w:rsidR="00000000" w:rsidRDefault="00000000">
      <w:r>
        <w:t>334.</w:t>
      </w:r>
      <w:r>
        <w:tab/>
        <w:t>Свыше 50 процентов беременных женщин посещают бесплатные дородовые женские консультации, которые имеются во всех центрах здоровья страны. Почти все роды происходят в присутствии квалифицированных практикующих врачей в больницах или клиниках. В 1997 году 87,7</w:t>
      </w:r>
      <w:r>
        <w:rPr>
          <w:lang w:val="en-US"/>
        </w:rPr>
        <w:t> </w:t>
      </w:r>
      <w:r>
        <w:t>процента родов проходили в государственных больницах и родильных отделениях. Акушерки присутствовали при 87,6</w:t>
      </w:r>
      <w:r>
        <w:rPr>
          <w:lang w:val="en-US"/>
        </w:rPr>
        <w:t> </w:t>
      </w:r>
      <w:r>
        <w:t>процента всех родов, тогда как 11,4 процента родов принимались врачами.</w:t>
      </w:r>
    </w:p>
    <w:p w:rsidR="00000000" w:rsidRDefault="00000000">
      <w:r>
        <w:t>335.</w:t>
      </w:r>
      <w:r>
        <w:tab/>
        <w:t>Никаких ограничений в питании беременных женщин нет. Однако предпринимаются попытки вести просветительскую работу среди беременных женщин; их знакомят с принципами здорового питания, а в некоторых случаях, например в случае чрезвычайной бедности, таких женщин направляют за помощью к социальным работникам.</w:t>
      </w:r>
    </w:p>
    <w:p w:rsidR="00000000" w:rsidRDefault="00000000">
      <w:r>
        <w:t>336.</w:t>
      </w:r>
      <w:r>
        <w:tab/>
        <w:t>В Тринидаде и Тобаго отсутствуют данные о наличии таких проблем, как желание иметь детей предпочтительно мужского пола или практика калечащих операций на женских половых органах.</w:t>
      </w:r>
    </w:p>
    <w:p w:rsidR="00000000" w:rsidRDefault="00000000">
      <w:r>
        <w:t>337.</w:t>
      </w:r>
      <w:r>
        <w:tab/>
        <w:t>Возрастной коэффициент фертильности для возрастной группы 15–19 лет снизился с 61 процента в 1990</w:t>
      </w:r>
      <w:r>
        <w:rPr>
          <w:lang w:val="en-US"/>
        </w:rPr>
        <w:t> </w:t>
      </w:r>
      <w:r>
        <w:t>году до 45,9 процента в 1994 году. Однако количество родов у матерей подросткового возраста выросло с 13,5</w:t>
      </w:r>
      <w:r>
        <w:rPr>
          <w:lang w:val="en-US"/>
        </w:rPr>
        <w:t> </w:t>
      </w:r>
      <w:r>
        <w:t>процента всех живорождений и мертворождений в 1994 году до приблизительно 14 процентов в 2000 году. Доля родов у женщин в возрасте до 20 лет по отношению к общему числу родов выросла до 14,5 процента в силу более медленного темпа снижения фертильности среди более молодых возрастных групп. Приблизительно 50</w:t>
      </w:r>
      <w:r>
        <w:rPr>
          <w:lang w:val="en-US"/>
        </w:rPr>
        <w:t> </w:t>
      </w:r>
      <w:r>
        <w:t>процентов женщин чаще всего рожают первого ребенка в возрасте до 20 лет – событие, на которое серьезно повлиял уровень образованности. В среднем девочки впервые вступают в половые сношения в возрасте 15 лет.</w:t>
      </w:r>
    </w:p>
    <w:p w:rsidR="00000000" w:rsidRDefault="00000000">
      <w:r>
        <w:t>338.</w:t>
      </w:r>
      <w:r>
        <w:tab/>
        <w:t>Правительство Тринидада и Тобаго признало, что деторождение в подростковом возрасте мешает устойчивому развитию, поскольку серьезно отражается на образовании, экономическом и личностном развитии молодых матерей и ставит под угрозу полноценную жизнь их детей. Кроме того, материнство в подростковом возрасте может усугубить нищету обоих поколений. Осознавая все это, Министерство социального и общинного развития поручило в 1995 году провести исследование, озаглавленное "Оценка потребностей беременных подростков и молодых матерей". Основываясь на результатах этого исследования, Министерство начало на постоянной основе сотрудничать с неправительственными организациями в реализации программ, направленных на решение проблем, связанных с беременностью в подростковом возрасте. В наступающем году предлагается осуществить следующие программы:</w:t>
      </w:r>
    </w:p>
    <w:p w:rsidR="00000000" w:rsidRDefault="00000000">
      <w:pPr>
        <w:numPr>
          <w:ilvl w:val="0"/>
          <w:numId w:val="676"/>
        </w:numPr>
        <w:spacing w:after="120"/>
      </w:pPr>
      <w:r>
        <w:t>Создание видеофильма под названием "Твоя жизнь – твой выбор. Беременность в подростковом возрасте: сделай правильный выбор</w:t>
      </w:r>
      <w:r>
        <w:rPr>
          <w:lang w:val="en-US"/>
        </w:rPr>
        <w:t>"</w:t>
      </w:r>
      <w:r>
        <w:t>. В настоящее время этот документальный видеофильм представлен на рассмотрение Министерства. После получения одобрения он будет передан в производство.</w:t>
      </w:r>
    </w:p>
    <w:p w:rsidR="00000000" w:rsidRDefault="00000000">
      <w:pPr>
        <w:numPr>
          <w:ilvl w:val="0"/>
          <w:numId w:val="676"/>
        </w:numPr>
      </w:pPr>
      <w:r>
        <w:t>Участие общин в разработке программ по оказанию помощи. При этом будет также собрана информация о суждениях жителей общин относительно проблем молодежи.</w:t>
      </w:r>
    </w:p>
    <w:p w:rsidR="00000000" w:rsidRDefault="00000000">
      <w:pPr>
        <w:numPr>
          <w:ilvl w:val="0"/>
          <w:numId w:val="676"/>
        </w:numPr>
      </w:pPr>
      <w:r>
        <w:t>Будет осуществлен проект, озаглавленный "Матери в общинах"; его цель – обеспечить уход за детьми матерей-одиночек и матерей, имеющих низкий доход, что позволит последним искать работу или участвовать в других программах развития.</w:t>
      </w:r>
    </w:p>
    <w:p w:rsidR="00000000" w:rsidRDefault="00000000">
      <w:r>
        <w:t>339.</w:t>
      </w:r>
      <w:r>
        <w:tab/>
        <w:t>Министерство социального и общинного развития оказывает также финансовую помощь, а Министерство здравоохранения предоставляет техническую и организационную поддержку программе, инициированной Лигой благосостояния детей и названной "Выбор, счастье, организация, идеалы, общение, образование и самосознание" (</w:t>
      </w:r>
      <w:r>
        <w:rPr>
          <w:lang w:val="en-US"/>
        </w:rPr>
        <w:t>CHOICES)</w:t>
      </w:r>
      <w:r>
        <w:t>. Этот проект специально разработан для молодых матерей, беременных девушек-подростков, подростков из групп риска, их детей и их семей; проект предоставляет профилактические, лечебные и просветительские услуги путем создания общинных центров помощи. К настоящему моменту в рамках проекта успешно работают три центра. Эти центры представляют собой безопасный приют для подростков; в них они могут получить индивидуальные и групповые консультации; они будут находиться в среде, благоприятной для изменения их отношения к жизни и развития. В рамках программы молодыми матерями во время беременности или после рождения детей занимаются социальные работники, работники служб здравоохранения, работники, отвечающие за направление развития общины, инспектора отделов социальной защиты, преподаватели и ровесники. Продолжительность действия программы для подростка варьируется от девяти месяцев до двух лет, в зависимости от его возраста в момент направления в центр и ожидаемого результата воздействия программы на подростка после выявления его потребностей. Чтобы подросток мог развиваться, в центрах проводится определенная работа, включая преподавание базовых предметов, просвещение в области семейной жизни и обучение профессиональным навыкам. Проект оказался чрезвычайно успешным: сократилось число беременных в подростковом возрасте; особенно благоприятным оказалось воздействие просветительских консультационных мероприятий, которые проводились в школах и общинах. За последние три года работа по данному проекту позитивно сказалась более чем на 1000 человек.</w:t>
      </w:r>
    </w:p>
    <w:p w:rsidR="00000000" w:rsidRDefault="00000000">
      <w:r>
        <w:t>340.</w:t>
      </w:r>
      <w:r>
        <w:tab/>
        <w:t>В большинстве своем службы, предназначенные специально для женщин, основное внимание уделяют вопросам репродуктивного здоровья. В результате эти службы хорошо развиты и имеют широкий охват. Среди последних инициатив – программа по медикаментозному лечению матерей, инфицированных ВИЧ/СПИДом, и комплексная программа по антенатальному обслуживанию в женских консультациях преимущественно в сельском Юго-Западном регионе, цель которой – сделать доступным лечение у специалистов для большего числа матерей из групп повышенного риска.</w:t>
      </w:r>
    </w:p>
    <w:p w:rsidR="00000000" w:rsidRDefault="00000000">
      <w:r>
        <w:t>341.</w:t>
      </w:r>
      <w:r>
        <w:tab/>
        <w:t>Концептуальной основой политики Тринидада и Тобаго в области народонаселения является проведение национальной политики по планированию семьи. В рамках этой концепции Министерство здравоохранения обязано предоставлять доступные услуги по охране репродуктивного здоровья, гарантируя абсолютную свободу выбора. В центрах здоровья можно воспользоваться услугами государственных клиник, специализирующихся в области планирования семьи, которые предоставляют консультационные услуги и обеспечивают содержание пациента во время пребывания там. Работа этих служб дополняется деятельностью Ассоциации планирования семьи Тринидада и Тобаго (</w:t>
      </w:r>
      <w:r>
        <w:rPr>
          <w:lang w:val="en-US"/>
        </w:rPr>
        <w:t>FPATT</w:t>
      </w:r>
      <w:r>
        <w:t>), которая помимо обслуживания в своих консультациях осуществляет пропагандистско-просветительскую программу для бедных женщин, проживающих в сельской местности.</w:t>
      </w:r>
    </w:p>
    <w:p w:rsidR="00000000" w:rsidRDefault="00000000">
      <w:r>
        <w:t>342.</w:t>
      </w:r>
      <w:r>
        <w:tab/>
        <w:t>Правительство поручило исследовательской группе Министерства социального и общинного развития разработку политики в области предоставления информации и поддержки в вопросах, связанных с охраной здоровья женщин в период беременности. Министерство проводит работу по организации консультаций по вопросам семейной жизни и вмешательства в кризисные ситуации в семейной жизни.</w:t>
      </w:r>
    </w:p>
    <w:p w:rsidR="00000000" w:rsidRDefault="00000000">
      <w:r>
        <w:t>343.</w:t>
      </w:r>
      <w:r>
        <w:tab/>
        <w:t>Ассоциация планирования семьи Тринидада и Тобаго (</w:t>
      </w:r>
      <w:r>
        <w:rPr>
          <w:lang w:val="en-US"/>
        </w:rPr>
        <w:t>FPATT</w:t>
      </w:r>
      <w:r>
        <w:t xml:space="preserve">) – неправительственная организация, отделения которой расположены в Порт-оф-Спейне, Сан-Фернандо и Скарборо (Тобаго). Ассоциация предлагает, среди прочего, услуги по ознакомлению с методами контрацепции, добровольной стерилизации, исследованию причин бесплодия, просветительские программы в области семейной жизни, подготовку молодых людей к обсуждению с ровесниками вопросов, представляющих взаимный интерес, а также по предоставлению медико-санитарной помощи для корпораций, услуг гинекологов и по проведению тестов на беременность. Цель предоставляемых услуг – профилактика незапланированной беременности путем расширения охвата и повышения качества услуг по планированию семьи. Такие услуги предлагаются населению по сниженным тарифам, при этом для тех, кто предпочитает стать членом Ассоциации и уплачивать ежегодный взнос, стоимость услуг еще ниже. В 1994 году </w:t>
      </w:r>
      <w:r>
        <w:rPr>
          <w:lang w:val="en-US"/>
        </w:rPr>
        <w:t>FPATT</w:t>
      </w:r>
      <w:r>
        <w:t xml:space="preserve"> выполнила 146 просветительских программ, которыми были охвачены 3211 женщин и 639 мужчин. Эти программы включали модульное обучение и обсуждение выбора контрацептивов, а также предоставление консультаций и индивидуальный подбор наиболее подходящего метода контрацепции для каждого желающего. В 1999 году почти 4000 человек в 13 общинах получили информацию и услуги, относящиеся к сфере репродуктивного здоровья и планирования семьи в рамках массовой информационно-пропагандистской программы, проведенной этой организацией и озаглавленной "</w:t>
      </w:r>
      <w:r>
        <w:rPr>
          <w:lang w:val="en-US"/>
        </w:rPr>
        <w:t>FPATT-</w:t>
      </w:r>
      <w:r>
        <w:t>экспресс</w:t>
      </w:r>
      <w:r>
        <w:rPr>
          <w:lang w:val="en-US"/>
        </w:rPr>
        <w:t>"</w:t>
      </w:r>
      <w:r>
        <w:t>.</w:t>
      </w:r>
    </w:p>
    <w:p w:rsidR="00000000" w:rsidRDefault="00000000">
      <w:r>
        <w:t>344.</w:t>
      </w:r>
      <w:r>
        <w:tab/>
        <w:t>Общинная программа Министерства здравоохранения по медико-санитарному просвещению предназначена для населения в целом, включая молодежь и женщин, в то время как бесплатные консультации по планированию семьи и вопросам контрацепции предоставляются в центрах здоровья на всей территории Тринидада и Тобаго.</w:t>
      </w:r>
    </w:p>
    <w:p w:rsidR="00000000" w:rsidRDefault="00000000">
      <w:r>
        <w:rPr>
          <w:lang w:val="en-US"/>
        </w:rPr>
        <w:t>345.</w:t>
      </w:r>
      <w:r>
        <w:rPr>
          <w:lang w:val="en-US"/>
        </w:rPr>
        <w:tab/>
        <w:t>FPATT</w:t>
      </w:r>
      <w:r>
        <w:t xml:space="preserve"> стремится также выявить конкретные потребности молодежи и помочь в их решении, выполнять конкретные и отвечающие интересам молодых людей просветительские программы по вопросам сексуального и репродуктивного здоровья, включая проблемы заболеваний, передаваемых половым путем. В качестве одного из примеров проводимой работы можно, в частности, привести предоставление молодежи надлежащей информации с помощью Национальной учебной программы «Молодежный проект "Помоги ровеснику"», охватывающей 6274 молодых людей.</w:t>
      </w:r>
    </w:p>
    <w:p w:rsidR="00000000" w:rsidRDefault="00000000">
      <w:r>
        <w:t>346.</w:t>
      </w:r>
      <w:r>
        <w:tab/>
        <w:t>Презервативы продаются во всех аптеках по доступным ценам. Они хранятся у продавца, поэтому желающие их приобрести должны попросить его об этом. По данным доклада Ассоциации планирования семьи (</w:t>
      </w:r>
      <w:r>
        <w:rPr>
          <w:lang w:val="en-US"/>
        </w:rPr>
        <w:t>FPATT</w:t>
      </w:r>
      <w:r>
        <w:t>), опубликованного в 2000 году,</w:t>
      </w:r>
    </w:p>
    <w:p w:rsidR="00000000" w:rsidRDefault="00000000">
      <w:pPr>
        <w:ind w:left="680" w:right="680"/>
      </w:pPr>
      <w:r>
        <w:rPr>
          <w:i/>
        </w:rPr>
        <w:t>презервативы не продаются в отделах самообслуживания. Не существует также автоматов по их продаже или каких-либо коммерческих киосков, где их можно было бы приобрести помимо аптек. Пероральные или внутриматочные контрацептивы (ВМК) потребители могут приобрести только по рецепту у фармацевта с оплатой через кассу</w:t>
      </w:r>
      <w:r>
        <w:t>.</w:t>
      </w:r>
    </w:p>
    <w:p w:rsidR="00000000" w:rsidRDefault="00000000">
      <w:r>
        <w:t>Такова ситуация и на Тринидаде, и на Тобаго. В докладе указывается, что на Тобаго внутриматочные контрацептивы редко используются молодыми людьми, не находящимися в постоянных взаимоотношениях.</w:t>
      </w:r>
    </w:p>
    <w:p w:rsidR="00000000" w:rsidRDefault="00000000">
      <w:r>
        <w:t>347.</w:t>
      </w:r>
      <w:r>
        <w:tab/>
        <w:t xml:space="preserve">Вследствие этого на практике необходимость спрашивать презервативы у персонала аптеки может помешать желающим купить их, поскольку они могут постесняться сделать это. В отношении молодежи Тобаго </w:t>
      </w:r>
      <w:r>
        <w:rPr>
          <w:lang w:val="en-US"/>
        </w:rPr>
        <w:t>FPATT</w:t>
      </w:r>
      <w:r>
        <w:t xml:space="preserve"> указывает:</w:t>
      </w:r>
    </w:p>
    <w:p w:rsidR="00000000" w:rsidRDefault="00000000">
      <w:pPr>
        <w:ind w:left="680" w:right="680"/>
      </w:pPr>
      <w:r>
        <w:rPr>
          <w:i/>
        </w:rPr>
        <w:t>В условиях немногочисленного общества, как на Тобаго, они [молодые люди] могут испытывать опасения, что аптекарь сообщит об их покупке кому-либо еще, например родителям. Возможно, наиболее сильно боязнь разоблачения испытывают девушки. Им грозит гораздо более серьезное общественное осуждение, чем юношам, если обнаружится, что они вступили во внебрачную половую связь в раннем возрасте. Подобные факторы объясняют низкий уровень использования презервативов молодыми людьми</w:t>
      </w:r>
      <w:r>
        <w:t>.</w:t>
      </w:r>
    </w:p>
    <w:p w:rsidR="00000000" w:rsidRDefault="00000000">
      <w:r>
        <w:t>348.</w:t>
      </w:r>
      <w:r>
        <w:tab/>
        <w:t>На Тобаго существуют две консультации по ЗППП (заболеваниям, передаваемым половым путем), в которых работает венеролог/дерматолог. В обоих консультациях предоставляется информация и консультации по ограниченному кругу вопросов, а также раздаются презервативы (при их наличии).</w:t>
      </w:r>
    </w:p>
    <w:p w:rsidR="00000000" w:rsidRDefault="00000000">
      <w:r>
        <w:t>349.</w:t>
      </w:r>
      <w:r>
        <w:tab/>
        <w:t>Кроме того, бесплатные презервативы и пероральные контрацептивы имеются в государственных постнатальных женских консультациях и пунктах планирования семьи. Однако, прежде чем женщинам выдают контрацептивы, их обследуют и консультируют; помимо этого, раздается литература.</w:t>
      </w:r>
      <w:r>
        <w:rPr>
          <w:lang w:val="en-US"/>
        </w:rPr>
        <w:t xml:space="preserve"> П</w:t>
      </w:r>
      <w:r>
        <w:t xml:space="preserve">осле соответствующих консультаций </w:t>
      </w:r>
      <w:r>
        <w:rPr>
          <w:lang w:val="en-US"/>
        </w:rPr>
        <w:t xml:space="preserve">FPATT </w:t>
      </w:r>
      <w:r>
        <w:t>также предоставляет бесплатные противозачаточные средства.</w:t>
      </w:r>
    </w:p>
    <w:p w:rsidR="00000000" w:rsidRDefault="00000000">
      <w:r>
        <w:t>350.</w:t>
      </w:r>
      <w:r>
        <w:tab/>
        <w:t>Правительство пришло к выводу о необходимости уделять особое внимание репродуктивному здоровью молодых женщин в возрасте до 24 лет. Министерство образования подготовило для внедрения просветительскую программу по вопросам здоровья и семейной жизни, предназначенную для школьниц. Молодые женщины, уже закончившие школу, которых поэтому труднее охватить программой, нуждаются в специальном подходе, возможно с использованием средств массовой информации; это необходимо для снижения уровня фертильности, предупреждения небезопасной сексуальной практики и насилия.</w:t>
      </w:r>
    </w:p>
    <w:p w:rsidR="00000000" w:rsidRDefault="00000000">
      <w:r>
        <w:t>351.</w:t>
      </w:r>
      <w:r>
        <w:tab/>
        <w:t>Законом о преступлениях против личности, статьи 56 и 57, глава 11:08, в Тринидаде и Тобаго запрещены действия, продиктованные намерением вызвать искусственный выкидыш:</w:t>
      </w:r>
    </w:p>
    <w:p w:rsidR="00000000" w:rsidRDefault="00000000">
      <w:pPr>
        <w:ind w:left="680" w:right="680"/>
      </w:pPr>
      <w:r>
        <w:rPr>
          <w:i/>
        </w:rPr>
        <w:t>56.</w:t>
      </w:r>
      <w:r>
        <w:rPr>
          <w:i/>
          <w:lang w:val="en-US"/>
        </w:rPr>
        <w:t xml:space="preserve"> </w:t>
      </w:r>
      <w:r>
        <w:rPr>
          <w:i/>
        </w:rPr>
        <w:t>Каждая женщина, которая, будучи беременной и намереваясь вызвать выкидыш, незаконно применяет какой-либо яд или другое вредное вещество либо незаконно использует какой-либо инструмент или какие-либо другие средства для осуществления подобного намерения, и любой человек, который с намерением вызвать выкидыш у какой-либо женщины, является ли она беременной или нет, незаконно назначает ей или заставляет ее принять любой яд или вредное вещество или незаконным образом использует какой-либо инструмент или другое средство с подобным намерением, несут ответственность в виде тюремного заключения сроком на четыре года</w:t>
      </w:r>
      <w:r>
        <w:t>.</w:t>
      </w:r>
    </w:p>
    <w:p w:rsidR="00000000" w:rsidRDefault="00000000">
      <w:pPr>
        <w:ind w:left="680" w:right="680"/>
      </w:pPr>
      <w:r>
        <w:rPr>
          <w:i/>
        </w:rPr>
        <w:t>57.</w:t>
      </w:r>
      <w:r>
        <w:rPr>
          <w:i/>
          <w:lang w:val="en-US"/>
        </w:rPr>
        <w:t xml:space="preserve"> </w:t>
      </w:r>
      <w:r>
        <w:rPr>
          <w:i/>
        </w:rPr>
        <w:t>Любое лицо, которое незаконным образом продает или приобретает какой-либо яд или другое ядовитое вещество, или любой инструмент, или иную вещь, зная, что это будет незаконным образом использовано или применено с намерением вызвать выкидыш у какой-либо женщины, является ли она беременной или нет, несет ответственность в виде тюремного заключения сроком на два года</w:t>
      </w:r>
      <w:r>
        <w:t>.</w:t>
      </w:r>
    </w:p>
    <w:p w:rsidR="00000000" w:rsidRDefault="00000000">
      <w:r>
        <w:t>Фактически практикующие врачи могут по определенным медицинским показаниям прервать беременность досрочно. Например, если мать заразилась во время беременности краснухой. В других случаях можно обратиться с заявлением в суд за разрешением прервать беременность. Однако общая политика Министерства здравоохранения в этом вопросе заключается в том, что аборт может быть разрешен только в том случае, если жизни матери угрожает опасность.</w:t>
      </w:r>
    </w:p>
    <w:p w:rsidR="00000000" w:rsidRDefault="00000000">
      <w:pPr>
        <w:spacing w:after="0"/>
      </w:pPr>
      <w:r>
        <w:t>352.</w:t>
      </w:r>
      <w:r>
        <w:tab/>
      </w:r>
      <w:r>
        <w:rPr>
          <w:b/>
        </w:rPr>
        <w:t>Число абортов в медицинских учреждениях государственного сектора, 1994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4423"/>
      </w:tblGrid>
      <w:tr w:rsidR="00000000">
        <w:tblPrEx>
          <w:tblCellMar>
            <w:top w:w="0" w:type="dxa"/>
            <w:bottom w:w="0" w:type="dxa"/>
          </w:tblCellMar>
        </w:tblPrEx>
        <w:tc>
          <w:tcPr>
            <w:tcW w:w="4536" w:type="dxa"/>
          </w:tcPr>
          <w:p w:rsidR="00000000" w:rsidRDefault="00000000">
            <w:pPr>
              <w:spacing w:before="40" w:after="0" w:line="240" w:lineRule="auto"/>
              <w:jc w:val="center"/>
              <w:rPr>
                <w:rFonts w:ascii="Arial" w:hAnsi="Arial"/>
                <w:b/>
                <w:sz w:val="16"/>
              </w:rPr>
            </w:pPr>
            <w:r>
              <w:rPr>
                <w:rFonts w:ascii="Arial" w:hAnsi="Arial"/>
                <w:b/>
                <w:sz w:val="16"/>
              </w:rPr>
              <w:t>ТИП АБОРТА</w:t>
            </w:r>
          </w:p>
        </w:tc>
        <w:tc>
          <w:tcPr>
            <w:tcW w:w="4423" w:type="dxa"/>
          </w:tcPr>
          <w:p w:rsidR="00000000" w:rsidRDefault="00000000">
            <w:pPr>
              <w:spacing w:before="40" w:after="0" w:line="240" w:lineRule="auto"/>
              <w:jc w:val="center"/>
              <w:rPr>
                <w:rFonts w:ascii="Arial" w:hAnsi="Arial"/>
                <w:b/>
                <w:sz w:val="16"/>
              </w:rPr>
            </w:pPr>
            <w:r>
              <w:rPr>
                <w:rFonts w:ascii="Arial" w:hAnsi="Arial"/>
                <w:b/>
                <w:sz w:val="16"/>
              </w:rPr>
              <w:t>ЧИСЛО</w:t>
            </w:r>
          </w:p>
        </w:tc>
      </w:tr>
      <w:tr w:rsidR="00000000">
        <w:tblPrEx>
          <w:tblCellMar>
            <w:top w:w="0" w:type="dxa"/>
            <w:bottom w:w="0" w:type="dxa"/>
          </w:tblCellMar>
        </w:tblPrEx>
        <w:tc>
          <w:tcPr>
            <w:tcW w:w="4536" w:type="dxa"/>
          </w:tcPr>
          <w:p w:rsidR="00000000" w:rsidRDefault="00000000">
            <w:pPr>
              <w:spacing w:before="40" w:after="0" w:line="240" w:lineRule="auto"/>
              <w:rPr>
                <w:rFonts w:ascii="Arial" w:hAnsi="Arial"/>
                <w:sz w:val="16"/>
              </w:rPr>
            </w:pPr>
            <w:r>
              <w:rPr>
                <w:rFonts w:ascii="Arial" w:hAnsi="Arial"/>
                <w:sz w:val="16"/>
              </w:rPr>
              <w:t>Самопроизвольный аборт</w:t>
            </w:r>
          </w:p>
        </w:tc>
        <w:tc>
          <w:tcPr>
            <w:tcW w:w="4423" w:type="dxa"/>
          </w:tcPr>
          <w:p w:rsidR="00000000" w:rsidRDefault="00000000">
            <w:pPr>
              <w:tabs>
                <w:tab w:val="clear" w:pos="340"/>
                <w:tab w:val="clear" w:pos="680"/>
                <w:tab w:val="decimal" w:pos="2268"/>
              </w:tabs>
              <w:spacing w:before="40" w:after="0" w:line="240" w:lineRule="auto"/>
              <w:rPr>
                <w:rFonts w:ascii="Arial" w:hAnsi="Arial"/>
                <w:sz w:val="16"/>
              </w:rPr>
            </w:pPr>
            <w:r>
              <w:rPr>
                <w:rFonts w:ascii="Arial" w:hAnsi="Arial"/>
                <w:sz w:val="16"/>
              </w:rPr>
              <w:t>23</w:t>
            </w:r>
          </w:p>
        </w:tc>
      </w:tr>
      <w:tr w:rsidR="00000000">
        <w:tblPrEx>
          <w:tblCellMar>
            <w:top w:w="0" w:type="dxa"/>
            <w:bottom w:w="0" w:type="dxa"/>
          </w:tblCellMar>
        </w:tblPrEx>
        <w:tc>
          <w:tcPr>
            <w:tcW w:w="4536" w:type="dxa"/>
          </w:tcPr>
          <w:p w:rsidR="00000000" w:rsidRDefault="00000000">
            <w:pPr>
              <w:spacing w:before="40" w:after="0" w:line="240" w:lineRule="auto"/>
              <w:rPr>
                <w:rFonts w:ascii="Arial" w:hAnsi="Arial"/>
                <w:sz w:val="16"/>
              </w:rPr>
            </w:pPr>
            <w:r>
              <w:rPr>
                <w:rFonts w:ascii="Arial" w:hAnsi="Arial"/>
                <w:sz w:val="16"/>
              </w:rPr>
              <w:t>Законный искусственный аборт</w:t>
            </w:r>
          </w:p>
        </w:tc>
        <w:tc>
          <w:tcPr>
            <w:tcW w:w="4423" w:type="dxa"/>
          </w:tcPr>
          <w:p w:rsidR="00000000" w:rsidRDefault="00000000">
            <w:pPr>
              <w:tabs>
                <w:tab w:val="clear" w:pos="340"/>
                <w:tab w:val="clear" w:pos="680"/>
                <w:tab w:val="decimal" w:pos="2268"/>
              </w:tabs>
              <w:spacing w:before="40" w:after="0" w:line="240" w:lineRule="auto"/>
              <w:rPr>
                <w:rFonts w:ascii="Arial" w:hAnsi="Arial"/>
                <w:sz w:val="16"/>
              </w:rPr>
            </w:pPr>
            <w:r>
              <w:rPr>
                <w:rFonts w:ascii="Arial" w:hAnsi="Arial"/>
                <w:sz w:val="16"/>
              </w:rPr>
              <w:t>4</w:t>
            </w:r>
          </w:p>
        </w:tc>
      </w:tr>
      <w:tr w:rsidR="00000000">
        <w:tblPrEx>
          <w:tblCellMar>
            <w:top w:w="0" w:type="dxa"/>
            <w:bottom w:w="0" w:type="dxa"/>
          </w:tblCellMar>
        </w:tblPrEx>
        <w:tc>
          <w:tcPr>
            <w:tcW w:w="4536" w:type="dxa"/>
          </w:tcPr>
          <w:p w:rsidR="00000000" w:rsidRDefault="00000000">
            <w:pPr>
              <w:spacing w:before="40" w:after="0" w:line="240" w:lineRule="auto"/>
              <w:rPr>
                <w:rFonts w:ascii="Arial" w:hAnsi="Arial"/>
                <w:sz w:val="16"/>
              </w:rPr>
            </w:pPr>
            <w:r>
              <w:rPr>
                <w:rFonts w:ascii="Arial" w:hAnsi="Arial"/>
                <w:sz w:val="16"/>
              </w:rPr>
              <w:t>Криминальный искусственный аборт</w:t>
            </w:r>
          </w:p>
        </w:tc>
        <w:tc>
          <w:tcPr>
            <w:tcW w:w="4423" w:type="dxa"/>
          </w:tcPr>
          <w:p w:rsidR="00000000" w:rsidRDefault="00000000">
            <w:pPr>
              <w:tabs>
                <w:tab w:val="clear" w:pos="340"/>
                <w:tab w:val="clear" w:pos="680"/>
                <w:tab w:val="decimal" w:pos="2268"/>
              </w:tabs>
              <w:spacing w:before="40" w:after="0" w:line="240" w:lineRule="auto"/>
              <w:rPr>
                <w:rFonts w:ascii="Arial" w:hAnsi="Arial"/>
                <w:sz w:val="16"/>
              </w:rPr>
            </w:pPr>
            <w:r>
              <w:rPr>
                <w:rFonts w:ascii="Arial" w:hAnsi="Arial"/>
                <w:sz w:val="16"/>
              </w:rPr>
              <w:t>12</w:t>
            </w:r>
          </w:p>
        </w:tc>
      </w:tr>
      <w:tr w:rsidR="00000000">
        <w:tblPrEx>
          <w:tblCellMar>
            <w:top w:w="0" w:type="dxa"/>
            <w:bottom w:w="0" w:type="dxa"/>
          </w:tblCellMar>
        </w:tblPrEx>
        <w:tc>
          <w:tcPr>
            <w:tcW w:w="4536" w:type="dxa"/>
          </w:tcPr>
          <w:p w:rsidR="00000000" w:rsidRDefault="00000000">
            <w:pPr>
              <w:spacing w:before="40" w:after="0" w:line="240" w:lineRule="auto"/>
              <w:rPr>
                <w:rFonts w:ascii="Arial" w:hAnsi="Arial"/>
                <w:sz w:val="16"/>
              </w:rPr>
            </w:pPr>
            <w:r>
              <w:rPr>
                <w:rFonts w:ascii="Arial" w:hAnsi="Arial"/>
                <w:sz w:val="16"/>
              </w:rPr>
              <w:t>Другие типы абортов*</w:t>
            </w:r>
          </w:p>
        </w:tc>
        <w:tc>
          <w:tcPr>
            <w:tcW w:w="4423" w:type="dxa"/>
          </w:tcPr>
          <w:p w:rsidR="00000000" w:rsidRDefault="00000000">
            <w:pPr>
              <w:tabs>
                <w:tab w:val="clear" w:pos="340"/>
                <w:tab w:val="clear" w:pos="680"/>
                <w:tab w:val="decimal" w:pos="2268"/>
              </w:tabs>
              <w:spacing w:before="40" w:after="0" w:line="240" w:lineRule="auto"/>
              <w:rPr>
                <w:rFonts w:ascii="Arial" w:hAnsi="Arial"/>
                <w:sz w:val="16"/>
              </w:rPr>
            </w:pPr>
            <w:r>
              <w:rPr>
                <w:rFonts w:ascii="Arial" w:hAnsi="Arial"/>
                <w:sz w:val="16"/>
              </w:rPr>
              <w:t>4 226</w:t>
            </w:r>
          </w:p>
        </w:tc>
      </w:tr>
      <w:tr w:rsidR="00000000">
        <w:tblPrEx>
          <w:tblCellMar>
            <w:top w:w="0" w:type="dxa"/>
            <w:bottom w:w="0" w:type="dxa"/>
          </w:tblCellMar>
        </w:tblPrEx>
        <w:tc>
          <w:tcPr>
            <w:tcW w:w="4536" w:type="dxa"/>
          </w:tcPr>
          <w:p w:rsidR="00000000" w:rsidRDefault="00000000">
            <w:pPr>
              <w:spacing w:before="40" w:after="0" w:line="240" w:lineRule="auto"/>
              <w:rPr>
                <w:rFonts w:ascii="Arial" w:hAnsi="Arial"/>
                <w:sz w:val="16"/>
              </w:rPr>
            </w:pPr>
            <w:r>
              <w:rPr>
                <w:rFonts w:ascii="Arial" w:hAnsi="Arial"/>
                <w:sz w:val="16"/>
              </w:rPr>
              <w:t>Всего</w:t>
            </w:r>
          </w:p>
        </w:tc>
        <w:tc>
          <w:tcPr>
            <w:tcW w:w="4423" w:type="dxa"/>
          </w:tcPr>
          <w:p w:rsidR="00000000" w:rsidRDefault="00000000">
            <w:pPr>
              <w:tabs>
                <w:tab w:val="clear" w:pos="340"/>
                <w:tab w:val="clear" w:pos="680"/>
                <w:tab w:val="decimal" w:pos="2268"/>
              </w:tabs>
              <w:spacing w:before="40" w:after="0" w:line="240" w:lineRule="auto"/>
              <w:rPr>
                <w:rFonts w:ascii="Arial" w:hAnsi="Arial"/>
                <w:sz w:val="16"/>
              </w:rPr>
            </w:pPr>
            <w:r>
              <w:rPr>
                <w:rFonts w:ascii="Arial" w:hAnsi="Arial"/>
                <w:sz w:val="16"/>
              </w:rPr>
              <w:t>4 265</w:t>
            </w:r>
          </w:p>
        </w:tc>
      </w:tr>
    </w:tbl>
    <w:p w:rsidR="00000000" w:rsidRDefault="00000000">
      <w:pPr>
        <w:spacing w:after="0"/>
        <w:ind w:left="680"/>
        <w:rPr>
          <w:sz w:val="16"/>
        </w:rPr>
      </w:pPr>
      <w:r>
        <w:rPr>
          <w:sz w:val="16"/>
        </w:rPr>
        <w:t>* Точно не установленные, незаконченные аборты, включая искусственные аборты.</w:t>
      </w:r>
    </w:p>
    <w:p w:rsidR="00000000" w:rsidRDefault="00000000">
      <w:pPr>
        <w:ind w:left="680"/>
        <w:rPr>
          <w:sz w:val="16"/>
        </w:rPr>
      </w:pPr>
      <w:r>
        <w:rPr>
          <w:sz w:val="16"/>
        </w:rPr>
        <w:t>Примечание: В эту информацию не входят данные об абортах, произведенных в частном секторе, ввиду отсутствия таких данных.</w:t>
      </w:r>
    </w:p>
    <w:p w:rsidR="00000000" w:rsidRDefault="00000000">
      <w:r>
        <w:t>353.</w:t>
      </w:r>
      <w:r>
        <w:tab/>
        <w:t>Аборт как форма контроля за рождаемостью не пропагандируется активно каким-либо учреждением, но предположительно практикуется в этих целях, по крайней мере, в одной из больниц страны. По данным одной из больниц, процедура расширения шейки матки и выскабливания для удаления оставшихся продуктов зачатия производилась 1177 раз в 1999 году и 615 раз за период с июня по сентябрь 2000 года. В этих данных, однако, отсутствует разбивка по показаниям, была ли эта процедура результатом незапланированного выкидыша или результатом попытки женщины избавиться от плода.</w:t>
      </w:r>
    </w:p>
    <w:p w:rsidR="00000000" w:rsidRDefault="00000000">
      <w:r>
        <w:t>354.</w:t>
      </w:r>
      <w:r>
        <w:tab/>
        <w:t>Правительство признает, что криминальные аборты отрицательно сказываются на материнской мобильности и повышают смертность среди женщин. Таким абортам сопутствуют страх, боль, существенный риск инфицирования, кровотечения, а в некоторых случаях и смерть. Государственные и частные учреждения принимают меры по предоставлению информации, поддержки и консультаций, с тем чтобы снизить уровень распространенности внебольничных абортов, масштаб которых неизвестен.</w:t>
      </w:r>
    </w:p>
    <w:p w:rsidR="00000000" w:rsidRDefault="00000000">
      <w:pPr>
        <w:spacing w:after="0"/>
        <w:ind w:left="680" w:hanging="680"/>
      </w:pPr>
      <w:r>
        <w:t>355.</w:t>
      </w:r>
      <w:r>
        <w:tab/>
      </w:r>
      <w:r>
        <w:rPr>
          <w:b/>
        </w:rPr>
        <w:t>Число пациенток-женщин, проходивших лечение в государственных медицинских учреждениях от алкогольной и наркотической зависимости и злоупотребления наркотическими средствами, 1994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37"/>
        <w:gridCol w:w="2722"/>
      </w:tblGrid>
      <w:tr w:rsidR="00000000">
        <w:tblPrEx>
          <w:tblCellMar>
            <w:top w:w="0" w:type="dxa"/>
            <w:bottom w:w="0" w:type="dxa"/>
          </w:tblCellMar>
        </w:tblPrEx>
        <w:tc>
          <w:tcPr>
            <w:tcW w:w="6237" w:type="dxa"/>
          </w:tcPr>
          <w:p w:rsidR="00000000" w:rsidRDefault="00000000">
            <w:pPr>
              <w:spacing w:before="80" w:after="40" w:line="240" w:lineRule="auto"/>
              <w:jc w:val="center"/>
              <w:rPr>
                <w:rFonts w:ascii="Arial" w:hAnsi="Arial"/>
                <w:b/>
                <w:sz w:val="16"/>
              </w:rPr>
            </w:pPr>
            <w:r>
              <w:rPr>
                <w:rFonts w:ascii="Arial" w:hAnsi="Arial"/>
                <w:b/>
                <w:sz w:val="16"/>
              </w:rPr>
              <w:t>ДИАГНОЗ</w:t>
            </w:r>
          </w:p>
        </w:tc>
        <w:tc>
          <w:tcPr>
            <w:tcW w:w="2722" w:type="dxa"/>
          </w:tcPr>
          <w:p w:rsidR="00000000" w:rsidRDefault="00000000">
            <w:pPr>
              <w:spacing w:before="80" w:after="40" w:line="240" w:lineRule="auto"/>
              <w:jc w:val="center"/>
              <w:rPr>
                <w:rFonts w:ascii="Arial" w:hAnsi="Arial"/>
                <w:b/>
                <w:sz w:val="16"/>
              </w:rPr>
            </w:pPr>
            <w:r>
              <w:rPr>
                <w:rFonts w:ascii="Arial" w:hAnsi="Arial"/>
                <w:b/>
                <w:sz w:val="16"/>
              </w:rPr>
              <w:t>ЧИСЛО ЖЕНЩИН-ПАЦИЕНТОК</w:t>
            </w:r>
          </w:p>
        </w:tc>
      </w:tr>
      <w:tr w:rsidR="00000000">
        <w:tblPrEx>
          <w:tblCellMar>
            <w:top w:w="0" w:type="dxa"/>
            <w:bottom w:w="0" w:type="dxa"/>
          </w:tblCellMar>
        </w:tblPrEx>
        <w:tc>
          <w:tcPr>
            <w:tcW w:w="6237" w:type="dxa"/>
          </w:tcPr>
          <w:p w:rsidR="00000000" w:rsidRDefault="00000000">
            <w:pPr>
              <w:spacing w:before="80" w:after="40" w:line="240" w:lineRule="auto"/>
              <w:jc w:val="left"/>
              <w:rPr>
                <w:rFonts w:ascii="Arial" w:hAnsi="Arial"/>
                <w:sz w:val="16"/>
              </w:rPr>
            </w:pPr>
            <w:r>
              <w:rPr>
                <w:rFonts w:ascii="Arial" w:hAnsi="Arial"/>
                <w:sz w:val="16"/>
              </w:rPr>
              <w:t>СИНДРОМ АЛКОГОЛЬНОЙ ЗАВИСИМОСТИ</w:t>
            </w:r>
            <w:r>
              <w:rPr>
                <w:rFonts w:ascii="Arial" w:hAnsi="Arial"/>
                <w:sz w:val="16"/>
                <w:lang w:val="en-US"/>
              </w:rPr>
              <w:br/>
            </w:r>
            <w:r>
              <w:rPr>
                <w:rFonts w:ascii="Arial" w:hAnsi="Arial"/>
                <w:sz w:val="16"/>
              </w:rPr>
              <w:t>(острая интоксикация и хронический алкоголизм)</w:t>
            </w:r>
          </w:p>
        </w:tc>
        <w:tc>
          <w:tcPr>
            <w:tcW w:w="2722" w:type="dxa"/>
          </w:tcPr>
          <w:p w:rsidR="00000000" w:rsidRDefault="00000000">
            <w:pPr>
              <w:tabs>
                <w:tab w:val="clear" w:pos="340"/>
                <w:tab w:val="clear" w:pos="680"/>
                <w:tab w:val="decimal" w:pos="1418"/>
              </w:tabs>
              <w:spacing w:before="80" w:after="40" w:line="240" w:lineRule="auto"/>
              <w:rPr>
                <w:rFonts w:ascii="Arial" w:hAnsi="Arial"/>
                <w:sz w:val="16"/>
              </w:rPr>
            </w:pPr>
            <w:r>
              <w:rPr>
                <w:rFonts w:ascii="Arial" w:hAnsi="Arial"/>
                <w:sz w:val="16"/>
              </w:rPr>
              <w:t>38</w:t>
            </w:r>
          </w:p>
        </w:tc>
      </w:tr>
      <w:tr w:rsidR="00000000">
        <w:tblPrEx>
          <w:tblCellMar>
            <w:top w:w="0" w:type="dxa"/>
            <w:bottom w:w="0" w:type="dxa"/>
          </w:tblCellMar>
        </w:tblPrEx>
        <w:tc>
          <w:tcPr>
            <w:tcW w:w="6237" w:type="dxa"/>
          </w:tcPr>
          <w:p w:rsidR="00000000" w:rsidRDefault="00000000">
            <w:pPr>
              <w:spacing w:before="80" w:after="40" w:line="240" w:lineRule="auto"/>
              <w:jc w:val="left"/>
              <w:rPr>
                <w:rFonts w:ascii="Arial" w:hAnsi="Arial"/>
                <w:sz w:val="16"/>
              </w:rPr>
            </w:pPr>
            <w:r>
              <w:rPr>
                <w:rFonts w:ascii="Arial" w:hAnsi="Arial"/>
                <w:sz w:val="16"/>
              </w:rPr>
              <w:t xml:space="preserve">НАРКОТИЧЕСКАЯ ЗАВИСИМОСТЬ </w:t>
            </w:r>
            <w:r>
              <w:rPr>
                <w:rFonts w:ascii="Arial" w:hAnsi="Arial"/>
                <w:sz w:val="16"/>
                <w:lang w:val="en-US"/>
              </w:rPr>
              <w:br/>
            </w:r>
            <w:r>
              <w:rPr>
                <w:rFonts w:ascii="Arial" w:hAnsi="Arial"/>
                <w:sz w:val="16"/>
              </w:rPr>
              <w:t>(потребность употребления наркотика в течение длительного времени или периодически)</w:t>
            </w:r>
          </w:p>
        </w:tc>
        <w:tc>
          <w:tcPr>
            <w:tcW w:w="2722" w:type="dxa"/>
          </w:tcPr>
          <w:p w:rsidR="00000000" w:rsidRDefault="00000000">
            <w:pPr>
              <w:tabs>
                <w:tab w:val="clear" w:pos="340"/>
                <w:tab w:val="clear" w:pos="680"/>
                <w:tab w:val="decimal" w:pos="1418"/>
              </w:tabs>
              <w:spacing w:before="80" w:after="40" w:line="240" w:lineRule="auto"/>
              <w:rPr>
                <w:rFonts w:ascii="Arial" w:hAnsi="Arial"/>
                <w:sz w:val="16"/>
              </w:rPr>
            </w:pPr>
            <w:r>
              <w:rPr>
                <w:rFonts w:ascii="Arial" w:hAnsi="Arial"/>
                <w:sz w:val="16"/>
              </w:rPr>
              <w:t>10</w:t>
            </w:r>
          </w:p>
        </w:tc>
      </w:tr>
      <w:tr w:rsidR="00000000">
        <w:tblPrEx>
          <w:tblCellMar>
            <w:top w:w="0" w:type="dxa"/>
            <w:bottom w:w="0" w:type="dxa"/>
          </w:tblCellMar>
        </w:tblPrEx>
        <w:tc>
          <w:tcPr>
            <w:tcW w:w="6237" w:type="dxa"/>
          </w:tcPr>
          <w:p w:rsidR="00000000" w:rsidRDefault="00000000">
            <w:pPr>
              <w:spacing w:before="80" w:after="40" w:line="240" w:lineRule="auto"/>
              <w:jc w:val="left"/>
              <w:rPr>
                <w:rFonts w:ascii="Arial" w:hAnsi="Arial"/>
                <w:sz w:val="16"/>
              </w:rPr>
            </w:pPr>
            <w:r>
              <w:rPr>
                <w:rFonts w:ascii="Arial" w:hAnsi="Arial"/>
                <w:sz w:val="16"/>
              </w:rPr>
              <w:t xml:space="preserve">ЗЛОУПОТРЕБЛЕНИЕ НАРКОТИЧЕСКИМИ СРЕДСТВАМИ, НЕ ИМЕЮЩЕЕ ХАРАКТЕРА ЗАВИСИМОСТИ </w:t>
            </w:r>
            <w:r>
              <w:rPr>
                <w:rFonts w:ascii="Arial" w:hAnsi="Arial"/>
                <w:sz w:val="16"/>
                <w:lang w:val="en-US"/>
              </w:rPr>
              <w:br/>
            </w:r>
            <w:r>
              <w:rPr>
                <w:rFonts w:ascii="Arial" w:hAnsi="Arial"/>
                <w:sz w:val="16"/>
              </w:rPr>
              <w:t>(употребление наркотического средства по собственной инициативе во вред здоровью, например курение)</w:t>
            </w:r>
          </w:p>
        </w:tc>
        <w:tc>
          <w:tcPr>
            <w:tcW w:w="2722" w:type="dxa"/>
          </w:tcPr>
          <w:p w:rsidR="00000000" w:rsidRDefault="00000000">
            <w:pPr>
              <w:tabs>
                <w:tab w:val="clear" w:pos="340"/>
                <w:tab w:val="clear" w:pos="680"/>
                <w:tab w:val="decimal" w:pos="1418"/>
              </w:tabs>
              <w:spacing w:before="80" w:after="40" w:line="240" w:lineRule="auto"/>
              <w:rPr>
                <w:rFonts w:ascii="Arial" w:hAnsi="Arial"/>
                <w:sz w:val="16"/>
              </w:rPr>
            </w:pPr>
            <w:r>
              <w:rPr>
                <w:rFonts w:ascii="Arial" w:hAnsi="Arial"/>
                <w:sz w:val="16"/>
              </w:rPr>
              <w:t>247</w:t>
            </w:r>
          </w:p>
        </w:tc>
      </w:tr>
      <w:tr w:rsidR="00000000">
        <w:tblPrEx>
          <w:tblCellMar>
            <w:top w:w="0" w:type="dxa"/>
            <w:bottom w:w="0" w:type="dxa"/>
          </w:tblCellMar>
        </w:tblPrEx>
        <w:tc>
          <w:tcPr>
            <w:tcW w:w="6237" w:type="dxa"/>
          </w:tcPr>
          <w:p w:rsidR="00000000" w:rsidRDefault="00000000">
            <w:pPr>
              <w:spacing w:before="80" w:after="40" w:line="240" w:lineRule="auto"/>
              <w:jc w:val="left"/>
              <w:rPr>
                <w:rFonts w:ascii="Arial" w:hAnsi="Arial"/>
                <w:sz w:val="16"/>
              </w:rPr>
            </w:pPr>
            <w:r>
              <w:rPr>
                <w:rFonts w:ascii="Arial" w:hAnsi="Arial"/>
                <w:sz w:val="16"/>
              </w:rPr>
              <w:t>ВСЕГО</w:t>
            </w:r>
          </w:p>
        </w:tc>
        <w:tc>
          <w:tcPr>
            <w:tcW w:w="2722" w:type="dxa"/>
          </w:tcPr>
          <w:p w:rsidR="00000000" w:rsidRDefault="00000000">
            <w:pPr>
              <w:tabs>
                <w:tab w:val="clear" w:pos="340"/>
                <w:tab w:val="clear" w:pos="680"/>
                <w:tab w:val="decimal" w:pos="1418"/>
              </w:tabs>
              <w:spacing w:before="80" w:after="40" w:line="240" w:lineRule="auto"/>
              <w:rPr>
                <w:rFonts w:ascii="Arial" w:hAnsi="Arial"/>
                <w:sz w:val="16"/>
              </w:rPr>
            </w:pPr>
            <w:r>
              <w:rPr>
                <w:rFonts w:ascii="Arial" w:hAnsi="Arial"/>
                <w:sz w:val="16"/>
              </w:rPr>
              <w:t>295</w:t>
            </w:r>
          </w:p>
        </w:tc>
      </w:tr>
    </w:tbl>
    <w:p w:rsidR="00000000" w:rsidRDefault="00000000"/>
    <w:p w:rsidR="00000000" w:rsidRDefault="00000000">
      <w:r>
        <w:t>356.</w:t>
      </w:r>
      <w:r>
        <w:tab/>
        <w:t>В 1998 году Отдел гендерных проблем провел трехдневную конференцию "Здоровье женщин, стресс и наркомания". Перед Конференцией стояли, в частности, следующие задачи:</w:t>
      </w:r>
    </w:p>
    <w:p w:rsidR="00000000" w:rsidRDefault="00000000">
      <w:pPr>
        <w:numPr>
          <w:ilvl w:val="0"/>
          <w:numId w:val="678"/>
        </w:numPr>
        <w:tabs>
          <w:tab w:val="clear" w:pos="700"/>
          <w:tab w:val="left" w:pos="680"/>
        </w:tabs>
        <w:spacing w:after="0"/>
      </w:pPr>
      <w:r>
        <w:t>определение текущей ситуации в том, что касается здоровья женщин;</w:t>
      </w:r>
    </w:p>
    <w:p w:rsidR="00000000" w:rsidRDefault="00000000">
      <w:pPr>
        <w:numPr>
          <w:ilvl w:val="0"/>
          <w:numId w:val="678"/>
        </w:numPr>
        <w:tabs>
          <w:tab w:val="clear" w:pos="700"/>
          <w:tab w:val="left" w:pos="680"/>
        </w:tabs>
        <w:spacing w:after="0"/>
      </w:pPr>
      <w:r>
        <w:t>содействие установлению тесного рабочего сотрудничества между всеми, кто предоставляет медицинские услуги (традиционные и нетрадиционные), с тем чтобы улучшить ситуацию в области охраны здоровья женщин;</w:t>
      </w:r>
    </w:p>
    <w:p w:rsidR="00000000" w:rsidRDefault="00000000">
      <w:pPr>
        <w:numPr>
          <w:ilvl w:val="0"/>
          <w:numId w:val="678"/>
        </w:numPr>
        <w:tabs>
          <w:tab w:val="clear" w:pos="700"/>
          <w:tab w:val="left" w:pos="680"/>
        </w:tabs>
        <w:spacing w:after="0"/>
      </w:pPr>
      <w:r>
        <w:t>обсуждение фактического действительного положения в системе здравоохранения, с тем чтобы рассмотреть фактическое состояние дел в том ее секторе, который занимается охраной здоровья женщин; и</w:t>
      </w:r>
    </w:p>
    <w:p w:rsidR="00000000" w:rsidRDefault="00000000">
      <w:pPr>
        <w:numPr>
          <w:ilvl w:val="0"/>
          <w:numId w:val="678"/>
        </w:numPr>
        <w:tabs>
          <w:tab w:val="clear" w:pos="700"/>
          <w:tab w:val="left" w:pos="680"/>
        </w:tabs>
      </w:pPr>
      <w:r>
        <w:t>идентификация конкретных стратегий для придания гендерной направленности решению проблем здравоохранения в Тринидаде и Тобаго.</w:t>
      </w:r>
    </w:p>
    <w:p w:rsidR="00000000" w:rsidRDefault="00000000">
      <w:r>
        <w:t>Эту трехдневную конференцию посетили приблизительно 150 участников. Среди них были работники здравоохранения, практикующие врачи, работники различных служб и средств массовой информации, представители неправительственных и общинных организаций. Направленные на конференцию участники общинных организаций были ответственны за распространение информации среди мужчин и женщин в общинах. Отдел гендерных проблем подготовил соответствующие брошюры и буклеты с информацией о здоровье женщин и распространил их среди участников конференции.</w:t>
      </w:r>
    </w:p>
    <w:p w:rsidR="00000000" w:rsidRDefault="00000000">
      <w:r>
        <w:t>357.</w:t>
      </w:r>
      <w:r>
        <w:tab/>
        <w:t>Было признано, что злоупотребление наркотиками является серьезной проблемой в Тринидаде и Тобаго. Обследование школ, проведенное в 1988 году, показало, что 8 процентов учащихся употребляли марихуану, а 2 процента – кокаин.</w:t>
      </w:r>
    </w:p>
    <w:p w:rsidR="00000000" w:rsidRDefault="00000000">
      <w:r>
        <w:t>358.</w:t>
      </w:r>
      <w:r>
        <w:tab/>
        <w:t>В Тринидаде и Тобаго в рамках Министерства социального и общинного развития функционирует Национальное отделение по профилактике алкоголизма и наркомании, которое готовит различные программы, адресованные как мужчинам, так и женщинам. К сожалению, лишь немногие женщины могут воспользоваться возможностями программы, поскольку этому мешает необходимость выполнять обязанности по дому.</w:t>
      </w:r>
    </w:p>
    <w:p w:rsidR="00000000" w:rsidRDefault="00000000">
      <w:r>
        <w:t>359.</w:t>
      </w:r>
      <w:r>
        <w:tab/>
        <w:t>В развитие своей просветительской инициативы это Отделение часто организует посещения и лекции в начальных и средних школах по всей стране. Лекции составлены таким образом, чтобы проинформировать и ознакомить учащихся с различными видами законных и незаконных наркотических средств, а также рассказать им об использовании наркотиков, злоупотреблении ими и последствиях этого. На лекциях учащиеся имеют возможность задавать вопросы о наркотиках и последствиях их употребления.</w:t>
      </w:r>
    </w:p>
    <w:p w:rsidR="00000000" w:rsidRDefault="00000000">
      <w:r>
        <w:rPr>
          <w:lang w:val="en-US"/>
        </w:rPr>
        <w:t>360.</w:t>
      </w:r>
      <w:r>
        <w:rPr>
          <w:lang w:val="en-US"/>
        </w:rPr>
        <w:tab/>
      </w:r>
      <w:r>
        <w:t>Национальное отделение по профилактике алкоголизма и наркомании организует также посещения различных министерств во время проведения конкретных мероприятий и событий и развертывает там информационные киоски. Они служат целям информирования широкой общественности о видах наркотиков и последствиях злоупотребления ими. Среди таких мероприятий, организованных с этой целью, – спортивные и семейные праздники, Национальный день семьи и молодежная спортивная встреча, которая состоялась в мае 2000</w:t>
      </w:r>
      <w:r>
        <w:rPr>
          <w:lang w:val="en-US"/>
        </w:rPr>
        <w:t> </w:t>
      </w:r>
      <w:r>
        <w:t>года.</w:t>
      </w:r>
    </w:p>
    <w:p w:rsidR="00000000" w:rsidRDefault="00000000">
      <w:r>
        <w:t>361.</w:t>
      </w:r>
      <w:r>
        <w:tab/>
        <w:t>Национальное отделение по профилактике алкоголизма и наркомании организует также встречи и лекции в общинах. Кроме того, Отделение координирует процесс расширения деятельности общинных групп, которые созданы для организации просветительской работы среди членов общины и информирования их о конкретных последствиях употребления различных наркотиков.</w:t>
      </w:r>
    </w:p>
    <w:p w:rsidR="00000000" w:rsidRDefault="00000000">
      <w:r>
        <w:t>362.</w:t>
      </w:r>
      <w:r>
        <w:tab/>
        <w:t>В соответствии с недавно завершенным проектом под названием "Инициатива по сокращению употребления наркотиков, 2-я стадия", который был профинансирован правительством Тринидада и Тобаго совместно с Программой Организации Объединенных Наций по контролю над наркотическими средствами и Европейским союзом, на территории страны было создано пять информационных центров, призванных информировать общественность о наркотических средствах и других связанных с ними вопросах. В этих центрах население может с помощью книг, плакатов и брошюр ознакомиться с любым вопросом, имеющим отношение к наркотикам. Этими информационными центрами являются:</w:t>
      </w:r>
    </w:p>
    <w:p w:rsidR="00000000" w:rsidRDefault="00000000">
      <w:pPr>
        <w:numPr>
          <w:ilvl w:val="0"/>
          <w:numId w:val="679"/>
        </w:numPr>
        <w:spacing w:after="0"/>
        <w:ind w:left="1020" w:hanging="340"/>
      </w:pPr>
      <w:r>
        <w:t>Общинный центр Лавентиль, Лавентиль</w:t>
      </w:r>
    </w:p>
    <w:p w:rsidR="00000000" w:rsidRDefault="00000000">
      <w:pPr>
        <w:numPr>
          <w:ilvl w:val="0"/>
          <w:numId w:val="679"/>
        </w:numPr>
        <w:spacing w:after="0"/>
        <w:ind w:left="1020" w:hanging="340"/>
      </w:pPr>
      <w:r>
        <w:t>Общинный центр</w:t>
      </w:r>
      <w:r>
        <w:rPr>
          <w:lang w:val="en-US"/>
        </w:rPr>
        <w:t xml:space="preserve"> Pachier</w:t>
      </w:r>
      <w:r>
        <w:t>, Пойнт-Фортин</w:t>
      </w:r>
    </w:p>
    <w:p w:rsidR="00000000" w:rsidRDefault="00000000">
      <w:pPr>
        <w:numPr>
          <w:ilvl w:val="0"/>
          <w:numId w:val="679"/>
        </w:numPr>
        <w:spacing w:after="0"/>
        <w:ind w:left="1020" w:hanging="340"/>
      </w:pPr>
      <w:r>
        <w:t>Калдер Холл, Тобаго</w:t>
      </w:r>
    </w:p>
    <w:p w:rsidR="00000000" w:rsidRDefault="00000000">
      <w:pPr>
        <w:numPr>
          <w:ilvl w:val="0"/>
          <w:numId w:val="679"/>
        </w:numPr>
        <w:spacing w:after="0"/>
        <w:ind w:left="1020" w:hanging="340"/>
      </w:pPr>
      <w:r>
        <w:t>Общинный центр Токо, Токо</w:t>
      </w:r>
    </w:p>
    <w:p w:rsidR="00000000" w:rsidRDefault="00000000">
      <w:pPr>
        <w:numPr>
          <w:ilvl w:val="0"/>
          <w:numId w:val="679"/>
        </w:numPr>
        <w:spacing w:after="0"/>
        <w:ind w:left="1020" w:hanging="340"/>
      </w:pPr>
      <w:r>
        <w:t>Бюро южного избирательного округа Кува, Кува</w:t>
      </w:r>
    </w:p>
    <w:p w:rsidR="00000000" w:rsidRDefault="00000000">
      <w:pPr>
        <w:numPr>
          <w:ilvl w:val="0"/>
          <w:numId w:val="679"/>
        </w:numPr>
      </w:pPr>
      <w:r>
        <w:t>Общинный центр Седрос, Седрос</w:t>
      </w:r>
    </w:p>
    <w:p w:rsidR="00000000" w:rsidRDefault="00000000">
      <w:r>
        <w:t>363.</w:t>
      </w:r>
      <w:r>
        <w:tab/>
        <w:t>В Национальном отделении по профилактике алкоголизма и наркомании создан также центр документации, который расположен в главном офисе Отделения. Центр открыт для посещения широкой публики и является ценным источником информации для сотрудников лечебных и реабилитационных центров, а также для пропагандистов.</w:t>
      </w:r>
    </w:p>
    <w:p w:rsidR="00000000" w:rsidRDefault="00000000">
      <w:r>
        <w:t>364.</w:t>
      </w:r>
      <w:r>
        <w:tab/>
        <w:t>Другие виды деятельности Национального отделения по профилактике алкоголизма и наркомании включают создание комплексной школьной программы по профилактике наркомании, которая отдельными разделами будет включаться в национальную школьную общеобразовательную программу. Программа имеет целью акцентировать внимание школьников на значении здорового, не зависящего от наличия наркотиков образа жизни, а также пропагандировать позитивные ценности и поощрять стремление учащихся к приобретению полезных навыков. Национальное отделение по профилактике алкоголизма и наркомании координирует также работу по проведению семинаров для директоров и учителей начальной и средней школы по вопросам включения методов воспитания надлежащего отношения к наркотикам и наркомании в общие методы обучения. С этой целью Национальное отделение по профилактике алкоголизма и наркомании проводит презентации видеопрограмм и семинары, на которых предлагаются альтернативные методы обучения учащихся с особым упором на тему наркотиков.</w:t>
      </w:r>
    </w:p>
    <w:p w:rsidR="00000000" w:rsidRDefault="00000000">
      <w:r>
        <w:t>365.</w:t>
      </w:r>
      <w:r>
        <w:tab/>
        <w:t>Национальное отделение по профилактике алкоголизма и наркомании занимается также пропагандой непрерывного образования для членов общины. С этой целью Национальное отделение по профилактике алкоголизма и наркомании и учебные заведения, такие как Национальный институт высшего образования, исследований, науки и техники (</w:t>
      </w:r>
      <w:r>
        <w:rPr>
          <w:lang w:val="en-US"/>
        </w:rPr>
        <w:t>NIHERST</w:t>
      </w:r>
      <w:r>
        <w:t>) и Карибский институт проблем алкоголя и других наркотических средств (</w:t>
      </w:r>
      <w:r>
        <w:rPr>
          <w:lang w:val="en-US"/>
        </w:rPr>
        <w:t>CARIAD</w:t>
      </w:r>
      <w:r>
        <w:t xml:space="preserve">), предлагают для членов общин курсы по наркотическим средствам и другим смежным проблемам. Финансирование осуществляет Министерство социального и общинного развития, которое в отдельных случаях оказывает финансовую поддержку тем, кто хочет пройти обучение по этим программам. </w:t>
      </w:r>
      <w:r>
        <w:rPr>
          <w:lang w:val="en-US"/>
        </w:rPr>
        <w:t>CARIAD</w:t>
      </w:r>
      <w:r>
        <w:t xml:space="preserve"> в сотрудничестве с Вест-Индским университетом и Канадским фондом исследований в области алкоголизма и наркомании проводит раз в год двухнедельный интенсивный курс обучения. Первоначально курс проводился в </w:t>
      </w:r>
      <w:r>
        <w:rPr>
          <w:lang w:val="en-US"/>
        </w:rPr>
        <w:t>St. Thomas, B.V.I</w:t>
      </w:r>
      <w:r>
        <w:t>., в настоящее же время проходит на Тобаго.</w:t>
      </w:r>
    </w:p>
    <w:p w:rsidR="00000000" w:rsidRDefault="00000000">
      <w:pPr>
        <w:spacing w:after="160"/>
      </w:pPr>
      <w:r>
        <w:t>366.</w:t>
      </w:r>
      <w:r>
        <w:tab/>
        <w:t>Стремясь к обеспечению качественного ухода и лечения и созданию приемлемого уровня физической среды, Национальное отделение по профилактике алкоголизма и наркомании следит за работой центров реабилитации для наркоманов. В этих целях Отделение устанавливает минимальные критерии, которые должны соблюдать руководство и персонал при лечении наркоманов и алкоголиков. Национальное отделение по профилактике наркомании и алкоголизма выполняет также функции координатора регулярных встреч с руководством и сотрудниками различных центров реабилитации наркоманов в Тринидаде и Тобаго. Эти встречи проводятся по возможности регулярно, последняя из них состоялась в октябре 2000 года. Кроме того, Национальное отделение по профилактике алкоголизма и наркомании организует семинары для сотрудников различных реабилитационных центров. На эти встречи приглашаются специалисты в области реабилитации и лечения, которые выступают с лекциями и сообщают необходимую информацию персоналу центров. На недавно проходивший семинар был приглашен международный консультант, который выступил с сообщением по теме "профилактика рецидивов".</w:t>
      </w:r>
    </w:p>
    <w:p w:rsidR="00000000" w:rsidRDefault="00000000">
      <w:pPr>
        <w:spacing w:after="160"/>
      </w:pPr>
      <w:r>
        <w:t>367.</w:t>
      </w:r>
      <w:r>
        <w:tab/>
        <w:t>В настоящее время существует три реабилитационных центра для токсикоманов; эти центры предлагают услуги женщинам, страдающим от злоупотребления лекарственными средствами и/или токсикомании.</w:t>
      </w:r>
    </w:p>
    <w:p w:rsidR="00000000" w:rsidRDefault="00000000">
      <w:pPr>
        <w:spacing w:after="160"/>
      </w:pPr>
      <w:r>
        <w:t>368.</w:t>
      </w:r>
      <w:r>
        <w:tab/>
        <w:t xml:space="preserve">Центр </w:t>
      </w:r>
      <w:r>
        <w:rPr>
          <w:lang w:val="en-US"/>
        </w:rPr>
        <w:t>"Тихое местечко"</w:t>
      </w:r>
      <w:r>
        <w:t xml:space="preserve"> был создан для женщин в 1995 году и может принять одновременно максимум 12 клиентов. Центр предоставляет одежду и питание; руководит им Совет директоров. Финансирование осуществляется за счет различных благотворительных организаций, представителей общественности и тех женщин, которые могут оплачивать предоставляемые услуги. Для женщины, которая может позволить себе оплатить программу, ее стоимость составляет от 350 до 500 долл. ТТ в зависимости от продолжительности лечения по этой программе. Если женщина не может оплатить программу, ее могут принять в центр бесплатно. Продолжительность программы – два года; она делится на этапы с учетом степени наркотической зависимости женщины. Период лечения может быть продлен на один год, пока женщина не почувствует уверенности в том, что может возвратиться домой. Консультации предоставляются в следующих областях: дезинтоксикация, борьба со злоупотреблением лекарственными средствами/токсикоманией, душевное состояние, физическое состояние и благополучие; проводятся индивидуальные консультации.</w:t>
      </w:r>
    </w:p>
    <w:p w:rsidR="00000000" w:rsidRDefault="00000000">
      <w:pPr>
        <w:spacing w:after="160"/>
      </w:pPr>
      <w:r>
        <w:rPr>
          <w:lang w:val="en-US"/>
        </w:rPr>
        <w:t>369.</w:t>
      </w:r>
      <w:r>
        <w:rPr>
          <w:lang w:val="en-US"/>
        </w:rPr>
        <w:tab/>
        <w:t xml:space="preserve">"New Life Ministries" </w:t>
      </w:r>
      <w:r>
        <w:t>– учреждение, которое обеспечивает проживание (включая питание и одежду) и консультационные услуги для женщин, страдающих от злоупотребления наркотиками/алкоголизмом. В этом заведении размещаются и мужчины, и женщины, но в разных отделениях. Прием пациентов на лечение ведется непрерывно, но пациенты обязаны провести в этом заведении как минимум 3 месяца. Полная программа длится 12 месяцев и проводится с целью развить у пациента чувство самоуважения и желание вновь утвердиться в этом чувстве. Программа начинается с дезинтоксикации, личностной самооценки пациента и приводит к возвращению в общество. Предлагаются также услуги просветительского и эмпирического характера. Просветительские семинары включают, среди прочего, ознакомление со следующими темами:</w:t>
      </w:r>
    </w:p>
    <w:p w:rsidR="00000000" w:rsidRDefault="00000000">
      <w:pPr>
        <w:numPr>
          <w:ilvl w:val="0"/>
          <w:numId w:val="680"/>
        </w:numPr>
        <w:spacing w:after="0"/>
      </w:pPr>
      <w:r>
        <w:t>самоутверждение и релаксация;</w:t>
      </w:r>
    </w:p>
    <w:p w:rsidR="00000000" w:rsidRDefault="00000000">
      <w:pPr>
        <w:numPr>
          <w:ilvl w:val="0"/>
          <w:numId w:val="680"/>
        </w:numPr>
        <w:spacing w:after="0"/>
      </w:pPr>
      <w:r>
        <w:t>сексуальность;</w:t>
      </w:r>
    </w:p>
    <w:p w:rsidR="00000000" w:rsidRDefault="00000000">
      <w:pPr>
        <w:numPr>
          <w:ilvl w:val="0"/>
          <w:numId w:val="680"/>
        </w:numPr>
        <w:spacing w:after="0"/>
      </w:pPr>
      <w:r>
        <w:t>мотивация и самоуважение;</w:t>
      </w:r>
    </w:p>
    <w:p w:rsidR="00000000" w:rsidRDefault="00000000">
      <w:pPr>
        <w:numPr>
          <w:ilvl w:val="0"/>
          <w:numId w:val="680"/>
        </w:numPr>
        <w:spacing w:after="0"/>
      </w:pPr>
      <w:r>
        <w:t>наркотики и право;</w:t>
      </w:r>
    </w:p>
    <w:p w:rsidR="00000000" w:rsidRDefault="00000000">
      <w:pPr>
        <w:numPr>
          <w:ilvl w:val="0"/>
          <w:numId w:val="680"/>
        </w:numPr>
        <w:spacing w:after="0"/>
      </w:pPr>
      <w:r>
        <w:t>гендерные проблемы;</w:t>
      </w:r>
    </w:p>
    <w:p w:rsidR="00000000" w:rsidRDefault="00000000">
      <w:pPr>
        <w:numPr>
          <w:ilvl w:val="0"/>
          <w:numId w:val="680"/>
        </w:numPr>
        <w:spacing w:after="0"/>
      </w:pPr>
      <w:r>
        <w:t>как помочь детям токсикомана/наркомана; и</w:t>
      </w:r>
    </w:p>
    <w:p w:rsidR="00000000" w:rsidRDefault="00000000">
      <w:pPr>
        <w:numPr>
          <w:ilvl w:val="0"/>
          <w:numId w:val="680"/>
        </w:numPr>
      </w:pPr>
      <w:r>
        <w:t>причины и следствия привыкания к наркотическим средствам.</w:t>
      </w:r>
    </w:p>
    <w:p w:rsidR="00000000" w:rsidRDefault="00000000">
      <w:pPr>
        <w:spacing w:after="120"/>
      </w:pPr>
      <w:r>
        <w:t>Эмпирические программы, среди прочего, включают:</w:t>
      </w:r>
    </w:p>
    <w:p w:rsidR="00000000" w:rsidRDefault="00000000">
      <w:pPr>
        <w:numPr>
          <w:ilvl w:val="0"/>
          <w:numId w:val="681"/>
        </w:numPr>
        <w:spacing w:after="0"/>
      </w:pPr>
      <w:r>
        <w:t>индивидуальную терапию;</w:t>
      </w:r>
    </w:p>
    <w:p w:rsidR="00000000" w:rsidRDefault="00000000">
      <w:pPr>
        <w:numPr>
          <w:ilvl w:val="0"/>
          <w:numId w:val="681"/>
        </w:numPr>
        <w:spacing w:after="0"/>
      </w:pPr>
      <w:r>
        <w:t>прием в общество "Анонимные алкоголики";</w:t>
      </w:r>
    </w:p>
    <w:p w:rsidR="00000000" w:rsidRDefault="00000000">
      <w:pPr>
        <w:numPr>
          <w:ilvl w:val="0"/>
          <w:numId w:val="681"/>
        </w:numPr>
        <w:spacing w:after="0"/>
      </w:pPr>
      <w:r>
        <w:t>спортивные/туристические походы;</w:t>
      </w:r>
    </w:p>
    <w:p w:rsidR="00000000" w:rsidRDefault="00000000">
      <w:pPr>
        <w:numPr>
          <w:ilvl w:val="0"/>
          <w:numId w:val="681"/>
        </w:numPr>
        <w:spacing w:after="0"/>
      </w:pPr>
      <w:r>
        <w:t>развлекательные мероприятия;</w:t>
      </w:r>
    </w:p>
    <w:p w:rsidR="00000000" w:rsidRDefault="00000000">
      <w:pPr>
        <w:numPr>
          <w:ilvl w:val="0"/>
          <w:numId w:val="681"/>
        </w:numPr>
        <w:spacing w:after="0"/>
      </w:pPr>
      <w:r>
        <w:t>обучение навыкам выживания;</w:t>
      </w:r>
    </w:p>
    <w:p w:rsidR="00000000" w:rsidRDefault="00000000">
      <w:pPr>
        <w:numPr>
          <w:ilvl w:val="0"/>
          <w:numId w:val="681"/>
        </w:numPr>
        <w:spacing w:after="0"/>
      </w:pPr>
      <w:r>
        <w:t>посещение семей наркоманов;</w:t>
      </w:r>
    </w:p>
    <w:p w:rsidR="00000000" w:rsidRDefault="00000000">
      <w:pPr>
        <w:numPr>
          <w:ilvl w:val="0"/>
          <w:numId w:val="681"/>
        </w:numPr>
        <w:spacing w:after="0"/>
      </w:pPr>
      <w:r>
        <w:t>консультирование семей наркоманов; и</w:t>
      </w:r>
    </w:p>
    <w:p w:rsidR="00000000" w:rsidRDefault="00000000">
      <w:pPr>
        <w:numPr>
          <w:ilvl w:val="0"/>
          <w:numId w:val="681"/>
        </w:numPr>
        <w:spacing w:after="0"/>
      </w:pPr>
      <w:r>
        <w:t>семинары для желающих.</w:t>
      </w:r>
    </w:p>
    <w:p w:rsidR="00000000" w:rsidRDefault="00000000">
      <w:r>
        <w:t>370.</w:t>
      </w:r>
      <w:r>
        <w:tab/>
        <w:t>Больница Каура предлагает бесплатное консультирование и услуги по реабилитации для женщин, которые страдают от злоупотребления или привыкания к лекарственным средствам. Программа реабилитации финансируется правительством Тринидада и Тобаго и предназначена как для мужчин, так и для женщин, которые размещаются в больнице в разных отделениях. В настоящее время больница Каура может разместить только двух женщин и 12 мужчин, поскольку женское отделение расположено в отдельном огороженном помещении, тогда как мужское отделение остается открытым. Персонал больницы насчитывает 15 человек, включая врача и социального работника, которые специально подготовлены для работы с пациентами, злоупотребляющими лекарственными средствами. Больница предоставляет также питание, одежду и, при необходимости, постельное белье. Программа реабилитации продолжается 4–6 недель и предусматривает индивидуальные консультации и трудотерапию, включающую работу в саду, занятия искусством и ремеслами и групповые занятия. После 6-недельного периода выздоровевшие наркоманы возвращаются домой, но должны посещать клинику каждую неделю для последующей оценки их состояния. По мере улучшения состояния наркомана его или ее посещения становятся все более редкими, но в целом они продолжаются в течение двух лет.</w:t>
      </w:r>
    </w:p>
    <w:p w:rsidR="00000000" w:rsidRDefault="00000000">
      <w:pPr>
        <w:spacing w:after="0"/>
        <w:ind w:left="340" w:hanging="340"/>
        <w:rPr>
          <w:b/>
        </w:rPr>
      </w:pPr>
      <w:r>
        <w:rPr>
          <w:b/>
          <w:lang w:val="en-US"/>
        </w:rPr>
        <w:tab/>
      </w:r>
      <w:r>
        <w:rPr>
          <w:b/>
        </w:rPr>
        <w:t>Число выписанных из больницы Каура пациентов-женщин с разбивкой по основным диагнозам, 1993</w:t>
      </w:r>
      <w:r>
        <w:rPr>
          <w:b/>
          <w:lang w:val="en-US"/>
        </w:rPr>
        <w:t>–</w:t>
      </w:r>
      <w:r>
        <w:rPr>
          <w:b/>
        </w:rPr>
        <w:t>1998 годы</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3"/>
        <w:gridCol w:w="850"/>
        <w:gridCol w:w="851"/>
        <w:gridCol w:w="851"/>
        <w:gridCol w:w="851"/>
        <w:gridCol w:w="850"/>
        <w:gridCol w:w="851"/>
      </w:tblGrid>
      <w:tr w:rsidR="00000000">
        <w:tblPrEx>
          <w:tblCellMar>
            <w:top w:w="0" w:type="dxa"/>
            <w:bottom w:w="0" w:type="dxa"/>
          </w:tblCellMar>
        </w:tblPrEx>
        <w:tc>
          <w:tcPr>
            <w:tcW w:w="4253" w:type="dxa"/>
          </w:tcPr>
          <w:p w:rsidR="00000000" w:rsidRDefault="00000000">
            <w:pPr>
              <w:spacing w:before="40" w:after="0" w:line="240" w:lineRule="auto"/>
              <w:jc w:val="center"/>
              <w:rPr>
                <w:rFonts w:ascii="Arial" w:hAnsi="Arial"/>
                <w:sz w:val="16"/>
              </w:rPr>
            </w:pPr>
            <w:r>
              <w:rPr>
                <w:rFonts w:ascii="Arial" w:hAnsi="Arial"/>
                <w:sz w:val="16"/>
              </w:rPr>
              <w:t>ОСНОВНОЙ ДИАГНОЗ</w:t>
            </w:r>
          </w:p>
        </w:tc>
        <w:tc>
          <w:tcPr>
            <w:tcW w:w="850" w:type="dxa"/>
          </w:tcPr>
          <w:p w:rsidR="00000000" w:rsidRDefault="00000000">
            <w:pPr>
              <w:spacing w:before="40" w:after="0" w:line="240" w:lineRule="auto"/>
              <w:jc w:val="center"/>
              <w:rPr>
                <w:rFonts w:ascii="Arial" w:hAnsi="Arial"/>
                <w:sz w:val="16"/>
              </w:rPr>
            </w:pPr>
            <w:r>
              <w:rPr>
                <w:rFonts w:ascii="Arial" w:hAnsi="Arial"/>
                <w:sz w:val="16"/>
              </w:rPr>
              <w:t>1993 год</w:t>
            </w:r>
          </w:p>
        </w:tc>
        <w:tc>
          <w:tcPr>
            <w:tcW w:w="851" w:type="dxa"/>
          </w:tcPr>
          <w:p w:rsidR="00000000" w:rsidRDefault="00000000">
            <w:pPr>
              <w:spacing w:before="40" w:after="0" w:line="240" w:lineRule="auto"/>
              <w:jc w:val="center"/>
              <w:rPr>
                <w:rFonts w:ascii="Arial" w:hAnsi="Arial"/>
                <w:sz w:val="16"/>
              </w:rPr>
            </w:pPr>
            <w:r>
              <w:rPr>
                <w:rFonts w:ascii="Arial" w:hAnsi="Arial"/>
                <w:sz w:val="16"/>
              </w:rPr>
              <w:t>1994 год</w:t>
            </w:r>
          </w:p>
        </w:tc>
        <w:tc>
          <w:tcPr>
            <w:tcW w:w="851" w:type="dxa"/>
          </w:tcPr>
          <w:p w:rsidR="00000000" w:rsidRDefault="00000000">
            <w:pPr>
              <w:spacing w:before="40" w:after="0" w:line="240" w:lineRule="auto"/>
              <w:jc w:val="center"/>
              <w:rPr>
                <w:rFonts w:ascii="Arial" w:hAnsi="Arial"/>
                <w:sz w:val="16"/>
              </w:rPr>
            </w:pPr>
            <w:r>
              <w:rPr>
                <w:rFonts w:ascii="Arial" w:hAnsi="Arial"/>
                <w:sz w:val="16"/>
              </w:rPr>
              <w:t>1995 год</w:t>
            </w:r>
          </w:p>
        </w:tc>
        <w:tc>
          <w:tcPr>
            <w:tcW w:w="851" w:type="dxa"/>
          </w:tcPr>
          <w:p w:rsidR="00000000" w:rsidRDefault="00000000">
            <w:pPr>
              <w:spacing w:before="40" w:after="0" w:line="240" w:lineRule="auto"/>
              <w:jc w:val="center"/>
              <w:rPr>
                <w:rFonts w:ascii="Arial" w:hAnsi="Arial"/>
                <w:sz w:val="16"/>
              </w:rPr>
            </w:pPr>
            <w:r>
              <w:rPr>
                <w:rFonts w:ascii="Arial" w:hAnsi="Arial"/>
                <w:sz w:val="16"/>
              </w:rPr>
              <w:t>1996 год</w:t>
            </w:r>
          </w:p>
        </w:tc>
        <w:tc>
          <w:tcPr>
            <w:tcW w:w="850" w:type="dxa"/>
          </w:tcPr>
          <w:p w:rsidR="00000000" w:rsidRDefault="00000000">
            <w:pPr>
              <w:spacing w:before="40" w:after="0" w:line="240" w:lineRule="auto"/>
              <w:jc w:val="center"/>
              <w:rPr>
                <w:rFonts w:ascii="Arial" w:hAnsi="Arial"/>
                <w:sz w:val="16"/>
              </w:rPr>
            </w:pPr>
            <w:r>
              <w:rPr>
                <w:rFonts w:ascii="Arial" w:hAnsi="Arial"/>
                <w:sz w:val="16"/>
              </w:rPr>
              <w:t>1997 год</w:t>
            </w:r>
          </w:p>
        </w:tc>
        <w:tc>
          <w:tcPr>
            <w:tcW w:w="851" w:type="dxa"/>
          </w:tcPr>
          <w:p w:rsidR="00000000" w:rsidRDefault="00000000">
            <w:pPr>
              <w:spacing w:before="40" w:after="0" w:line="240" w:lineRule="auto"/>
              <w:jc w:val="center"/>
              <w:rPr>
                <w:rFonts w:ascii="Arial" w:hAnsi="Arial"/>
                <w:sz w:val="16"/>
              </w:rPr>
            </w:pPr>
            <w:r>
              <w:rPr>
                <w:rFonts w:ascii="Arial" w:hAnsi="Arial"/>
                <w:sz w:val="16"/>
              </w:rPr>
              <w:t>1998 год</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Маниакально-депрессивный психоз</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Алкогольная зависимость</w:t>
            </w:r>
          </w:p>
        </w:tc>
        <w:tc>
          <w:tcPr>
            <w:tcW w:w="850" w:type="dxa"/>
          </w:tcPr>
          <w:p w:rsidR="00000000" w:rsidRDefault="00000000">
            <w:pPr>
              <w:spacing w:before="40" w:after="0" w:line="240" w:lineRule="auto"/>
              <w:jc w:val="center"/>
              <w:rPr>
                <w:rFonts w:ascii="Arial" w:hAnsi="Arial"/>
                <w:sz w:val="16"/>
              </w:rPr>
            </w:pPr>
            <w:r>
              <w:rPr>
                <w:rFonts w:ascii="Arial" w:hAnsi="Arial"/>
                <w:sz w:val="16"/>
              </w:rPr>
              <w:t>3</w:t>
            </w:r>
          </w:p>
        </w:tc>
        <w:tc>
          <w:tcPr>
            <w:tcW w:w="851" w:type="dxa"/>
          </w:tcPr>
          <w:p w:rsidR="00000000" w:rsidRDefault="00000000">
            <w:pPr>
              <w:spacing w:before="40" w:after="0" w:line="240" w:lineRule="auto"/>
              <w:jc w:val="center"/>
              <w:rPr>
                <w:rFonts w:ascii="Arial" w:hAnsi="Arial"/>
                <w:sz w:val="16"/>
              </w:rPr>
            </w:pPr>
            <w:r>
              <w:rPr>
                <w:rFonts w:ascii="Arial" w:hAnsi="Arial"/>
                <w:sz w:val="16"/>
              </w:rPr>
              <w:t>4</w:t>
            </w:r>
          </w:p>
        </w:tc>
        <w:tc>
          <w:tcPr>
            <w:tcW w:w="851" w:type="dxa"/>
          </w:tcPr>
          <w:p w:rsidR="00000000" w:rsidRDefault="00000000">
            <w:pPr>
              <w:spacing w:before="40" w:after="0" w:line="240" w:lineRule="auto"/>
              <w:jc w:val="center"/>
              <w:rPr>
                <w:rFonts w:ascii="Arial" w:hAnsi="Arial"/>
                <w:sz w:val="16"/>
              </w:rPr>
            </w:pPr>
            <w:r>
              <w:rPr>
                <w:rFonts w:ascii="Arial" w:hAnsi="Arial"/>
                <w:sz w:val="16"/>
              </w:rPr>
              <w:t>4</w:t>
            </w:r>
          </w:p>
        </w:tc>
        <w:tc>
          <w:tcPr>
            <w:tcW w:w="851" w:type="dxa"/>
          </w:tcPr>
          <w:p w:rsidR="00000000" w:rsidRDefault="00000000">
            <w:pPr>
              <w:spacing w:before="40" w:after="0" w:line="240" w:lineRule="auto"/>
              <w:jc w:val="center"/>
              <w:rPr>
                <w:rFonts w:ascii="Arial" w:hAnsi="Arial"/>
                <w:sz w:val="16"/>
              </w:rPr>
            </w:pPr>
            <w:r>
              <w:rPr>
                <w:rFonts w:ascii="Arial" w:hAnsi="Arial"/>
                <w:sz w:val="16"/>
              </w:rPr>
              <w:t>6</w:t>
            </w:r>
          </w:p>
        </w:tc>
        <w:tc>
          <w:tcPr>
            <w:tcW w:w="850" w:type="dxa"/>
          </w:tcPr>
          <w:p w:rsidR="00000000" w:rsidRDefault="00000000">
            <w:pPr>
              <w:spacing w:before="40" w:after="0" w:line="240" w:lineRule="auto"/>
              <w:jc w:val="center"/>
              <w:rPr>
                <w:rFonts w:ascii="Arial" w:hAnsi="Arial"/>
                <w:sz w:val="16"/>
              </w:rPr>
            </w:pPr>
            <w:r>
              <w:rPr>
                <w:rFonts w:ascii="Arial" w:hAnsi="Arial"/>
                <w:sz w:val="16"/>
              </w:rPr>
              <w:t>7</w:t>
            </w:r>
          </w:p>
        </w:tc>
        <w:tc>
          <w:tcPr>
            <w:tcW w:w="851" w:type="dxa"/>
          </w:tcPr>
          <w:p w:rsidR="00000000" w:rsidRDefault="00000000">
            <w:pPr>
              <w:spacing w:before="40" w:after="0" w:line="240" w:lineRule="auto"/>
              <w:jc w:val="center"/>
              <w:rPr>
                <w:rFonts w:ascii="Arial" w:hAnsi="Arial"/>
                <w:sz w:val="16"/>
              </w:rPr>
            </w:pPr>
            <w:r>
              <w:rPr>
                <w:rFonts w:ascii="Arial" w:hAnsi="Arial"/>
                <w:sz w:val="16"/>
              </w:rPr>
              <w:t>2</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Злоупотребление барбитуратами</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Кокаиновая зависимость</w:t>
            </w:r>
          </w:p>
        </w:tc>
        <w:tc>
          <w:tcPr>
            <w:tcW w:w="850" w:type="dxa"/>
          </w:tcPr>
          <w:p w:rsidR="00000000" w:rsidRDefault="00000000">
            <w:pPr>
              <w:spacing w:before="40" w:after="0" w:line="240" w:lineRule="auto"/>
              <w:jc w:val="center"/>
              <w:rPr>
                <w:rFonts w:ascii="Arial" w:hAnsi="Arial"/>
                <w:sz w:val="16"/>
              </w:rPr>
            </w:pPr>
            <w:r>
              <w:rPr>
                <w:rFonts w:ascii="Arial" w:hAnsi="Arial"/>
                <w:sz w:val="16"/>
              </w:rPr>
              <w:t>8</w:t>
            </w:r>
          </w:p>
        </w:tc>
        <w:tc>
          <w:tcPr>
            <w:tcW w:w="851" w:type="dxa"/>
          </w:tcPr>
          <w:p w:rsidR="00000000" w:rsidRDefault="00000000">
            <w:pPr>
              <w:spacing w:before="40" w:after="0" w:line="240" w:lineRule="auto"/>
              <w:jc w:val="center"/>
              <w:rPr>
                <w:rFonts w:ascii="Arial" w:hAnsi="Arial"/>
                <w:sz w:val="16"/>
              </w:rPr>
            </w:pPr>
            <w:r>
              <w:rPr>
                <w:rFonts w:ascii="Arial" w:hAnsi="Arial"/>
                <w:sz w:val="16"/>
              </w:rPr>
              <w:t>5</w:t>
            </w:r>
          </w:p>
        </w:tc>
        <w:tc>
          <w:tcPr>
            <w:tcW w:w="851" w:type="dxa"/>
          </w:tcPr>
          <w:p w:rsidR="00000000" w:rsidRDefault="00000000">
            <w:pPr>
              <w:spacing w:before="40" w:after="0" w:line="240" w:lineRule="auto"/>
              <w:jc w:val="center"/>
              <w:rPr>
                <w:rFonts w:ascii="Arial" w:hAnsi="Arial"/>
                <w:sz w:val="16"/>
              </w:rPr>
            </w:pPr>
            <w:r>
              <w:rPr>
                <w:rFonts w:ascii="Arial" w:hAnsi="Arial"/>
                <w:sz w:val="16"/>
              </w:rPr>
              <w:t>8</w:t>
            </w:r>
          </w:p>
        </w:tc>
        <w:tc>
          <w:tcPr>
            <w:tcW w:w="851" w:type="dxa"/>
          </w:tcPr>
          <w:p w:rsidR="00000000" w:rsidRDefault="00000000">
            <w:pPr>
              <w:spacing w:before="40" w:after="0" w:line="240" w:lineRule="auto"/>
              <w:jc w:val="center"/>
              <w:rPr>
                <w:rFonts w:ascii="Arial" w:hAnsi="Arial"/>
                <w:sz w:val="16"/>
              </w:rPr>
            </w:pPr>
            <w:r>
              <w:rPr>
                <w:rFonts w:ascii="Arial" w:hAnsi="Arial"/>
                <w:sz w:val="16"/>
              </w:rPr>
              <w:t>2</w:t>
            </w:r>
          </w:p>
        </w:tc>
        <w:tc>
          <w:tcPr>
            <w:tcW w:w="850" w:type="dxa"/>
          </w:tcPr>
          <w:p w:rsidR="00000000" w:rsidRDefault="00000000">
            <w:pPr>
              <w:spacing w:before="40" w:after="0" w:line="240" w:lineRule="auto"/>
              <w:jc w:val="center"/>
              <w:rPr>
                <w:rFonts w:ascii="Arial" w:hAnsi="Arial"/>
                <w:sz w:val="16"/>
              </w:rPr>
            </w:pPr>
            <w:r>
              <w:rPr>
                <w:rFonts w:ascii="Arial" w:hAnsi="Arial"/>
                <w:sz w:val="16"/>
              </w:rPr>
              <w:t>8</w:t>
            </w:r>
          </w:p>
        </w:tc>
        <w:tc>
          <w:tcPr>
            <w:tcW w:w="851" w:type="dxa"/>
          </w:tcPr>
          <w:p w:rsidR="00000000" w:rsidRDefault="00000000">
            <w:pPr>
              <w:spacing w:before="40" w:after="0" w:line="240" w:lineRule="auto"/>
              <w:jc w:val="center"/>
              <w:rPr>
                <w:rFonts w:ascii="Arial" w:hAnsi="Arial"/>
                <w:sz w:val="16"/>
              </w:rPr>
            </w:pPr>
            <w:r>
              <w:rPr>
                <w:rFonts w:ascii="Arial" w:hAnsi="Arial"/>
                <w:sz w:val="16"/>
              </w:rPr>
              <w:t>10</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Зависимость от марихуаны</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3</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Зависимость от кокаина, марихуаны и алкоголя</w:t>
            </w:r>
          </w:p>
        </w:tc>
        <w:tc>
          <w:tcPr>
            <w:tcW w:w="850" w:type="dxa"/>
          </w:tcPr>
          <w:p w:rsidR="00000000" w:rsidRDefault="00000000">
            <w:pPr>
              <w:spacing w:before="40" w:after="0" w:line="240" w:lineRule="auto"/>
              <w:jc w:val="center"/>
              <w:rPr>
                <w:rFonts w:ascii="Arial" w:hAnsi="Arial"/>
                <w:sz w:val="16"/>
              </w:rPr>
            </w:pPr>
            <w:r>
              <w:rPr>
                <w:rFonts w:ascii="Arial" w:hAnsi="Arial"/>
                <w:sz w:val="16"/>
              </w:rPr>
              <w:t>6</w:t>
            </w:r>
          </w:p>
        </w:tc>
        <w:tc>
          <w:tcPr>
            <w:tcW w:w="851" w:type="dxa"/>
          </w:tcPr>
          <w:p w:rsidR="00000000" w:rsidRDefault="00000000">
            <w:pPr>
              <w:spacing w:before="40" w:after="0" w:line="240" w:lineRule="auto"/>
              <w:jc w:val="center"/>
              <w:rPr>
                <w:rFonts w:ascii="Arial" w:hAnsi="Arial"/>
                <w:sz w:val="16"/>
              </w:rPr>
            </w:pPr>
            <w:r>
              <w:rPr>
                <w:rFonts w:ascii="Arial" w:hAnsi="Arial"/>
                <w:sz w:val="16"/>
              </w:rPr>
              <w:t>2</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c>
          <w:tcPr>
            <w:tcW w:w="851" w:type="dxa"/>
          </w:tcPr>
          <w:p w:rsidR="00000000" w:rsidRDefault="00000000">
            <w:pPr>
              <w:spacing w:before="40" w:after="0" w:line="240" w:lineRule="auto"/>
              <w:jc w:val="center"/>
              <w:rPr>
                <w:rFonts w:ascii="Arial" w:hAnsi="Arial"/>
                <w:sz w:val="16"/>
              </w:rPr>
            </w:pPr>
            <w:r>
              <w:rPr>
                <w:rFonts w:ascii="Arial" w:hAnsi="Arial"/>
                <w:sz w:val="16"/>
              </w:rPr>
              <w:t>4</w:t>
            </w:r>
          </w:p>
        </w:tc>
        <w:tc>
          <w:tcPr>
            <w:tcW w:w="850" w:type="dxa"/>
          </w:tcPr>
          <w:p w:rsidR="00000000" w:rsidRDefault="00000000">
            <w:pPr>
              <w:spacing w:before="40" w:after="0" w:line="240" w:lineRule="auto"/>
              <w:jc w:val="center"/>
              <w:rPr>
                <w:rFonts w:ascii="Arial" w:hAnsi="Arial"/>
                <w:sz w:val="16"/>
              </w:rPr>
            </w:pPr>
            <w:r>
              <w:rPr>
                <w:rFonts w:ascii="Arial" w:hAnsi="Arial"/>
                <w:sz w:val="16"/>
              </w:rPr>
              <w:t>2</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Зависимость от алкоголя и марихуаны</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2</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Зависимость от кокаина и марихуаны</w:t>
            </w:r>
          </w:p>
        </w:tc>
        <w:tc>
          <w:tcPr>
            <w:tcW w:w="850" w:type="dxa"/>
          </w:tcPr>
          <w:p w:rsidR="00000000" w:rsidRDefault="00000000">
            <w:pPr>
              <w:spacing w:before="40" w:after="0" w:line="240" w:lineRule="auto"/>
              <w:jc w:val="center"/>
              <w:rPr>
                <w:rFonts w:ascii="Arial" w:hAnsi="Arial"/>
                <w:sz w:val="16"/>
              </w:rPr>
            </w:pPr>
            <w:r>
              <w:rPr>
                <w:rFonts w:ascii="Arial" w:hAnsi="Arial"/>
                <w:sz w:val="16"/>
              </w:rPr>
              <w:t>4</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0" w:type="dxa"/>
          </w:tcPr>
          <w:p w:rsidR="00000000" w:rsidRDefault="00000000">
            <w:pPr>
              <w:spacing w:before="40" w:after="0" w:line="240" w:lineRule="auto"/>
              <w:jc w:val="center"/>
              <w:rPr>
                <w:rFonts w:ascii="Arial" w:hAnsi="Arial"/>
                <w:sz w:val="16"/>
              </w:rPr>
            </w:pPr>
            <w:r>
              <w:rPr>
                <w:rFonts w:ascii="Arial" w:hAnsi="Arial"/>
                <w:sz w:val="16"/>
              </w:rPr>
              <w:t>1</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Зависимость от кокаина и алкоголя</w:t>
            </w:r>
          </w:p>
        </w:tc>
        <w:tc>
          <w:tcPr>
            <w:tcW w:w="850" w:type="dxa"/>
          </w:tcPr>
          <w:p w:rsidR="00000000" w:rsidRDefault="00000000">
            <w:pPr>
              <w:spacing w:before="40" w:after="0" w:line="240" w:lineRule="auto"/>
              <w:jc w:val="center"/>
              <w:rPr>
                <w:rFonts w:ascii="Arial" w:hAnsi="Arial"/>
                <w:sz w:val="16"/>
              </w:rPr>
            </w:pPr>
            <w:r>
              <w:rPr>
                <w:rFonts w:ascii="Arial" w:hAnsi="Arial"/>
                <w:sz w:val="16"/>
              </w:rPr>
              <w:t>1</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Зависимость от других наркотических средств</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w:t>
            </w:r>
          </w:p>
        </w:tc>
        <w:tc>
          <w:tcPr>
            <w:tcW w:w="850" w:type="dxa"/>
          </w:tcPr>
          <w:p w:rsidR="00000000" w:rsidRDefault="00000000">
            <w:pPr>
              <w:spacing w:before="40" w:after="0" w:line="240" w:lineRule="auto"/>
              <w:jc w:val="center"/>
              <w:rPr>
                <w:rFonts w:ascii="Arial" w:hAnsi="Arial"/>
                <w:sz w:val="16"/>
              </w:rPr>
            </w:pPr>
            <w:r>
              <w:rPr>
                <w:rFonts w:ascii="Arial" w:hAnsi="Arial"/>
                <w:sz w:val="16"/>
              </w:rPr>
              <w:t>–</w:t>
            </w:r>
          </w:p>
        </w:tc>
        <w:tc>
          <w:tcPr>
            <w:tcW w:w="851" w:type="dxa"/>
          </w:tcPr>
          <w:p w:rsidR="00000000" w:rsidRDefault="00000000">
            <w:pPr>
              <w:spacing w:before="40" w:after="0" w:line="240" w:lineRule="auto"/>
              <w:jc w:val="center"/>
              <w:rPr>
                <w:rFonts w:ascii="Arial" w:hAnsi="Arial"/>
                <w:sz w:val="16"/>
              </w:rPr>
            </w:pPr>
            <w:r>
              <w:rPr>
                <w:rFonts w:ascii="Arial" w:hAnsi="Arial"/>
                <w:sz w:val="16"/>
              </w:rPr>
              <w:t>1</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Все диагнозы</w:t>
            </w:r>
          </w:p>
        </w:tc>
        <w:tc>
          <w:tcPr>
            <w:tcW w:w="850" w:type="dxa"/>
          </w:tcPr>
          <w:p w:rsidR="00000000" w:rsidRDefault="00000000">
            <w:pPr>
              <w:spacing w:before="40" w:after="0" w:line="240" w:lineRule="auto"/>
              <w:jc w:val="center"/>
              <w:rPr>
                <w:rFonts w:ascii="Arial" w:hAnsi="Arial"/>
                <w:sz w:val="16"/>
              </w:rPr>
            </w:pPr>
            <w:r>
              <w:rPr>
                <w:rFonts w:ascii="Arial" w:hAnsi="Arial"/>
                <w:sz w:val="16"/>
              </w:rPr>
              <w:t>22</w:t>
            </w:r>
          </w:p>
        </w:tc>
        <w:tc>
          <w:tcPr>
            <w:tcW w:w="851" w:type="dxa"/>
          </w:tcPr>
          <w:p w:rsidR="00000000" w:rsidRDefault="00000000">
            <w:pPr>
              <w:spacing w:before="40" w:after="0" w:line="240" w:lineRule="auto"/>
              <w:jc w:val="center"/>
              <w:rPr>
                <w:rFonts w:ascii="Arial" w:hAnsi="Arial"/>
                <w:sz w:val="16"/>
              </w:rPr>
            </w:pPr>
            <w:r>
              <w:rPr>
                <w:rFonts w:ascii="Arial" w:hAnsi="Arial"/>
                <w:sz w:val="16"/>
              </w:rPr>
              <w:t>13</w:t>
            </w:r>
          </w:p>
        </w:tc>
        <w:tc>
          <w:tcPr>
            <w:tcW w:w="851" w:type="dxa"/>
          </w:tcPr>
          <w:p w:rsidR="00000000" w:rsidRDefault="00000000">
            <w:pPr>
              <w:spacing w:before="40" w:after="0" w:line="240" w:lineRule="auto"/>
              <w:jc w:val="center"/>
              <w:rPr>
                <w:rFonts w:ascii="Arial" w:hAnsi="Arial"/>
                <w:sz w:val="16"/>
              </w:rPr>
            </w:pPr>
            <w:r>
              <w:rPr>
                <w:rFonts w:ascii="Arial" w:hAnsi="Arial"/>
                <w:sz w:val="16"/>
              </w:rPr>
              <w:t>14</w:t>
            </w:r>
          </w:p>
        </w:tc>
        <w:tc>
          <w:tcPr>
            <w:tcW w:w="851" w:type="dxa"/>
          </w:tcPr>
          <w:p w:rsidR="00000000" w:rsidRDefault="00000000">
            <w:pPr>
              <w:spacing w:before="40" w:after="0" w:line="240" w:lineRule="auto"/>
              <w:jc w:val="center"/>
              <w:rPr>
                <w:rFonts w:ascii="Arial" w:hAnsi="Arial"/>
                <w:sz w:val="16"/>
              </w:rPr>
            </w:pPr>
            <w:r>
              <w:rPr>
                <w:rFonts w:ascii="Arial" w:hAnsi="Arial"/>
                <w:sz w:val="16"/>
              </w:rPr>
              <w:t>18</w:t>
            </w:r>
          </w:p>
        </w:tc>
        <w:tc>
          <w:tcPr>
            <w:tcW w:w="850" w:type="dxa"/>
          </w:tcPr>
          <w:p w:rsidR="00000000" w:rsidRDefault="00000000">
            <w:pPr>
              <w:spacing w:before="40" w:after="0" w:line="240" w:lineRule="auto"/>
              <w:jc w:val="center"/>
              <w:rPr>
                <w:rFonts w:ascii="Arial" w:hAnsi="Arial"/>
                <w:sz w:val="16"/>
              </w:rPr>
            </w:pPr>
            <w:r>
              <w:rPr>
                <w:rFonts w:ascii="Arial" w:hAnsi="Arial"/>
                <w:sz w:val="16"/>
              </w:rPr>
              <w:t>18</w:t>
            </w:r>
          </w:p>
        </w:tc>
        <w:tc>
          <w:tcPr>
            <w:tcW w:w="851" w:type="dxa"/>
          </w:tcPr>
          <w:p w:rsidR="00000000" w:rsidRDefault="00000000">
            <w:pPr>
              <w:spacing w:before="40" w:after="0" w:line="240" w:lineRule="auto"/>
              <w:jc w:val="center"/>
              <w:rPr>
                <w:rFonts w:ascii="Arial" w:hAnsi="Arial"/>
                <w:sz w:val="16"/>
              </w:rPr>
            </w:pPr>
            <w:r>
              <w:rPr>
                <w:rFonts w:ascii="Arial" w:hAnsi="Arial"/>
                <w:sz w:val="16"/>
              </w:rPr>
              <w:t>14</w:t>
            </w:r>
          </w:p>
        </w:tc>
      </w:tr>
    </w:tbl>
    <w:p w:rsidR="00000000" w:rsidRDefault="00000000">
      <w:pPr>
        <w:spacing w:after="0"/>
      </w:pPr>
    </w:p>
    <w:p w:rsidR="00000000" w:rsidRDefault="00000000">
      <w:pPr>
        <w:spacing w:after="120"/>
      </w:pPr>
      <w:r>
        <w:t>371.</w:t>
      </w:r>
      <w:r>
        <w:tab/>
        <w:t>"Семьи в действии" – некоммерческая, неправительственная организация, посвятившая свою деятельность улучшению положения и оздоровлению семей и отдельных людей, пострадавших от привыкания к наркотическим средствам и разлада с обществом; применяемые методы воздействия: консультирование и групповая поддержка. Организация реализует свой мандат с помощью различных программ. Среди них:</w:t>
      </w:r>
    </w:p>
    <w:p w:rsidR="00000000" w:rsidRDefault="00000000">
      <w:pPr>
        <w:numPr>
          <w:ilvl w:val="0"/>
          <w:numId w:val="682"/>
        </w:numPr>
        <w:tabs>
          <w:tab w:val="clear" w:pos="700"/>
          <w:tab w:val="left" w:pos="680"/>
        </w:tabs>
        <w:spacing w:after="0"/>
      </w:pPr>
      <w:r>
        <w:t>курсы групповой поддержки для выздоравливающих наркоманов и их семей;</w:t>
      </w:r>
    </w:p>
    <w:p w:rsidR="00000000" w:rsidRDefault="00000000">
      <w:pPr>
        <w:numPr>
          <w:ilvl w:val="0"/>
          <w:numId w:val="682"/>
        </w:numPr>
        <w:tabs>
          <w:tab w:val="clear" w:pos="700"/>
          <w:tab w:val="left" w:pos="680"/>
        </w:tabs>
        <w:spacing w:after="0"/>
      </w:pPr>
      <w:r>
        <w:t>семинары по ознакомлению с методами консультирования сверстников;</w:t>
      </w:r>
    </w:p>
    <w:p w:rsidR="00000000" w:rsidRDefault="00000000">
      <w:pPr>
        <w:numPr>
          <w:ilvl w:val="0"/>
          <w:numId w:val="682"/>
        </w:numPr>
        <w:tabs>
          <w:tab w:val="clear" w:pos="700"/>
          <w:tab w:val="left" w:pos="680"/>
        </w:tabs>
        <w:spacing w:after="0"/>
      </w:pPr>
      <w:r>
        <w:t>программы для родителей;</w:t>
      </w:r>
    </w:p>
    <w:p w:rsidR="00000000" w:rsidRDefault="00000000">
      <w:pPr>
        <w:numPr>
          <w:ilvl w:val="0"/>
          <w:numId w:val="682"/>
        </w:numPr>
        <w:tabs>
          <w:tab w:val="clear" w:pos="700"/>
          <w:tab w:val="left" w:pos="680"/>
        </w:tabs>
        <w:spacing w:after="0"/>
      </w:pPr>
      <w:r>
        <w:t>консультации по круглосуточной горячей линии и в центре-убежище без предварительной записи;</w:t>
      </w:r>
    </w:p>
    <w:p w:rsidR="00000000" w:rsidRDefault="00000000">
      <w:pPr>
        <w:numPr>
          <w:ilvl w:val="0"/>
          <w:numId w:val="682"/>
        </w:numPr>
        <w:tabs>
          <w:tab w:val="clear" w:pos="700"/>
          <w:tab w:val="left" w:pos="680"/>
        </w:tabs>
        <w:spacing w:after="0"/>
      </w:pPr>
      <w:r>
        <w:t>пропагандистско-просветительская работа в школах, общинных группах и учреждениях;</w:t>
      </w:r>
    </w:p>
    <w:p w:rsidR="00000000" w:rsidRDefault="00000000">
      <w:pPr>
        <w:numPr>
          <w:ilvl w:val="0"/>
          <w:numId w:val="682"/>
        </w:numPr>
        <w:tabs>
          <w:tab w:val="clear" w:pos="700"/>
          <w:tab w:val="left" w:pos="680"/>
        </w:tabs>
        <w:spacing w:after="0"/>
      </w:pPr>
      <w:r>
        <w:t>краткосрочная оценка и услуги по направлению к врачам-специалистам;</w:t>
      </w:r>
    </w:p>
    <w:p w:rsidR="00000000" w:rsidRDefault="00000000">
      <w:pPr>
        <w:numPr>
          <w:ilvl w:val="0"/>
          <w:numId w:val="682"/>
        </w:numPr>
        <w:tabs>
          <w:tab w:val="clear" w:pos="700"/>
          <w:tab w:val="left" w:pos="680"/>
        </w:tabs>
        <w:spacing w:after="0"/>
      </w:pPr>
      <w:r>
        <w:t>программы подготовки кадров;</w:t>
      </w:r>
    </w:p>
    <w:p w:rsidR="00000000" w:rsidRDefault="00000000">
      <w:pPr>
        <w:numPr>
          <w:ilvl w:val="0"/>
          <w:numId w:val="682"/>
        </w:numPr>
        <w:tabs>
          <w:tab w:val="clear" w:pos="700"/>
          <w:tab w:val="left" w:pos="680"/>
        </w:tabs>
        <w:spacing w:after="0"/>
      </w:pPr>
      <w:r>
        <w:t>курсы групповой поддержки для женщин, пытающихся повысить самооценку и сформировать свойственный зрелому возрасту характер;</w:t>
      </w:r>
    </w:p>
    <w:p w:rsidR="00000000" w:rsidRDefault="00000000">
      <w:pPr>
        <w:numPr>
          <w:ilvl w:val="0"/>
          <w:numId w:val="682"/>
        </w:numPr>
        <w:tabs>
          <w:tab w:val="clear" w:pos="700"/>
          <w:tab w:val="left" w:pos="680"/>
        </w:tabs>
        <w:spacing w:after="0"/>
      </w:pPr>
      <w:r>
        <w:t>летние лагеря для молодежи;</w:t>
      </w:r>
    </w:p>
    <w:p w:rsidR="00000000" w:rsidRDefault="00000000">
      <w:pPr>
        <w:numPr>
          <w:ilvl w:val="0"/>
          <w:numId w:val="682"/>
        </w:numPr>
        <w:tabs>
          <w:tab w:val="clear" w:pos="700"/>
          <w:tab w:val="left" w:pos="680"/>
        </w:tabs>
      </w:pPr>
      <w:r>
        <w:t>пропагандистско-просветительские программы по поддержке и консультированию для обеспечения реабилитации пациентов.</w:t>
      </w:r>
    </w:p>
    <w:p w:rsidR="00000000" w:rsidRDefault="00000000">
      <w:r>
        <w:t>372.</w:t>
      </w:r>
      <w:r>
        <w:tab/>
        <w:t>Число случаев заболевания ВИЧ/СПИДом среди женщин в возрасте 15–19 лет за 1989–1990 годы удвоилось. В 1997 году доля женщин среди всех новых случаев заболевания составляла 45 процентов и на них приходилось 33,7 процента всех случаев смерти от СПИДа. В 1999 году 50 процентов всех новых случаев инфицирования составляли мужчины и женщины в возрасте 15–24 лет. Среди молодежи выросло распространение заболеваний, передаваемых половым путем. По состоянию на август 2000 года, по оценкам, было зарегистрировано приблизительно 8000 ВИЧ-инфицированных и еще 9000 человек пока не осознают, что они инфицированы ВИЧ.</w:t>
      </w:r>
    </w:p>
    <w:p w:rsidR="00000000" w:rsidRDefault="00000000">
      <w:r>
        <w:t>373.</w:t>
      </w:r>
      <w:r>
        <w:tab/>
        <w:t xml:space="preserve">В Тринидаде и Тобаго люди, инфицированные ВИЧ/СПИДом, по-прежнему подвергаются осуждению со стороны общества. Эта точка зрения недавно была вновь подтверждена </w:t>
      </w:r>
      <w:r>
        <w:rPr>
          <w:lang w:val="en-US"/>
        </w:rPr>
        <w:t>FPATT</w:t>
      </w:r>
      <w:r>
        <w:t xml:space="preserve"> в ее докладе за 2000 год, озаглавленном "Сексуальное здоровье молодежи на Тобаго". Просветительская работа по этой проблеме проводится в незначительном объеме, хотя в многочисленных медицинских учреждениях населению бесплатно предоставляются информационные брошюры. За период с 1983 по 1997 год было зарегистрировано 2642</w:t>
      </w:r>
      <w:r>
        <w:rPr>
          <w:lang w:val="en-US"/>
        </w:rPr>
        <w:t> </w:t>
      </w:r>
      <w:r>
        <w:t>случая заболеваний, но эта цифра точно не отражает действительное число людей в Тринидаде и Тобаго, которые подозреваются в инфицировании вирусом. Полагают, что фактический показатель существенно выше. Точные данные об инфицировании получить трудно, потому что ВИЧ/СПИД не является заболеванием, подлежащим регистрации. Практикующие врачи не обязаны сообщать в Министерство здравоохранения о числе пациентов, у которых они обнаружили ВИЧ/СПИД. В конце 1997 года было подсчитано, что число взрослых и детей, инфицированных ВИЧ/СПИДом, составило 6800 человек (включая 2200 женщин в возрасте 15–49</w:t>
      </w:r>
      <w:r>
        <w:rPr>
          <w:lang w:val="en-US"/>
        </w:rPr>
        <w:t> </w:t>
      </w:r>
      <w:r>
        <w:t>лет и 100 детей в возрасте до 15 лет).</w:t>
      </w:r>
    </w:p>
    <w:p w:rsidR="00000000" w:rsidRDefault="00000000">
      <w:r>
        <w:rPr>
          <w:lang w:val="en-US"/>
        </w:rPr>
        <w:t>374.</w:t>
      </w:r>
      <w:r>
        <w:rPr>
          <w:lang w:val="en-US"/>
        </w:rPr>
        <w:tab/>
        <w:t>FPATT</w:t>
      </w:r>
      <w:r>
        <w:t xml:space="preserve"> в своем докладе представила информацию о результатах исследовательского проекта, в соответствии с которым на Тобаго было проведено обследование 676 молодых людей в возрасте от 10 до 29 лет. Проектом предусматривалась также организация 12 курсов для целевых групп и два пилотных исследования с участием молодых людей в возрасте 10–24 лет, проведенных в сентябре 1999 года. С этой целью были организованы 4 "внешкольных" и 8 "школьных" курсов. Проект осуществлялся совместно </w:t>
      </w:r>
      <w:r>
        <w:rPr>
          <w:lang w:val="en-US"/>
        </w:rPr>
        <w:t>FPATT</w:t>
      </w:r>
      <w:r>
        <w:t xml:space="preserve"> и Обществом борьбы со СПИДом на Тобаго. Основываясь на результатах и статистике в отношении ситуации со СПИДом на Тринидаде, </w:t>
      </w:r>
      <w:r>
        <w:rPr>
          <w:lang w:val="en-US"/>
        </w:rPr>
        <w:t>FPATT</w:t>
      </w:r>
      <w:r>
        <w:t xml:space="preserve"> пришла к следующим выводам:</w:t>
      </w:r>
    </w:p>
    <w:p w:rsidR="00000000" w:rsidRDefault="00000000">
      <w:pPr>
        <w:ind w:left="680" w:right="680"/>
        <w:rPr>
          <w:i/>
        </w:rPr>
      </w:pPr>
      <w:r>
        <w:rPr>
          <w:i/>
        </w:rPr>
        <w:t>Молодые люди Тринидада и Тобаго в возрасте 10–24 лет представляют собой возрастную группу, наиболее подверженную ВИЧ-инфекции, и чаще страдают от других проблем сексуального и репродуктивного здоровья. По оценкам, половина всех случаев ВИЧ-инфицирования относится к заболеваемости подростков, а пик заболеваемости приходится на возрастную группу 20–24 лет среди женщин и 30–34 лет для мужчин. Наибольшему риску подвержены женщины. В возрастной группе 15–19-летних инфицированных женщин в 6 раз больше, чем инфицированных мужчин. Половина всех женщин, как правило, рожают первого ребенка, не достигнув 20-летнего возраста. Каждые 3–4 года заболеваемость ВИЧ удваивается и, по расчетам, в следующие 10 лет стоимость лечения ВИЧ/СПИДа составит 4,2</w:t>
      </w:r>
      <w:r>
        <w:rPr>
          <w:i/>
          <w:lang w:val="en-US"/>
        </w:rPr>
        <w:t> </w:t>
      </w:r>
      <w:r>
        <w:rPr>
          <w:i/>
        </w:rPr>
        <w:t>процента ВНП. Есть необходимость в получении более точной эпидемиологической информации конкретно по Тобаго.</w:t>
      </w:r>
    </w:p>
    <w:p w:rsidR="00000000" w:rsidRDefault="00000000">
      <w:pPr>
        <w:ind w:left="680" w:right="680"/>
        <w:rPr>
          <w:i/>
        </w:rPr>
      </w:pPr>
      <w:r>
        <w:rPr>
          <w:i/>
        </w:rPr>
        <w:t>Соотношение числа случаев заболевания СПИДом среди мужчин и женщин составило в 1996</w:t>
      </w:r>
      <w:r>
        <w:rPr>
          <w:i/>
          <w:lang w:val="en-US"/>
        </w:rPr>
        <w:t> </w:t>
      </w:r>
      <w:r>
        <w:rPr>
          <w:i/>
        </w:rPr>
        <w:t>году 2:1, тогда как в 80-е годы оно равнялось 4:1. В том же самом году соотношение числа инфицированных ВИЧ (не СПИДом) среди мужчин и женщин составляло 1,4:1. Эти цифры свидетельствуют о росте числа инфицированных среди женщин по сравнению с мужчинами... Среди тех, кто в 1996 году был инфицирован в возрасте 15</w:t>
      </w:r>
      <w:r>
        <w:t>–</w:t>
      </w:r>
      <w:r>
        <w:rPr>
          <w:i/>
        </w:rPr>
        <w:t>19 лет, было в 6 раз больше женщин, чем мужчин. Среди инфицированных в возрасте до 15 лет и в возрастной группе 20</w:t>
      </w:r>
      <w:r>
        <w:t>–</w:t>
      </w:r>
      <w:r>
        <w:rPr>
          <w:i/>
        </w:rPr>
        <w:t>24 лет женщин также больше, чем мужчин.</w:t>
      </w:r>
    </w:p>
    <w:p w:rsidR="00000000" w:rsidRDefault="00000000">
      <w:pPr>
        <w:ind w:left="680" w:right="680"/>
        <w:rPr>
          <w:i/>
        </w:rPr>
      </w:pPr>
      <w:r>
        <w:rPr>
          <w:i/>
        </w:rPr>
        <w:t>По данным, представленным Карибским эпидемиологическим центром (</w:t>
      </w:r>
      <w:r>
        <w:rPr>
          <w:i/>
          <w:lang w:val="en-US"/>
        </w:rPr>
        <w:t>CAREC)</w:t>
      </w:r>
      <w:r>
        <w:rPr>
          <w:i/>
        </w:rPr>
        <w:t xml:space="preserve">, в Тринидаде и Тобаго в 90-е годы на гомосексуалистов и бисексуалов, вместе взятых, приходился только один из восьми случаев заболевания СПИДом, при этом 45 процентов из них составляли бисексуалы. Из общего числа случаев заболевания СПИДом среди взрослых, о которых было сообщено в 1996 году, в 61 проценте случаев способом передачи инфекции были гетеросексуальные контакты и в 6 процентах </w:t>
      </w:r>
      <w:r>
        <w:t xml:space="preserve">– </w:t>
      </w:r>
      <w:r>
        <w:rPr>
          <w:i/>
        </w:rPr>
        <w:t>гомосексуальные контакты между мужчинами, тогда как в 33</w:t>
      </w:r>
      <w:r>
        <w:rPr>
          <w:i/>
          <w:lang w:val="en-US"/>
        </w:rPr>
        <w:t> </w:t>
      </w:r>
      <w:r>
        <w:rPr>
          <w:i/>
        </w:rPr>
        <w:t>процентах случаев способ передачи инфекции остался неизвестным.</w:t>
      </w:r>
    </w:p>
    <w:p w:rsidR="00000000" w:rsidRDefault="00000000">
      <w:pPr>
        <w:ind w:left="680" w:right="680"/>
        <w:rPr>
          <w:i/>
        </w:rPr>
      </w:pPr>
      <w:r>
        <w:rPr>
          <w:i/>
        </w:rPr>
        <w:t>В Тринидаде и Тобаго ВИЧ, по всей видимости, передается исключительно путем половых контактов; сообщений о случаях заражения СПИДом через внутривенное употребление наркотиков или при переливании крови не поступало (</w:t>
      </w:r>
      <w:r>
        <w:rPr>
          <w:i/>
          <w:lang w:val="en-US"/>
        </w:rPr>
        <w:t xml:space="preserve">CAREC, </w:t>
      </w:r>
      <w:r>
        <w:rPr>
          <w:i/>
        </w:rPr>
        <w:t>1997 год). В странах Карибского бассейна редки случаи употребления наркотиков путем внутривенных инъекций и широко применяется скрининговое исследование донорской крови на наличие антител ВИЧ; эти факты находят свое отражение в низких цифрах передачи вируса СПИДа этими путями... При обследовании посетителей клиники 3ППП в Тринидаде (1995 год) употребление кристаллического кокаина было признано значительным независимым фактором риска. В то же время пациенты Центра реабилитации наркоманов в Тринидаде сообщали о таких случаях рискованного сексуального поведения, как занятие сексом за деньги или наркотики без использования презервативов или нерегулярное использование презервативов, несмотря на осведомленность о риске заражения ВИЧ-инфекций (1999 год).</w:t>
      </w:r>
    </w:p>
    <w:p w:rsidR="00000000" w:rsidRDefault="00000000">
      <w:pPr>
        <w:spacing w:after="0"/>
        <w:ind w:left="680" w:hanging="680"/>
        <w:jc w:val="left"/>
        <w:rPr>
          <w:b/>
        </w:rPr>
      </w:pPr>
      <w:r>
        <w:rPr>
          <w:lang w:val="en-US"/>
        </w:rPr>
        <w:t>375.</w:t>
      </w:r>
      <w:r>
        <w:rPr>
          <w:b/>
          <w:lang w:val="en-US"/>
        </w:rPr>
        <w:tab/>
      </w:r>
      <w:r>
        <w:rPr>
          <w:b/>
        </w:rPr>
        <w:t>Зарегистрированные случаи заболевания СПИДом и смертельных исходов с разбивкой по</w:t>
      </w:r>
      <w:r>
        <w:rPr>
          <w:b/>
          <w:lang w:val="en-US"/>
        </w:rPr>
        <w:t> </w:t>
      </w:r>
      <w:r>
        <w:rPr>
          <w:b/>
        </w:rPr>
        <w:t>возрасту и полу (1996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907"/>
        <w:gridCol w:w="907"/>
        <w:gridCol w:w="964"/>
        <w:gridCol w:w="851"/>
        <w:gridCol w:w="907"/>
        <w:gridCol w:w="907"/>
        <w:gridCol w:w="964"/>
        <w:gridCol w:w="851"/>
      </w:tblGrid>
      <w:tr w:rsidR="00000000">
        <w:tblPrEx>
          <w:tblCellMar>
            <w:top w:w="0" w:type="dxa"/>
            <w:bottom w:w="0" w:type="dxa"/>
          </w:tblCellMar>
        </w:tblPrEx>
        <w:trPr>
          <w:cantSplit/>
        </w:trPr>
        <w:tc>
          <w:tcPr>
            <w:tcW w:w="1701" w:type="dxa"/>
            <w:tcBorders>
              <w:top w:val="nil"/>
              <w:left w:val="nil"/>
            </w:tcBorders>
          </w:tcPr>
          <w:p w:rsidR="00000000" w:rsidRDefault="00000000">
            <w:pPr>
              <w:spacing w:before="60" w:after="20" w:line="240" w:lineRule="auto"/>
              <w:jc w:val="center"/>
              <w:rPr>
                <w:rFonts w:ascii="Arial" w:hAnsi="Arial"/>
                <w:sz w:val="16"/>
              </w:rPr>
            </w:pPr>
          </w:p>
        </w:tc>
        <w:tc>
          <w:tcPr>
            <w:tcW w:w="3629" w:type="dxa"/>
            <w:gridSpan w:val="4"/>
            <w:tcBorders>
              <w:top w:val="single" w:sz="4" w:space="0" w:color="auto"/>
              <w:left w:val="nil"/>
            </w:tcBorders>
          </w:tcPr>
          <w:p w:rsidR="00000000" w:rsidRDefault="00000000">
            <w:pPr>
              <w:spacing w:before="60" w:after="20" w:line="240" w:lineRule="auto"/>
              <w:jc w:val="center"/>
              <w:rPr>
                <w:rFonts w:ascii="Arial" w:hAnsi="Arial"/>
                <w:sz w:val="16"/>
              </w:rPr>
            </w:pPr>
            <w:r>
              <w:rPr>
                <w:rFonts w:ascii="Arial" w:hAnsi="Arial"/>
                <w:sz w:val="16"/>
              </w:rPr>
              <w:t>Случаи заболевания в течение года</w:t>
            </w:r>
          </w:p>
        </w:tc>
        <w:tc>
          <w:tcPr>
            <w:tcW w:w="3629" w:type="dxa"/>
            <w:gridSpan w:val="4"/>
            <w:tcBorders>
              <w:top w:val="single" w:sz="4" w:space="0" w:color="auto"/>
              <w:left w:val="nil"/>
            </w:tcBorders>
          </w:tcPr>
          <w:p w:rsidR="00000000" w:rsidRDefault="00000000">
            <w:pPr>
              <w:spacing w:before="60" w:after="20" w:line="240" w:lineRule="auto"/>
              <w:jc w:val="center"/>
              <w:rPr>
                <w:rFonts w:ascii="Arial" w:hAnsi="Arial"/>
                <w:sz w:val="16"/>
              </w:rPr>
            </w:pPr>
            <w:r>
              <w:rPr>
                <w:rFonts w:ascii="Arial" w:hAnsi="Arial"/>
                <w:sz w:val="16"/>
              </w:rPr>
              <w:t>Случаи смертельного исхода в течение года</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Возраст</w:t>
            </w:r>
          </w:p>
        </w:tc>
        <w:tc>
          <w:tcPr>
            <w:tcW w:w="907" w:type="dxa"/>
          </w:tcPr>
          <w:p w:rsidR="00000000" w:rsidRDefault="00000000">
            <w:pPr>
              <w:spacing w:before="20" w:after="20" w:line="240" w:lineRule="auto"/>
              <w:jc w:val="center"/>
              <w:rPr>
                <w:rFonts w:ascii="Arial" w:hAnsi="Arial"/>
                <w:sz w:val="16"/>
              </w:rPr>
            </w:pPr>
            <w:r>
              <w:rPr>
                <w:rFonts w:ascii="Arial" w:hAnsi="Arial"/>
                <w:sz w:val="16"/>
              </w:rPr>
              <w:t>мужчины</w:t>
            </w:r>
          </w:p>
        </w:tc>
        <w:tc>
          <w:tcPr>
            <w:tcW w:w="907" w:type="dxa"/>
          </w:tcPr>
          <w:p w:rsidR="00000000" w:rsidRDefault="00000000">
            <w:pPr>
              <w:spacing w:before="20" w:after="20" w:line="240" w:lineRule="auto"/>
              <w:jc w:val="center"/>
              <w:rPr>
                <w:rFonts w:ascii="Arial" w:hAnsi="Arial"/>
                <w:sz w:val="16"/>
              </w:rPr>
            </w:pPr>
            <w:r>
              <w:rPr>
                <w:rFonts w:ascii="Arial" w:hAnsi="Arial"/>
                <w:sz w:val="16"/>
              </w:rPr>
              <w:t>женщины</w:t>
            </w:r>
          </w:p>
        </w:tc>
        <w:tc>
          <w:tcPr>
            <w:tcW w:w="964" w:type="dxa"/>
          </w:tcPr>
          <w:p w:rsidR="00000000" w:rsidRDefault="00000000">
            <w:pPr>
              <w:spacing w:before="20" w:after="20" w:line="240" w:lineRule="auto"/>
              <w:jc w:val="center"/>
              <w:rPr>
                <w:rFonts w:ascii="Arial" w:hAnsi="Arial"/>
                <w:sz w:val="16"/>
              </w:rPr>
            </w:pPr>
            <w:r>
              <w:rPr>
                <w:rFonts w:ascii="Arial" w:hAnsi="Arial"/>
                <w:sz w:val="16"/>
              </w:rPr>
              <w:t>неизвестно</w:t>
            </w:r>
          </w:p>
        </w:tc>
        <w:tc>
          <w:tcPr>
            <w:tcW w:w="851" w:type="dxa"/>
          </w:tcPr>
          <w:p w:rsidR="00000000" w:rsidRDefault="00000000">
            <w:pPr>
              <w:spacing w:before="20" w:after="20" w:line="240" w:lineRule="auto"/>
              <w:jc w:val="center"/>
              <w:rPr>
                <w:rFonts w:ascii="Arial" w:hAnsi="Arial"/>
                <w:sz w:val="16"/>
              </w:rPr>
            </w:pPr>
            <w:r>
              <w:rPr>
                <w:rFonts w:ascii="Arial" w:hAnsi="Arial"/>
                <w:sz w:val="16"/>
              </w:rPr>
              <w:t>итого</w:t>
            </w:r>
          </w:p>
        </w:tc>
        <w:tc>
          <w:tcPr>
            <w:tcW w:w="907" w:type="dxa"/>
          </w:tcPr>
          <w:p w:rsidR="00000000" w:rsidRDefault="00000000">
            <w:pPr>
              <w:spacing w:before="20" w:after="20" w:line="240" w:lineRule="auto"/>
              <w:jc w:val="center"/>
              <w:rPr>
                <w:rFonts w:ascii="Arial" w:hAnsi="Arial"/>
                <w:sz w:val="16"/>
              </w:rPr>
            </w:pPr>
            <w:r>
              <w:rPr>
                <w:rFonts w:ascii="Arial" w:hAnsi="Arial"/>
                <w:sz w:val="16"/>
              </w:rPr>
              <w:t>мужчины</w:t>
            </w:r>
          </w:p>
        </w:tc>
        <w:tc>
          <w:tcPr>
            <w:tcW w:w="907" w:type="dxa"/>
          </w:tcPr>
          <w:p w:rsidR="00000000" w:rsidRDefault="00000000">
            <w:pPr>
              <w:spacing w:before="20" w:after="20" w:line="240" w:lineRule="auto"/>
              <w:jc w:val="center"/>
              <w:rPr>
                <w:rFonts w:ascii="Arial" w:hAnsi="Arial"/>
                <w:sz w:val="16"/>
              </w:rPr>
            </w:pPr>
            <w:r>
              <w:rPr>
                <w:rFonts w:ascii="Arial" w:hAnsi="Arial"/>
                <w:sz w:val="16"/>
              </w:rPr>
              <w:t>женщины</w:t>
            </w:r>
          </w:p>
        </w:tc>
        <w:tc>
          <w:tcPr>
            <w:tcW w:w="964" w:type="dxa"/>
          </w:tcPr>
          <w:p w:rsidR="00000000" w:rsidRDefault="00000000">
            <w:pPr>
              <w:spacing w:before="20" w:after="20" w:line="240" w:lineRule="auto"/>
              <w:jc w:val="center"/>
              <w:rPr>
                <w:rFonts w:ascii="Arial" w:hAnsi="Arial"/>
                <w:sz w:val="16"/>
              </w:rPr>
            </w:pPr>
            <w:r>
              <w:rPr>
                <w:rFonts w:ascii="Arial" w:hAnsi="Arial"/>
                <w:sz w:val="16"/>
              </w:rPr>
              <w:t>неизвестно</w:t>
            </w:r>
          </w:p>
        </w:tc>
        <w:tc>
          <w:tcPr>
            <w:tcW w:w="851" w:type="dxa"/>
          </w:tcPr>
          <w:p w:rsidR="00000000" w:rsidRDefault="00000000">
            <w:pPr>
              <w:spacing w:before="20" w:after="20" w:line="240" w:lineRule="auto"/>
              <w:jc w:val="center"/>
              <w:rPr>
                <w:rFonts w:ascii="Arial" w:hAnsi="Arial"/>
                <w:sz w:val="16"/>
              </w:rPr>
            </w:pPr>
            <w:r>
              <w:rPr>
                <w:rFonts w:ascii="Arial" w:hAnsi="Arial"/>
                <w:sz w:val="16"/>
              </w:rPr>
              <w:t>итого</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&lt;1</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8</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10</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1–4 года</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8</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5–9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10–14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15–19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11</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20–24 года</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15</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24</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11</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25–29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28</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28</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29</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30–34 года</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20</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67</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47</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35–39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48</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32</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40–44 года</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41</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10</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51</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32</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45–49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22</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8</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30</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50–54 года</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25</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55–59 лет</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14</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7</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22</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9</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60+</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13</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15</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8</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0</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10</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Неизвестно</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w:t>
            </w:r>
          </w:p>
        </w:tc>
      </w:tr>
      <w:tr w:rsidR="00000000">
        <w:tblPrEx>
          <w:tblCellMar>
            <w:top w:w="0" w:type="dxa"/>
            <w:bottom w:w="0" w:type="dxa"/>
          </w:tblCellMar>
        </w:tblPrEx>
        <w:tc>
          <w:tcPr>
            <w:tcW w:w="1701" w:type="dxa"/>
          </w:tcPr>
          <w:p w:rsidR="00000000" w:rsidRDefault="00000000">
            <w:pPr>
              <w:spacing w:before="20" w:after="20" w:line="240" w:lineRule="auto"/>
              <w:jc w:val="center"/>
              <w:rPr>
                <w:rFonts w:ascii="Arial" w:hAnsi="Arial"/>
                <w:sz w:val="16"/>
              </w:rPr>
            </w:pPr>
            <w:r>
              <w:rPr>
                <w:rFonts w:ascii="Arial" w:hAnsi="Arial"/>
                <w:sz w:val="16"/>
              </w:rPr>
              <w:t>Всего</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274</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135</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3</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412</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176</w:t>
            </w:r>
          </w:p>
        </w:tc>
        <w:tc>
          <w:tcPr>
            <w:tcW w:w="90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78</w:t>
            </w:r>
          </w:p>
        </w:tc>
        <w:tc>
          <w:tcPr>
            <w:tcW w:w="964"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w:t>
            </w:r>
          </w:p>
        </w:tc>
        <w:tc>
          <w:tcPr>
            <w:tcW w:w="851"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256</w:t>
            </w:r>
          </w:p>
        </w:tc>
      </w:tr>
    </w:tbl>
    <w:p w:rsidR="00000000" w:rsidRDefault="00000000">
      <w:pPr>
        <w:spacing w:after="0"/>
      </w:pPr>
    </w:p>
    <w:p w:rsidR="00000000" w:rsidRDefault="00000000">
      <w:pPr>
        <w:spacing w:after="0"/>
        <w:rPr>
          <w:b/>
        </w:rPr>
      </w:pPr>
      <w:r>
        <w:rPr>
          <w:lang w:val="en-US"/>
        </w:rPr>
        <w:t>376.</w:t>
      </w:r>
      <w:r>
        <w:rPr>
          <w:b/>
          <w:lang w:val="en-US"/>
        </w:rPr>
        <w:tab/>
      </w:r>
      <w:r>
        <w:rPr>
          <w:b/>
        </w:rPr>
        <w:t>Случаи заболевания СПИДом с разбивкой по способу заражения (1996 год)</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08"/>
        <w:gridCol w:w="1588"/>
        <w:gridCol w:w="1588"/>
        <w:gridCol w:w="1588"/>
        <w:gridCol w:w="1588"/>
      </w:tblGrid>
      <w:tr w:rsidR="00000000">
        <w:tblPrEx>
          <w:tblCellMar>
            <w:top w:w="0" w:type="dxa"/>
            <w:bottom w:w="0" w:type="dxa"/>
          </w:tblCellMar>
        </w:tblPrEx>
        <w:tc>
          <w:tcPr>
            <w:tcW w:w="2608" w:type="dxa"/>
          </w:tcPr>
          <w:p w:rsidR="00000000" w:rsidRDefault="00000000">
            <w:pPr>
              <w:spacing w:before="60" w:after="20" w:line="240" w:lineRule="auto"/>
              <w:jc w:val="center"/>
              <w:rPr>
                <w:rFonts w:ascii="Arial" w:hAnsi="Arial"/>
                <w:sz w:val="16"/>
              </w:rPr>
            </w:pPr>
            <w:r>
              <w:rPr>
                <w:rFonts w:ascii="Arial" w:hAnsi="Arial"/>
                <w:sz w:val="16"/>
              </w:rPr>
              <w:t>Способ заражения</w:t>
            </w:r>
          </w:p>
        </w:tc>
        <w:tc>
          <w:tcPr>
            <w:tcW w:w="1588"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588"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588" w:type="dxa"/>
          </w:tcPr>
          <w:p w:rsidR="00000000" w:rsidRDefault="00000000">
            <w:pPr>
              <w:spacing w:before="60" w:after="20" w:line="240" w:lineRule="auto"/>
              <w:jc w:val="center"/>
              <w:rPr>
                <w:rFonts w:ascii="Arial" w:hAnsi="Arial"/>
                <w:sz w:val="16"/>
              </w:rPr>
            </w:pPr>
            <w:r>
              <w:rPr>
                <w:rFonts w:ascii="Arial" w:hAnsi="Arial"/>
                <w:sz w:val="16"/>
              </w:rPr>
              <w:t>Неизвестно</w:t>
            </w:r>
          </w:p>
        </w:tc>
        <w:tc>
          <w:tcPr>
            <w:tcW w:w="1588" w:type="dxa"/>
          </w:tcPr>
          <w:p w:rsidR="00000000" w:rsidRDefault="00000000">
            <w:pPr>
              <w:spacing w:before="60" w:after="20" w:line="240" w:lineRule="auto"/>
              <w:jc w:val="center"/>
              <w:rPr>
                <w:rFonts w:ascii="Arial" w:hAnsi="Arial"/>
                <w:sz w:val="16"/>
              </w:rPr>
            </w:pPr>
            <w:r>
              <w:rPr>
                <w:rFonts w:ascii="Arial" w:hAnsi="Arial"/>
                <w:sz w:val="16"/>
              </w:rPr>
              <w:t>Итого</w:t>
            </w:r>
          </w:p>
        </w:tc>
      </w:tr>
      <w:tr w:rsidR="00000000">
        <w:tblPrEx>
          <w:tblCellMar>
            <w:top w:w="0" w:type="dxa"/>
            <w:bottom w:w="0" w:type="dxa"/>
          </w:tblCellMar>
        </w:tblPrEx>
        <w:tc>
          <w:tcPr>
            <w:tcW w:w="2608" w:type="dxa"/>
          </w:tcPr>
          <w:p w:rsidR="00000000" w:rsidRDefault="00000000">
            <w:pPr>
              <w:spacing w:before="20" w:after="20" w:line="240" w:lineRule="auto"/>
              <w:jc w:val="left"/>
              <w:rPr>
                <w:rFonts w:ascii="Arial" w:hAnsi="Arial"/>
                <w:sz w:val="16"/>
              </w:rPr>
            </w:pPr>
            <w:r>
              <w:rPr>
                <w:rFonts w:ascii="Arial" w:hAnsi="Arial"/>
                <w:sz w:val="16"/>
              </w:rPr>
              <w:t>Сексуальные контакты</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265</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116</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2</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383</w:t>
            </w:r>
          </w:p>
        </w:tc>
      </w:tr>
      <w:tr w:rsidR="00000000">
        <w:tblPrEx>
          <w:tblCellMar>
            <w:top w:w="0" w:type="dxa"/>
            <w:bottom w:w="0" w:type="dxa"/>
          </w:tblCellMar>
        </w:tblPrEx>
        <w:tc>
          <w:tcPr>
            <w:tcW w:w="2608" w:type="dxa"/>
          </w:tcPr>
          <w:p w:rsidR="00000000" w:rsidRDefault="00000000">
            <w:pPr>
              <w:spacing w:before="20" w:after="20" w:line="240" w:lineRule="auto"/>
              <w:jc w:val="left"/>
              <w:rPr>
                <w:rFonts w:ascii="Arial" w:hAnsi="Arial"/>
                <w:sz w:val="16"/>
              </w:rPr>
            </w:pPr>
            <w:r>
              <w:rPr>
                <w:rFonts w:ascii="Arial" w:hAnsi="Arial"/>
                <w:sz w:val="16"/>
              </w:rPr>
              <w:t>При переливании крови и инъекциях</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r>
      <w:tr w:rsidR="00000000">
        <w:tblPrEx>
          <w:tblCellMar>
            <w:top w:w="0" w:type="dxa"/>
            <w:bottom w:w="0" w:type="dxa"/>
          </w:tblCellMar>
        </w:tblPrEx>
        <w:tc>
          <w:tcPr>
            <w:tcW w:w="2608" w:type="dxa"/>
          </w:tcPr>
          <w:p w:rsidR="00000000" w:rsidRDefault="00000000">
            <w:pPr>
              <w:spacing w:before="20" w:after="20" w:line="240" w:lineRule="auto"/>
              <w:jc w:val="left"/>
              <w:rPr>
                <w:rFonts w:ascii="Arial" w:hAnsi="Arial"/>
                <w:sz w:val="16"/>
              </w:rPr>
            </w:pPr>
            <w:r>
              <w:rPr>
                <w:rFonts w:ascii="Arial" w:hAnsi="Arial"/>
                <w:sz w:val="16"/>
              </w:rPr>
              <w:t>Вертикально (от матери к ребенку)</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9</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19</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28</w:t>
            </w:r>
          </w:p>
        </w:tc>
      </w:tr>
      <w:tr w:rsidR="00000000">
        <w:tblPrEx>
          <w:tblCellMar>
            <w:top w:w="0" w:type="dxa"/>
            <w:bottom w:w="0" w:type="dxa"/>
          </w:tblCellMar>
        </w:tblPrEx>
        <w:tc>
          <w:tcPr>
            <w:tcW w:w="2608" w:type="dxa"/>
          </w:tcPr>
          <w:p w:rsidR="00000000" w:rsidRDefault="00000000">
            <w:pPr>
              <w:spacing w:before="20" w:after="20" w:line="240" w:lineRule="auto"/>
              <w:jc w:val="left"/>
              <w:rPr>
                <w:rFonts w:ascii="Arial" w:hAnsi="Arial"/>
                <w:sz w:val="16"/>
              </w:rPr>
            </w:pPr>
            <w:r>
              <w:rPr>
                <w:rFonts w:ascii="Arial" w:hAnsi="Arial"/>
                <w:sz w:val="16"/>
              </w:rPr>
              <w:t>Не определено</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0</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1</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1</w:t>
            </w:r>
          </w:p>
        </w:tc>
      </w:tr>
      <w:tr w:rsidR="00000000">
        <w:tblPrEx>
          <w:tblCellMar>
            <w:top w:w="0" w:type="dxa"/>
            <w:bottom w:w="0" w:type="dxa"/>
          </w:tblCellMar>
        </w:tblPrEx>
        <w:tc>
          <w:tcPr>
            <w:tcW w:w="2608" w:type="dxa"/>
          </w:tcPr>
          <w:p w:rsidR="00000000" w:rsidRDefault="00000000">
            <w:pPr>
              <w:spacing w:before="20" w:after="20" w:line="240" w:lineRule="auto"/>
              <w:jc w:val="left"/>
              <w:rPr>
                <w:rFonts w:ascii="Arial" w:hAnsi="Arial"/>
                <w:sz w:val="16"/>
              </w:rPr>
            </w:pPr>
            <w:r>
              <w:rPr>
                <w:rFonts w:ascii="Arial" w:hAnsi="Arial"/>
                <w:sz w:val="16"/>
              </w:rPr>
              <w:t>Всего</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274</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135</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3</w:t>
            </w:r>
          </w:p>
        </w:tc>
        <w:tc>
          <w:tcPr>
            <w:tcW w:w="1588" w:type="dxa"/>
          </w:tcPr>
          <w:p w:rsidR="00000000" w:rsidRDefault="00000000">
            <w:pPr>
              <w:tabs>
                <w:tab w:val="clear" w:pos="340"/>
                <w:tab w:val="clear" w:pos="680"/>
                <w:tab w:val="decimal" w:pos="851"/>
              </w:tabs>
              <w:spacing w:before="20" w:after="20" w:line="240" w:lineRule="auto"/>
              <w:rPr>
                <w:rFonts w:ascii="Arial" w:hAnsi="Arial"/>
                <w:sz w:val="16"/>
              </w:rPr>
            </w:pPr>
            <w:r>
              <w:rPr>
                <w:rFonts w:ascii="Arial" w:hAnsi="Arial"/>
                <w:sz w:val="16"/>
              </w:rPr>
              <w:t>412</w:t>
            </w:r>
          </w:p>
        </w:tc>
      </w:tr>
    </w:tbl>
    <w:p w:rsidR="00000000" w:rsidRDefault="00000000"/>
    <w:p w:rsidR="00000000" w:rsidRDefault="00000000">
      <w:r>
        <w:t>377.</w:t>
      </w:r>
      <w:r>
        <w:tab/>
        <w:t>В 1998 году был составлен План развития Тобаго. В отношении СПИДа в этом Плане указывается, что Департамент здравоохранения Тобаго примет меры по увеличению числа специально и должным образом подготовленного медицинского персонала для борьбы с проблемами, связанными со СПИДом. В соответствии с этим Планом должен быть создан информационно-просветительский проект по проблеме СПИДа и заболеваний, передаваемых половым путем.</w:t>
      </w:r>
    </w:p>
    <w:p w:rsidR="00000000" w:rsidRDefault="00000000">
      <w:r>
        <w:t>378.</w:t>
      </w:r>
      <w:r>
        <w:tab/>
        <w:t>Для профилактики распространения ВИЧ/СПИДа в Тринидаде и Тобаго были приняты различные меры. Среди них:</w:t>
      </w:r>
    </w:p>
    <w:p w:rsidR="00000000" w:rsidRDefault="00000000">
      <w:pPr>
        <w:numPr>
          <w:ilvl w:val="0"/>
          <w:numId w:val="685"/>
        </w:numPr>
        <w:tabs>
          <w:tab w:val="clear" w:pos="340"/>
          <w:tab w:val="clear" w:pos="680"/>
          <w:tab w:val="clear" w:pos="1040"/>
          <w:tab w:val="left" w:pos="1021"/>
        </w:tabs>
        <w:spacing w:after="0"/>
        <w:ind w:left="1020" w:hanging="340"/>
        <w:rPr>
          <w:b/>
        </w:rPr>
      </w:pPr>
      <w:r>
        <w:rPr>
          <w:b/>
        </w:rPr>
        <w:t>Осуществление программы профилактики и контроля</w:t>
      </w:r>
    </w:p>
    <w:p w:rsidR="00000000" w:rsidRDefault="00000000">
      <w:pPr>
        <w:ind w:left="1021"/>
      </w:pPr>
      <w:r>
        <w:t>Этой программой руководит Национальный комитет по СПИДу, который был назначен Кабинетом министров в 1987 году. В 1989 году он был реорганизован и включает широкий круг участников, что отражает многостороннее влияние СПИДа на жизнь общества. Ответственность за повседневное руководство этой программой возложена на Координатора Национальной программы по СПИДу. Осуществлением программы через различные подкомитеты занимаются как высококвалифицированные специалисты, так и непрофессионалы.</w:t>
      </w:r>
    </w:p>
    <w:p w:rsidR="00000000" w:rsidRDefault="00000000">
      <w:pPr>
        <w:numPr>
          <w:ilvl w:val="0"/>
          <w:numId w:val="686"/>
        </w:numPr>
        <w:tabs>
          <w:tab w:val="clear" w:pos="340"/>
          <w:tab w:val="clear" w:pos="680"/>
          <w:tab w:val="clear" w:pos="1040"/>
          <w:tab w:val="left" w:pos="1021"/>
        </w:tabs>
        <w:spacing w:after="0"/>
        <w:ind w:left="1020" w:hanging="340"/>
        <w:rPr>
          <w:b/>
        </w:rPr>
      </w:pPr>
      <w:r>
        <w:rPr>
          <w:b/>
        </w:rPr>
        <w:t>Наблюдение и исследования</w:t>
      </w:r>
    </w:p>
    <w:p w:rsidR="00000000" w:rsidRDefault="00000000">
      <w:pPr>
        <w:ind w:left="1021"/>
      </w:pPr>
      <w:r>
        <w:t>Основные источники наблюдения включают: программу контроля за распространением заболеваний, передаваемых половым путем, Национальную службу переливания крови, где вся кровь тестируется на наличие ВИЧ, Государственную медицинскую лабораторию Тринидада и Карибский эпидемиологический центр. Карибский эпидемиологический исследовательский центр проводит также исследования в отношении ВИЧ/СПИДа.</w:t>
      </w:r>
    </w:p>
    <w:p w:rsidR="00000000" w:rsidRDefault="00000000">
      <w:pPr>
        <w:numPr>
          <w:ilvl w:val="0"/>
          <w:numId w:val="687"/>
        </w:numPr>
        <w:tabs>
          <w:tab w:val="clear" w:pos="340"/>
          <w:tab w:val="clear" w:pos="680"/>
          <w:tab w:val="clear" w:pos="1040"/>
          <w:tab w:val="left" w:pos="1021"/>
        </w:tabs>
        <w:spacing w:after="0"/>
        <w:ind w:left="1020" w:hanging="340"/>
        <w:rPr>
          <w:b/>
        </w:rPr>
      </w:pPr>
      <w:r>
        <w:rPr>
          <w:b/>
        </w:rPr>
        <w:t>Информация и просвещение</w:t>
      </w:r>
    </w:p>
    <w:p w:rsidR="00000000" w:rsidRDefault="00000000">
      <w:pPr>
        <w:ind w:left="1021"/>
      </w:pPr>
      <w:r>
        <w:t>Реализуются программы по просвещению и информированию общественности по проблеме ВИЧ/СПИДа. Эти программы, предназначенные для широких масс населения, реализуются через электронные и печатные средства массовой информации, а в школах проводятся лекции, распространяются плакаты, рекламные листки и т. д.</w:t>
      </w:r>
    </w:p>
    <w:p w:rsidR="00000000" w:rsidRDefault="00000000">
      <w:pPr>
        <w:numPr>
          <w:ilvl w:val="0"/>
          <w:numId w:val="688"/>
        </w:numPr>
        <w:tabs>
          <w:tab w:val="clear" w:pos="340"/>
          <w:tab w:val="clear" w:pos="680"/>
          <w:tab w:val="clear" w:pos="1040"/>
          <w:tab w:val="left" w:pos="1021"/>
        </w:tabs>
        <w:spacing w:after="0"/>
        <w:ind w:left="1020" w:hanging="340"/>
        <w:rPr>
          <w:b/>
        </w:rPr>
      </w:pPr>
      <w:r>
        <w:rPr>
          <w:b/>
        </w:rPr>
        <w:t>Уход за пациентами и их поддержка</w:t>
      </w:r>
    </w:p>
    <w:p w:rsidR="00000000" w:rsidRDefault="00000000">
      <w:pPr>
        <w:ind w:left="1021"/>
      </w:pPr>
      <w:r>
        <w:t>Уход за пациентами и их поддержка осуществляются в больницах до и после тестирования в Консультационном центре Квинз-парк, во время работы горячей линии по СПИДу, путем обеспечения ухода за пациентами в общинных центрах, а также благодаря неправительственной поддержке и проведению консультаций для лиц, инфицированных ВИЧ/СПИДом (например,</w:t>
      </w:r>
      <w:r>
        <w:rPr>
          <w:lang w:val="en-US"/>
        </w:rPr>
        <w:t xml:space="preserve"> The Cyril Ross Nursery</w:t>
      </w:r>
      <w:r>
        <w:t>, где предоставляется уход за детьми, инфицированными ВИЧ/СПИДом).</w:t>
      </w:r>
    </w:p>
    <w:p w:rsidR="00000000" w:rsidRDefault="00000000">
      <w:pPr>
        <w:numPr>
          <w:ilvl w:val="0"/>
          <w:numId w:val="689"/>
        </w:numPr>
        <w:tabs>
          <w:tab w:val="clear" w:pos="340"/>
          <w:tab w:val="clear" w:pos="680"/>
          <w:tab w:val="clear" w:pos="1040"/>
          <w:tab w:val="left" w:pos="1021"/>
        </w:tabs>
        <w:spacing w:after="0"/>
        <w:ind w:left="1020" w:hanging="340"/>
        <w:rPr>
          <w:b/>
        </w:rPr>
      </w:pPr>
      <w:r>
        <w:rPr>
          <w:b/>
        </w:rPr>
        <w:t>Другие меры</w:t>
      </w:r>
    </w:p>
    <w:p w:rsidR="00000000" w:rsidRDefault="00000000">
      <w:pPr>
        <w:ind w:left="1021"/>
      </w:pPr>
      <w:r>
        <w:t>Другие меры – это, в частности, непрерывное обучение медицинских работников и поддержка нескольких неправительственных организаций.</w:t>
      </w:r>
    </w:p>
    <w:p w:rsidR="00000000" w:rsidRDefault="00000000">
      <w:r>
        <w:t>379.</w:t>
      </w:r>
      <w:r>
        <w:tab/>
        <w:t>В Министерстве здравоохранения разработан комплексный план борьбы с ВИЧ/СПИДом. Информация об этой проблеме широко распространяется различными способами, например путем организации семинаров, общественных консультаций, через электронные и печатные средства массовой информации, пресс-конференции, плакаты, листовки и брошюры. Национальная программа борьбы со СПИДом и Отделение медико-санитарного просвещения Министерства работают в тесном сотрудничестве с неправительственными и общинными организациями, чтобы донести информацию до целевых групп населения. Проводятся также специальные совещания для предоставляющих услуги работников здравоохранения, чтобы снизить до минимума риск заражения. Значительную поддержку предоставляет Объединенная программа Организации Объединенных Наций по ВИЧ/СПИДу (ЮНАИДС).</w:t>
      </w:r>
    </w:p>
    <w:p w:rsidR="00000000" w:rsidRDefault="00000000">
      <w:r>
        <w:t>380.</w:t>
      </w:r>
      <w:r>
        <w:tab/>
        <w:t>Меры, гарантирующие отсутствие дискриминации в отношении инфицированных лиц, воплощены с точки зрения  прав человека в национальной политике в области здравоохранения, согласно принципам которой "все мужчины и женщины независимо от их ВИЧ-статуса имеют право определять курс своей репродуктивной жизни и здоровья и иметь доступ к информации и услугам, которые позволяют им защищать свое собственное здоровье и здоровье своей семьи". В том, что касается благополучия детей, решения следует принимать прежде всего с учетом интересов детей. Далее, в настоящее время разрабатывается национальная политика, которая будет определять положение ВИЧ/СПИД-инфицированных на рабочем месте. Следующие программные принципы будут гарантировать отсутствие дискриминации:</w:t>
      </w:r>
    </w:p>
    <w:p w:rsidR="00000000" w:rsidRDefault="00000000">
      <w:pPr>
        <w:tabs>
          <w:tab w:val="clear" w:pos="340"/>
          <w:tab w:val="left" w:pos="1021"/>
        </w:tabs>
        <w:spacing w:after="120"/>
        <w:ind w:left="1021" w:hanging="1021"/>
      </w:pPr>
      <w:r>
        <w:rPr>
          <w:lang w:val="en-US"/>
        </w:rPr>
        <w:tab/>
        <w:t>i</w:t>
      </w:r>
      <w:r>
        <w:t>)</w:t>
      </w:r>
      <w:r>
        <w:tab/>
        <w:t>Защита социальных и юридических прав работников, инфицированных ВИЧ/СПИДом, включая охрану здоровья и безопасность, а также гарантии их трудовых льгот.</w:t>
      </w:r>
    </w:p>
    <w:p w:rsidR="00000000" w:rsidRDefault="00000000">
      <w:pPr>
        <w:tabs>
          <w:tab w:val="clear" w:pos="340"/>
          <w:tab w:val="left" w:pos="1021"/>
        </w:tabs>
        <w:spacing w:after="120"/>
        <w:ind w:left="1021" w:hanging="1021"/>
      </w:pPr>
      <w:r>
        <w:rPr>
          <w:lang w:val="en-US"/>
        </w:rPr>
        <w:tab/>
      </w:r>
      <w:r>
        <w:t>ii)</w:t>
      </w:r>
      <w:r>
        <w:tab/>
        <w:t>Гарантии тестирования на наличие ВИЧ с соблюдением надлежащего контроля и сохранением конфиденциальности медицинской информации.</w:t>
      </w:r>
    </w:p>
    <w:p w:rsidR="00000000" w:rsidRDefault="00000000">
      <w:pPr>
        <w:tabs>
          <w:tab w:val="clear" w:pos="340"/>
          <w:tab w:val="left" w:pos="1021"/>
        </w:tabs>
        <w:ind w:left="1021" w:hanging="1021"/>
      </w:pPr>
      <w:r>
        <w:rPr>
          <w:lang w:val="en-US"/>
        </w:rPr>
        <w:tab/>
        <w:t>iii</w:t>
      </w:r>
      <w:r>
        <w:t>)</w:t>
      </w:r>
      <w:r>
        <w:tab/>
        <w:t>Предоставление консультаций, обеспечение поддержки и информированности сотрудников и их семей, для того чтобы разумный уровень мотивации приводил к удовлетворительным показателям деятельности и производительности.</w:t>
      </w:r>
    </w:p>
    <w:p w:rsidR="00000000" w:rsidRDefault="00000000">
      <w:r>
        <w:t>381.</w:t>
      </w:r>
      <w:r>
        <w:tab/>
        <w:t>В законопроекте об основных условиях труда предусматривается запрещение дискриминации по факту наличия ВИЧ-инфекции и СПИДа. Предлагается включить эти защитные меры, в частности, в отношении практики приема на работу и увольнения, а также условий работы по найму. Более того, в законопроекте предусматривается защита конфиденциальной медицинской информации о лицах, инфицированных ВИЧ или заболевших СПИДом.</w:t>
      </w:r>
    </w:p>
    <w:p w:rsidR="00000000" w:rsidRDefault="00000000">
      <w:r>
        <w:t>382.</w:t>
      </w:r>
      <w:r>
        <w:tab/>
        <w:t>Отделение медико-санитарного просвещения Министерства здравоохранения совместно с Национальной программой борьбы со СПИДом и персоналом первичной медико-санитарной помощи работает в сотрудничестве с неправительственными и общинными организациями и религиозными группами, чтобы подготовить персонал, включая женщин, к уходу за больными СПИДом. Министерство оказывает поддержку лицам, заболевшим СПИДом (</w:t>
      </w:r>
      <w:r>
        <w:rPr>
          <w:lang w:val="en-US"/>
        </w:rPr>
        <w:t>PWA</w:t>
      </w:r>
      <w:r>
        <w:t>), и недавно приняло на себя обязательства поддержать созыв десятой международной конференции по оказанию помощи лицам, заболевших СПИДом, которая должна состояться в Тринидаде и Тобаго в 2001 году. Эту будет первая конференция такого рода, проводящаяся в Карибском регионе.</w:t>
      </w:r>
    </w:p>
    <w:p w:rsidR="00000000" w:rsidRDefault="00000000">
      <w:r>
        <w:t>383.</w:t>
      </w:r>
      <w:r>
        <w:tab/>
        <w:t>В Тринидаде и Тобаго действует горячая линия по вопросам, касающимся СПИДа, по которой предоставляются консультации для населения и направления к специалистам с 8 час. утра до 8 час. вечера. Это некоммерческая, анонимная организация, в которой работают добровольцы, за исключением одного штатного сотрудника. Добровольцы после набора получают базовую подготовку по проведению консультаций и затем проходят интенсивное обучение на семинарах один раз каждые три месяца. Эти семинары посвящены в основном выработке умения выслушивать позвонившего. Приблизительно 50 зарегистрированных добровольцев работают по мере появления у них свободного времени или в течение одного-двух часов в любой день. По данным сотрудников, в Тринидаде и Тобаго еще не привыкли к работе на добровольной основе и поэтому на звонки в каждый данный период отвечают только примерно один-два добровольца. В спокойный день по горячей линии поступает приблизительно 10 звонков, в более загруженные дни – примерно 25 звонков. Добровольный консультант направляет звонивших к практикующим врачам, не возражающим против обследования ВИЧ/СПИД-инфицированных, а также в государственные медицинские учреждения, которые предоставляют уход и тестирование. В Тринидаде и Тобаго функционируют три учреждения, которые предлагают бесплатное тестирование на ВИЧ/СПИД; результаты тестов конфиденциальны. Для обеспечения надлежащего функционирования служб горячей линии требуется 200 000 долл. ТТ в год, но в последнее время линия действовала, получая только 62 000 долл. ТТ на расходы. Министерство здравоохранения предоставило помещение и оборудование, а все остальные средства поступают только благодаря тому, что персонал называет "письмами с просьбой о вспомоществовании". Это письма, которые рассылаются домохозяйствам всей страны с просьбой об оказании финансовой поддержки со стороны широких слоев населения.</w:t>
      </w:r>
    </w:p>
    <w:p w:rsidR="00000000" w:rsidRDefault="00000000">
      <w:r>
        <w:t>384.</w:t>
      </w:r>
      <w:r>
        <w:tab/>
        <w:t>При поддержке Фонда медицинских исследований Министерство здравоохранения инициировало широкую общенациональную программу, адресованную беременным женщинам, инфицированным ВИЧ/СПИДом. Цель программы состоит в снижении числа случаев передачи вируса/инфекции от матери к ребенку. Основными элементами программы являются обследование, консультирование, лечение и мониторинг.</w:t>
      </w:r>
    </w:p>
    <w:p w:rsidR="00000000" w:rsidRDefault="00000000">
      <w:r>
        <w:t>385.</w:t>
      </w:r>
      <w:r>
        <w:tab/>
        <w:t xml:space="preserve">Далее приводятся некоторые другие результаты исследования, проведенного </w:t>
      </w:r>
      <w:r>
        <w:rPr>
          <w:lang w:val="en-US"/>
        </w:rPr>
        <w:t>FPATT</w:t>
      </w:r>
      <w:r>
        <w:t>:</w:t>
      </w:r>
    </w:p>
    <w:p w:rsidR="00000000" w:rsidRDefault="00000000">
      <w:pPr>
        <w:numPr>
          <w:ilvl w:val="0"/>
          <w:numId w:val="690"/>
        </w:numPr>
        <w:tabs>
          <w:tab w:val="clear" w:pos="700"/>
          <w:tab w:val="left" w:pos="680"/>
        </w:tabs>
        <w:rPr>
          <w:i/>
        </w:rPr>
      </w:pPr>
      <w:r>
        <w:rPr>
          <w:i/>
        </w:rPr>
        <w:t>Мужчины чаще вступают в сексуальные взаимоотношения, впервые вступают в половые отношения в более раннем возрасте и имеют большее число сексуальных партнеров.</w:t>
      </w:r>
    </w:p>
    <w:p w:rsidR="00000000" w:rsidRDefault="00000000">
      <w:pPr>
        <w:numPr>
          <w:ilvl w:val="0"/>
          <w:numId w:val="690"/>
        </w:numPr>
        <w:tabs>
          <w:tab w:val="clear" w:pos="700"/>
          <w:tab w:val="left" w:pos="680"/>
        </w:tabs>
        <w:rPr>
          <w:i/>
        </w:rPr>
      </w:pPr>
      <w:r>
        <w:rPr>
          <w:i/>
        </w:rPr>
        <w:t>Средний возраст вступления в сексуальные отношения для всей выборки составляет 15,2 года для девочек и 13,1 года для мальчиков (общая средняя цифра – 14 лет).Этот результат повторяет данные ряда проведенных в странах Карибского бассейна исследований, которые выявили более ранние сроки вступления в сексуальные взаимоотношения мальчиков.</w:t>
      </w:r>
    </w:p>
    <w:p w:rsidR="00000000" w:rsidRDefault="00000000">
      <w:pPr>
        <w:numPr>
          <w:ilvl w:val="0"/>
          <w:numId w:val="690"/>
        </w:numPr>
        <w:tabs>
          <w:tab w:val="clear" w:pos="700"/>
          <w:tab w:val="left" w:pos="680"/>
        </w:tabs>
        <w:rPr>
          <w:i/>
        </w:rPr>
      </w:pPr>
      <w:r>
        <w:rPr>
          <w:i/>
        </w:rPr>
        <w:t>Между мужчинами и женщинами существует значительное различие в уровне знаний о методах контрацепции, методах профилактики ВИЧ/СПИДа и о других проблемах, относящихся к сексуальному и репродуктивному здоровью. Женщины обычно лучше информированы, чем мужчины.</w:t>
      </w:r>
    </w:p>
    <w:p w:rsidR="00000000" w:rsidRDefault="00000000">
      <w:pPr>
        <w:numPr>
          <w:ilvl w:val="0"/>
          <w:numId w:val="690"/>
        </w:numPr>
        <w:tabs>
          <w:tab w:val="clear" w:pos="700"/>
          <w:tab w:val="left" w:pos="680"/>
        </w:tabs>
        <w:rPr>
          <w:i/>
        </w:rPr>
      </w:pPr>
      <w:r>
        <w:rPr>
          <w:i/>
        </w:rPr>
        <w:t>Создается впечатление, что медико-санитарное просвещение по вопросам сексуального поведения не отвечает потребностям молодых людей.</w:t>
      </w:r>
    </w:p>
    <w:p w:rsidR="00000000" w:rsidRDefault="00000000">
      <w:pPr>
        <w:numPr>
          <w:ilvl w:val="0"/>
          <w:numId w:val="690"/>
        </w:numPr>
        <w:tabs>
          <w:tab w:val="clear" w:pos="700"/>
          <w:tab w:val="left" w:pos="680"/>
        </w:tabs>
        <w:rPr>
          <w:i/>
        </w:rPr>
      </w:pPr>
      <w:r>
        <w:rPr>
          <w:i/>
        </w:rPr>
        <w:t>Мальчики в более раннем возрасте, чем девочки, вступают в сексуальные отношения, но среди девочек-подростков уровень распространенности ВИЧ выше. Это объясняется главным образом тем фактом, что женщины предпочитают вступать в половые отношения с более взрослыми мужчинами, которые часто имеют более одного сексуального партнера и более длительный сексуальный опыт.</w:t>
      </w:r>
    </w:p>
    <w:p w:rsidR="00000000" w:rsidRDefault="00000000">
      <w:pPr>
        <w:numPr>
          <w:ilvl w:val="0"/>
          <w:numId w:val="690"/>
        </w:numPr>
        <w:tabs>
          <w:tab w:val="clear" w:pos="700"/>
          <w:tab w:val="left" w:pos="680"/>
        </w:tabs>
        <w:rPr>
          <w:i/>
        </w:rPr>
      </w:pPr>
      <w:r>
        <w:rPr>
          <w:i/>
        </w:rPr>
        <w:t>Приблизительно треть респондентов полагают, что основным источником заражения СПИДом являются туристы и что это связано с более ранним возрастом первого вступления в половые отношения. Еще одна треть (37 процентов) полагают, что туристы эксплуатируют молодежь Тобаго.</w:t>
      </w:r>
    </w:p>
    <w:p w:rsidR="00000000" w:rsidRDefault="00000000">
      <w:pPr>
        <w:numPr>
          <w:ilvl w:val="0"/>
          <w:numId w:val="690"/>
        </w:numPr>
        <w:tabs>
          <w:tab w:val="clear" w:pos="700"/>
          <w:tab w:val="left" w:pos="680"/>
        </w:tabs>
        <w:rPr>
          <w:i/>
        </w:rPr>
      </w:pPr>
      <w:r>
        <w:rPr>
          <w:i/>
        </w:rPr>
        <w:t>Безработица, низкооплачиваемая работа и праздность, вместе взятые, создают благоприятные условия для появления апатии и фатализма в умонастроениях молодых людей, особенно мужчин.</w:t>
      </w:r>
    </w:p>
    <w:p w:rsidR="00000000" w:rsidRDefault="00000000">
      <w:pPr>
        <w:numPr>
          <w:ilvl w:val="0"/>
          <w:numId w:val="690"/>
        </w:numPr>
        <w:tabs>
          <w:tab w:val="clear" w:pos="700"/>
          <w:tab w:val="left" w:pos="680"/>
        </w:tabs>
        <w:rPr>
          <w:i/>
        </w:rPr>
      </w:pPr>
      <w:r>
        <w:rPr>
          <w:i/>
        </w:rPr>
        <w:t>Влиятельные члены общества выявили в качестве основных проблем молодежи, особенно в области коммуникации и поддержки, недостаточное внимание со стороны родителей и отсутствие надлежащего руководства и воспитания. Отсутствие воспитания, по-видимому, стало одной из причин рискованного сексуального поведения и употребления наркотиков.</w:t>
      </w:r>
    </w:p>
    <w:p w:rsidR="00000000" w:rsidRDefault="00000000">
      <w:pPr>
        <w:numPr>
          <w:ilvl w:val="0"/>
          <w:numId w:val="690"/>
        </w:numPr>
        <w:tabs>
          <w:tab w:val="clear" w:pos="700"/>
          <w:tab w:val="left" w:pos="680"/>
        </w:tabs>
        <w:rPr>
          <w:i/>
        </w:rPr>
      </w:pPr>
      <w:r>
        <w:rPr>
          <w:i/>
        </w:rPr>
        <w:t>Из-за распространенной в обществе "культуры умолчания" молодые люди чувствуют, что им не с кем доверительно поговорить о своих личных проблемах, сексе, сексуальности и ВИЧ/СПИДе, хотя отдельные специалисты заработали репутацию профессионалов, заслуживающих доверия. Несмотря на то что существует целый ряд учреждений и служб для молодежи, очень немногие из них завоевали признание и доверие. Молодые люди пользуются кризисной горячей линией Тобаго, поскольку им не нужно называть свое имя и не приходится лично сталкиваться с консультантом.</w:t>
      </w:r>
    </w:p>
    <w:p w:rsidR="00000000" w:rsidRDefault="00000000">
      <w:pPr>
        <w:numPr>
          <w:ilvl w:val="0"/>
          <w:numId w:val="690"/>
        </w:numPr>
        <w:tabs>
          <w:tab w:val="clear" w:pos="700"/>
          <w:tab w:val="left" w:pos="680"/>
        </w:tabs>
      </w:pPr>
      <w:r>
        <w:rPr>
          <w:i/>
        </w:rPr>
        <w:t>Молодые люди чувствуют, что некоторые медицинские работники сознательно затрудняют возможность получения тех услуг, в которых они нуждаются. Некоторые, по-видимому, предпочитают читать им лекции, а не обслуживать их. Бывают случаи, когда молодым людям говорят, что они слишком молоды, чтобы вступать в половые отношения и что они должны прийти со своими родителями, чтобы получить какую-либо медицинскую помощь.</w:t>
      </w:r>
    </w:p>
    <w:p w:rsidR="00000000" w:rsidRDefault="00000000">
      <w:r>
        <w:t xml:space="preserve">Сравнение результатов исследования, проведенного </w:t>
      </w:r>
      <w:r>
        <w:rPr>
          <w:lang w:val="en-US"/>
        </w:rPr>
        <w:t>FPATT</w:t>
      </w:r>
      <w:r>
        <w:t>, с результатами двух других обследований молодых людей, проведенных на Тобаго и в Токо, Тринидад, показывает, что эти результаты являются "достаточно достоверными и надежными для Тобаго и в меньшей степени для Тринидада и Тобаго".</w:t>
      </w:r>
    </w:p>
    <w:p w:rsidR="00000000" w:rsidRDefault="00000000">
      <w:r>
        <w:t>386.</w:t>
      </w:r>
      <w:r>
        <w:tab/>
        <w:t xml:space="preserve">По данным доклада </w:t>
      </w:r>
      <w:r>
        <w:rPr>
          <w:lang w:val="en-US"/>
        </w:rPr>
        <w:t>FPATT,</w:t>
      </w:r>
      <w:r>
        <w:t xml:space="preserve"> следующие внешние факторы оказывают существенное влияние на сексуальное поведение в Тринидаде и Тобаго:</w:t>
      </w:r>
    </w:p>
    <w:p w:rsidR="00000000" w:rsidRDefault="00000000">
      <w:pPr>
        <w:numPr>
          <w:ilvl w:val="0"/>
          <w:numId w:val="691"/>
        </w:numPr>
        <w:spacing w:after="0"/>
      </w:pPr>
      <w:r>
        <w:t>Гендерные роли</w:t>
      </w:r>
    </w:p>
    <w:p w:rsidR="00000000" w:rsidRDefault="00000000">
      <w:pPr>
        <w:numPr>
          <w:ilvl w:val="0"/>
          <w:numId w:val="691"/>
        </w:numPr>
        <w:spacing w:after="0"/>
      </w:pPr>
      <w:r>
        <w:t>Культурные представления о способах передачи инфекции и профилактике</w:t>
      </w:r>
    </w:p>
    <w:p w:rsidR="00000000" w:rsidRDefault="00000000">
      <w:pPr>
        <w:numPr>
          <w:ilvl w:val="0"/>
          <w:numId w:val="691"/>
        </w:numPr>
        <w:spacing w:after="0"/>
      </w:pPr>
      <w:r>
        <w:t>Точность знаний</w:t>
      </w:r>
    </w:p>
    <w:p w:rsidR="00000000" w:rsidRDefault="00000000">
      <w:pPr>
        <w:numPr>
          <w:ilvl w:val="0"/>
          <w:numId w:val="691"/>
        </w:numPr>
        <w:spacing w:after="0"/>
      </w:pPr>
      <w:r>
        <w:t xml:space="preserve">Материалистическая культура </w:t>
      </w:r>
    </w:p>
    <w:p w:rsidR="00000000" w:rsidRDefault="00000000">
      <w:pPr>
        <w:numPr>
          <w:ilvl w:val="0"/>
          <w:numId w:val="691"/>
        </w:numPr>
        <w:spacing w:after="0"/>
      </w:pPr>
      <w:r>
        <w:t>Взаимоотношения с родителями, ровесниками и людьми более старшего возраста</w:t>
      </w:r>
    </w:p>
    <w:p w:rsidR="00000000" w:rsidRDefault="00000000">
      <w:pPr>
        <w:numPr>
          <w:ilvl w:val="0"/>
          <w:numId w:val="691"/>
        </w:numPr>
        <w:spacing w:after="0"/>
      </w:pPr>
      <w:r>
        <w:t>Отторжение обществом больных, включая больных ВИЧ/СПИДом.</w:t>
      </w:r>
    </w:p>
    <w:p w:rsidR="00000000" w:rsidRDefault="00000000">
      <w:pPr>
        <w:numPr>
          <w:ilvl w:val="0"/>
          <w:numId w:val="691"/>
        </w:numPr>
        <w:spacing w:after="0"/>
      </w:pPr>
      <w:r>
        <w:t>Доступность презервативов</w:t>
      </w:r>
    </w:p>
    <w:p w:rsidR="00000000" w:rsidRDefault="00000000">
      <w:pPr>
        <w:numPr>
          <w:ilvl w:val="0"/>
          <w:numId w:val="691"/>
        </w:numPr>
        <w:spacing w:after="0"/>
      </w:pPr>
      <w:r>
        <w:t>Доступ к медико-санитарной помощи</w:t>
      </w:r>
    </w:p>
    <w:p w:rsidR="00000000" w:rsidRDefault="00000000">
      <w:pPr>
        <w:numPr>
          <w:ilvl w:val="0"/>
          <w:numId w:val="691"/>
        </w:numPr>
      </w:pPr>
      <w:r>
        <w:t>Отсутствие конфиденциальности при пользовании медицинскими услугами и в других областях</w:t>
      </w:r>
    </w:p>
    <w:p w:rsidR="00000000" w:rsidRDefault="00000000">
      <w:r>
        <w:t>387.</w:t>
      </w:r>
      <w:r>
        <w:tab/>
        <w:t xml:space="preserve">Просветительская работа по вопросам секса, специально ориентированная на молодых людей, в том виде, в каком она проводилась неправительственными организациями на Тобаго, носила случайный и нерегулярный характер. Более систематические санитарно-просветительские кампании проводились </w:t>
      </w:r>
      <w:r>
        <w:rPr>
          <w:lang w:val="en-US"/>
        </w:rPr>
        <w:t>FPATT</w:t>
      </w:r>
      <w:r>
        <w:t>, которая занималась санитарным просвещением и распространением информации о проблемах семейной жизни в школах. Однако такой работой не были охвачены проститутки, мужчины-гомосексуалисты и лица, употребляющие незаконно распространяемые наркотики. Основными неправительственными организациями, внесшими вклад в просвещение, обслуживание, поддержку и профилактику в этом вопросе, были Общество борьбы со СПИДом Тобаго, Группа молодых полицейских, Общинная полиция, Анонимные алкоголики, Анонимные наркоманы и Группа действий Скарборо и окрестностей.</w:t>
      </w:r>
    </w:p>
    <w:p w:rsidR="00000000" w:rsidRDefault="00000000">
      <w:r>
        <w:t>388.</w:t>
      </w:r>
      <w:r>
        <w:tab/>
        <w:t>Информация о несчастных случаях на производстве и о профессиональных заболеваниях среди женщин отсутствует. В имеющихся данных о несчастных случаях на производстве и о профессиональных заболеваниях нет разбивки по полу.</w:t>
      </w:r>
    </w:p>
    <w:p w:rsidR="00000000" w:rsidRDefault="00000000">
      <w:pPr>
        <w:pStyle w:val="Heading3"/>
      </w:pPr>
      <w:r>
        <w:t>Статья 13</w:t>
      </w:r>
    </w:p>
    <w:p w:rsidR="00000000" w:rsidRDefault="00000000">
      <w:r>
        <w:t>389.</w:t>
      </w:r>
      <w:r>
        <w:tab/>
        <w:t>Тринидад и Тобаго признает (де-факто) несколько определений семьи, включая следующие:</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59"/>
        <w:gridCol w:w="5557"/>
      </w:tblGrid>
      <w:tr w:rsidR="00000000">
        <w:tblPrEx>
          <w:tblCellMar>
            <w:top w:w="0" w:type="dxa"/>
            <w:bottom w:w="0" w:type="dxa"/>
          </w:tblCellMar>
        </w:tblPrEx>
        <w:tc>
          <w:tcPr>
            <w:tcW w:w="3459" w:type="dxa"/>
          </w:tcPr>
          <w:p w:rsidR="00000000" w:rsidRDefault="00000000">
            <w:pPr>
              <w:spacing w:before="40" w:after="0" w:line="240" w:lineRule="auto"/>
              <w:jc w:val="center"/>
              <w:rPr>
                <w:rFonts w:ascii="Arial" w:hAnsi="Arial"/>
                <w:sz w:val="16"/>
              </w:rPr>
            </w:pPr>
            <w:r>
              <w:rPr>
                <w:rFonts w:ascii="Arial" w:hAnsi="Arial"/>
                <w:sz w:val="16"/>
              </w:rPr>
              <w:t>ТИП СЕМЬИ</w:t>
            </w:r>
          </w:p>
        </w:tc>
        <w:tc>
          <w:tcPr>
            <w:tcW w:w="5557" w:type="dxa"/>
          </w:tcPr>
          <w:p w:rsidR="00000000" w:rsidRDefault="00000000">
            <w:pPr>
              <w:spacing w:before="40" w:after="0" w:line="240" w:lineRule="auto"/>
              <w:jc w:val="center"/>
              <w:rPr>
                <w:rFonts w:ascii="Arial" w:hAnsi="Arial"/>
                <w:sz w:val="16"/>
              </w:rPr>
            </w:pPr>
            <w:r>
              <w:rPr>
                <w:rFonts w:ascii="Arial" w:hAnsi="Arial"/>
                <w:sz w:val="16"/>
              </w:rPr>
              <w:t>ОПРЕДЕЛЕНИЕ</w:t>
            </w:r>
          </w:p>
        </w:tc>
      </w:tr>
      <w:tr w:rsidR="00000000">
        <w:tblPrEx>
          <w:tblCellMar>
            <w:top w:w="0" w:type="dxa"/>
            <w:bottom w:w="0" w:type="dxa"/>
          </w:tblCellMar>
        </w:tblPrEx>
        <w:tc>
          <w:tcPr>
            <w:tcW w:w="3459" w:type="dxa"/>
          </w:tcPr>
          <w:p w:rsidR="00000000" w:rsidRDefault="00000000">
            <w:pPr>
              <w:spacing w:before="20" w:after="0" w:line="240" w:lineRule="auto"/>
              <w:jc w:val="left"/>
              <w:rPr>
                <w:rFonts w:ascii="Arial" w:hAnsi="Arial"/>
                <w:sz w:val="16"/>
              </w:rPr>
            </w:pPr>
            <w:r>
              <w:rPr>
                <w:rFonts w:ascii="Arial" w:hAnsi="Arial"/>
                <w:sz w:val="16"/>
              </w:rPr>
              <w:t>Расширенная семья</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lang w:val="en-US"/>
              </w:rPr>
              <w:tab/>
            </w:r>
            <w:r>
              <w:rPr>
                <w:rFonts w:ascii="Arial" w:hAnsi="Arial"/>
                <w:sz w:val="16"/>
              </w:rPr>
              <w:t>Семья, состоящая из нескольких поколений</w:t>
            </w:r>
          </w:p>
        </w:tc>
      </w:tr>
      <w:tr w:rsidR="00000000">
        <w:tblPrEx>
          <w:tblCellMar>
            <w:top w:w="0" w:type="dxa"/>
            <w:bottom w:w="0" w:type="dxa"/>
          </w:tblCellMar>
        </w:tblPrEx>
        <w:tc>
          <w:tcPr>
            <w:tcW w:w="3459" w:type="dxa"/>
          </w:tcPr>
          <w:p w:rsidR="00000000" w:rsidRDefault="00000000">
            <w:pPr>
              <w:spacing w:before="20" w:after="0" w:line="240" w:lineRule="auto"/>
              <w:jc w:val="left"/>
              <w:rPr>
                <w:rFonts w:ascii="Arial" w:hAnsi="Arial"/>
                <w:sz w:val="16"/>
              </w:rPr>
            </w:pPr>
            <w:r>
              <w:rPr>
                <w:rFonts w:ascii="Arial" w:hAnsi="Arial"/>
                <w:sz w:val="16"/>
              </w:rPr>
              <w:t>Нуклеарная семья</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lang w:val="en-US"/>
              </w:rPr>
              <w:tab/>
            </w:r>
            <w:r>
              <w:rPr>
                <w:rFonts w:ascii="Arial" w:hAnsi="Arial"/>
                <w:sz w:val="16"/>
              </w:rPr>
              <w:t>Семья, состоящая из матери, отца и детей (юридически зарегистрированных либо живущих совместно по общему праву)</w:t>
            </w:r>
          </w:p>
        </w:tc>
      </w:tr>
      <w:tr w:rsidR="00000000">
        <w:tblPrEx>
          <w:tblCellMar>
            <w:top w:w="0" w:type="dxa"/>
            <w:bottom w:w="0" w:type="dxa"/>
          </w:tblCellMar>
        </w:tblPrEx>
        <w:tc>
          <w:tcPr>
            <w:tcW w:w="3459" w:type="dxa"/>
          </w:tcPr>
          <w:p w:rsidR="00000000" w:rsidRDefault="00000000">
            <w:pPr>
              <w:spacing w:before="20" w:after="0" w:line="240" w:lineRule="auto"/>
              <w:jc w:val="left"/>
              <w:rPr>
                <w:rFonts w:ascii="Arial" w:hAnsi="Arial"/>
                <w:sz w:val="16"/>
              </w:rPr>
            </w:pPr>
            <w:r>
              <w:rPr>
                <w:rFonts w:ascii="Arial" w:hAnsi="Arial"/>
                <w:sz w:val="16"/>
              </w:rPr>
              <w:t>Семья, возглавляемая одиноким родителем</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lang w:val="en-US"/>
              </w:rPr>
              <w:tab/>
            </w:r>
            <w:r>
              <w:rPr>
                <w:rFonts w:ascii="Arial" w:hAnsi="Arial"/>
                <w:sz w:val="16"/>
              </w:rPr>
              <w:t>Одинокий родитель во главе домохозяйства, на попечении которого находятся дети</w:t>
            </w:r>
          </w:p>
        </w:tc>
      </w:tr>
      <w:tr w:rsidR="00000000">
        <w:tblPrEx>
          <w:tblCellMar>
            <w:top w:w="0" w:type="dxa"/>
            <w:bottom w:w="0" w:type="dxa"/>
          </w:tblCellMar>
        </w:tblPrEx>
        <w:tc>
          <w:tcPr>
            <w:tcW w:w="3459" w:type="dxa"/>
          </w:tcPr>
          <w:p w:rsidR="00000000" w:rsidRDefault="00000000">
            <w:pPr>
              <w:spacing w:before="20" w:after="0" w:line="240" w:lineRule="auto"/>
              <w:rPr>
                <w:rFonts w:ascii="Arial" w:hAnsi="Arial"/>
                <w:sz w:val="16"/>
              </w:rPr>
            </w:pPr>
            <w:r>
              <w:rPr>
                <w:rFonts w:ascii="Arial" w:hAnsi="Arial"/>
                <w:sz w:val="16"/>
              </w:rPr>
              <w:t>Семья без родителей</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lang w:val="en-US"/>
              </w:rPr>
              <w:tab/>
            </w:r>
            <w:r>
              <w:rPr>
                <w:rFonts w:ascii="Arial" w:hAnsi="Arial"/>
                <w:sz w:val="16"/>
              </w:rPr>
              <w:t>Семья, во главе которой нет взрослых. В основном это относится к тем случаям, когда взрослые, обеспечивавшие уход за детьми, переезжают в другие районы Тринидада и Тобаго, либо эмигрируют, либо страдают от психических заболеваний или злоупотребления наркотиками</w:t>
            </w:r>
          </w:p>
        </w:tc>
      </w:tr>
    </w:tbl>
    <w:p w:rsidR="00000000" w:rsidRDefault="00000000">
      <w:pPr>
        <w:spacing w:after="0"/>
      </w:pPr>
    </w:p>
    <w:p w:rsidR="00000000" w:rsidRDefault="00000000">
      <w:r>
        <w:t>При распределении льгот Министерство социального и общинного развития признает существование всех вышеупомянутых типов семьи.</w:t>
      </w:r>
    </w:p>
    <w:p w:rsidR="00000000" w:rsidRDefault="00000000">
      <w:r>
        <w:t>390.</w:t>
      </w:r>
      <w:r>
        <w:tab/>
        <w:t>Ниже приводится перечень средств, используемых при оказании помощи и защиты семьям.</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59"/>
        <w:gridCol w:w="5557"/>
      </w:tblGrid>
      <w:tr w:rsidR="00000000">
        <w:tblPrEx>
          <w:tblCellMar>
            <w:top w:w="0" w:type="dxa"/>
            <w:bottom w:w="0" w:type="dxa"/>
          </w:tblCellMar>
        </w:tblPrEx>
        <w:tc>
          <w:tcPr>
            <w:tcW w:w="3459" w:type="dxa"/>
          </w:tcPr>
          <w:p w:rsidR="00000000" w:rsidRDefault="00000000">
            <w:pPr>
              <w:spacing w:before="40" w:after="0" w:line="240" w:lineRule="auto"/>
              <w:jc w:val="center"/>
              <w:rPr>
                <w:rFonts w:ascii="Arial" w:hAnsi="Arial"/>
                <w:sz w:val="16"/>
              </w:rPr>
            </w:pPr>
            <w:r>
              <w:rPr>
                <w:rFonts w:ascii="Arial" w:hAnsi="Arial"/>
                <w:sz w:val="16"/>
              </w:rPr>
              <w:t>ПОМОЩЬ</w:t>
            </w:r>
          </w:p>
        </w:tc>
        <w:tc>
          <w:tcPr>
            <w:tcW w:w="5557" w:type="dxa"/>
          </w:tcPr>
          <w:p w:rsidR="00000000" w:rsidRDefault="00000000">
            <w:pPr>
              <w:spacing w:before="40" w:after="0" w:line="240" w:lineRule="auto"/>
              <w:jc w:val="center"/>
              <w:rPr>
                <w:rFonts w:ascii="Arial" w:hAnsi="Arial"/>
                <w:sz w:val="16"/>
              </w:rPr>
            </w:pPr>
            <w:r>
              <w:rPr>
                <w:rFonts w:ascii="Arial" w:hAnsi="Arial"/>
                <w:sz w:val="16"/>
              </w:rPr>
              <w:t>ОПИСАНИЕ</w:t>
            </w:r>
          </w:p>
        </w:tc>
      </w:tr>
      <w:tr w:rsidR="00000000">
        <w:tblPrEx>
          <w:tblCellMar>
            <w:top w:w="0" w:type="dxa"/>
            <w:bottom w:w="0" w:type="dxa"/>
          </w:tblCellMar>
        </w:tblPrEx>
        <w:tc>
          <w:tcPr>
            <w:tcW w:w="3459" w:type="dxa"/>
          </w:tcPr>
          <w:p w:rsidR="00000000" w:rsidRDefault="00000000">
            <w:pPr>
              <w:spacing w:before="20" w:after="0" w:line="240" w:lineRule="auto"/>
              <w:rPr>
                <w:rFonts w:ascii="Arial" w:hAnsi="Arial"/>
                <w:sz w:val="16"/>
              </w:rPr>
            </w:pPr>
            <w:r>
              <w:rPr>
                <w:rFonts w:ascii="Arial" w:hAnsi="Arial"/>
                <w:sz w:val="16"/>
              </w:rPr>
              <w:t>Официальная помощь</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Национальные службы по делам семьи (Отдел надзора) предлагают услуги по предоставлению консультаций, особенно в отношении насилия в семье и преступности среди несовершеннолетних</w:t>
            </w:r>
          </w:p>
        </w:tc>
      </w:tr>
      <w:tr w:rsidR="00000000">
        <w:tblPrEx>
          <w:tblCellMar>
            <w:top w:w="0" w:type="dxa"/>
            <w:bottom w:w="0" w:type="dxa"/>
          </w:tblCellMar>
        </w:tblPrEx>
        <w:tc>
          <w:tcPr>
            <w:tcW w:w="3459" w:type="dxa"/>
          </w:tcPr>
          <w:p w:rsidR="00000000" w:rsidRDefault="00000000">
            <w:pPr>
              <w:spacing w:before="20" w:after="0" w:line="240" w:lineRule="auto"/>
              <w:rPr>
                <w:rFonts w:ascii="Arial" w:hAnsi="Arial"/>
                <w:sz w:val="16"/>
              </w:rPr>
            </w:pPr>
            <w:r>
              <w:rPr>
                <w:rFonts w:ascii="Arial" w:hAnsi="Arial"/>
                <w:sz w:val="16"/>
              </w:rPr>
              <w:t>Финансовая помощь</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Финансовая помощь предоставляется в виде дотаций или субсидий, предлагаемых Отделом социального обеспечения Министерства социального и общинного развития</w:t>
            </w:r>
          </w:p>
        </w:tc>
      </w:tr>
      <w:tr w:rsidR="00000000">
        <w:tblPrEx>
          <w:tblCellMar>
            <w:top w:w="0" w:type="dxa"/>
            <w:bottom w:w="0" w:type="dxa"/>
          </w:tblCellMar>
        </w:tblPrEx>
        <w:tc>
          <w:tcPr>
            <w:tcW w:w="3459" w:type="dxa"/>
          </w:tcPr>
          <w:p w:rsidR="00000000" w:rsidRDefault="00000000">
            <w:pPr>
              <w:spacing w:before="20" w:after="0" w:line="240" w:lineRule="auto"/>
              <w:rPr>
                <w:rFonts w:ascii="Arial" w:hAnsi="Arial"/>
                <w:sz w:val="16"/>
              </w:rPr>
            </w:pPr>
            <w:r>
              <w:rPr>
                <w:rFonts w:ascii="Arial" w:hAnsi="Arial"/>
                <w:sz w:val="16"/>
              </w:rPr>
              <w:t>Материальная помощь</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 xml:space="preserve">Отделение </w:t>
            </w:r>
            <w:r>
              <w:rPr>
                <w:rFonts w:ascii="Arial" w:hAnsi="Arial"/>
                <w:sz w:val="16"/>
                <w:lang w:val="en-US"/>
              </w:rPr>
              <w:t>SHARE</w:t>
            </w:r>
            <w:r>
              <w:rPr>
                <w:rFonts w:ascii="Arial" w:hAnsi="Arial"/>
                <w:sz w:val="16"/>
              </w:rPr>
              <w:t xml:space="preserve"> Министерства социального и общинного развития предоставляет продуктовые наборы</w:t>
            </w:r>
          </w:p>
        </w:tc>
      </w:tr>
      <w:tr w:rsidR="00000000">
        <w:tblPrEx>
          <w:tblCellMar>
            <w:top w:w="0" w:type="dxa"/>
            <w:bottom w:w="0" w:type="dxa"/>
          </w:tblCellMar>
        </w:tblPrEx>
        <w:tc>
          <w:tcPr>
            <w:tcW w:w="3459" w:type="dxa"/>
          </w:tcPr>
          <w:p w:rsidR="00000000" w:rsidRDefault="00000000">
            <w:pPr>
              <w:spacing w:before="20" w:after="0" w:line="240" w:lineRule="auto"/>
              <w:rPr>
                <w:rFonts w:ascii="Arial" w:hAnsi="Arial"/>
                <w:sz w:val="16"/>
              </w:rPr>
            </w:pPr>
            <w:r>
              <w:rPr>
                <w:rFonts w:ascii="Arial" w:hAnsi="Arial"/>
                <w:sz w:val="16"/>
              </w:rPr>
              <w:t>Усыновление и воспитание чужих детей</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Министерство социального и общинного развития оказывает содействие в этом вопросе</w:t>
            </w:r>
          </w:p>
        </w:tc>
      </w:tr>
      <w:tr w:rsidR="00000000">
        <w:tblPrEx>
          <w:tblCellMar>
            <w:top w:w="0" w:type="dxa"/>
            <w:bottom w:w="0" w:type="dxa"/>
          </w:tblCellMar>
        </w:tblPrEx>
        <w:tc>
          <w:tcPr>
            <w:tcW w:w="3459" w:type="dxa"/>
          </w:tcPr>
          <w:p w:rsidR="00000000" w:rsidRDefault="00000000">
            <w:pPr>
              <w:spacing w:before="20" w:after="0" w:line="240" w:lineRule="auto"/>
              <w:rPr>
                <w:rFonts w:ascii="Arial" w:hAnsi="Arial"/>
                <w:sz w:val="16"/>
              </w:rPr>
            </w:pPr>
            <w:r>
              <w:rPr>
                <w:rFonts w:ascii="Arial" w:hAnsi="Arial"/>
                <w:sz w:val="16"/>
              </w:rPr>
              <w:t>Защита и юридические услуги</w:t>
            </w:r>
          </w:p>
        </w:tc>
        <w:tc>
          <w:tcPr>
            <w:tcW w:w="5557" w:type="dxa"/>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Министерство юстиции, Министерство национальной безопасности и Полицейская служба предоставляют защиту и юридические услуги</w:t>
            </w:r>
          </w:p>
        </w:tc>
      </w:tr>
      <w:tr w:rsidR="00000000">
        <w:tblPrEx>
          <w:tblCellMar>
            <w:top w:w="0" w:type="dxa"/>
            <w:bottom w:w="0" w:type="dxa"/>
          </w:tblCellMar>
        </w:tblPrEx>
        <w:tc>
          <w:tcPr>
            <w:tcW w:w="3459" w:type="dxa"/>
            <w:tcBorders>
              <w:bottom w:val="nil"/>
            </w:tcBorders>
          </w:tcPr>
          <w:p w:rsidR="00000000" w:rsidRDefault="00000000">
            <w:pPr>
              <w:spacing w:before="20" w:after="0" w:line="240" w:lineRule="auto"/>
              <w:rPr>
                <w:rFonts w:ascii="Arial" w:hAnsi="Arial"/>
                <w:sz w:val="16"/>
              </w:rPr>
            </w:pPr>
            <w:r>
              <w:rPr>
                <w:rFonts w:ascii="Arial" w:hAnsi="Arial"/>
                <w:sz w:val="16"/>
              </w:rPr>
              <w:t>Неофициальные услуги</w:t>
            </w:r>
          </w:p>
        </w:tc>
        <w:tc>
          <w:tcPr>
            <w:tcW w:w="5557" w:type="dxa"/>
            <w:tcBorders>
              <w:bottom w:val="nil"/>
            </w:tcBorders>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Министерство культуры и гендерных проблем предлагает консультации по телефону (круглосуточная горячая линия)</w:t>
            </w:r>
          </w:p>
        </w:tc>
      </w:tr>
      <w:tr w:rsidR="00000000">
        <w:tblPrEx>
          <w:tblCellMar>
            <w:top w:w="0" w:type="dxa"/>
            <w:bottom w:w="0" w:type="dxa"/>
          </w:tblCellMar>
        </w:tblPrEx>
        <w:tc>
          <w:tcPr>
            <w:tcW w:w="3459" w:type="dxa"/>
            <w:tcBorders>
              <w:top w:val="nil"/>
              <w:right w:val="nil"/>
            </w:tcBorders>
          </w:tcPr>
          <w:p w:rsidR="00000000" w:rsidRDefault="00000000">
            <w:pPr>
              <w:spacing w:after="0" w:line="240" w:lineRule="auto"/>
              <w:rPr>
                <w:rFonts w:ascii="Arial" w:hAnsi="Arial"/>
                <w:sz w:val="16"/>
              </w:rPr>
            </w:pPr>
          </w:p>
        </w:tc>
        <w:tc>
          <w:tcPr>
            <w:tcW w:w="5557" w:type="dxa"/>
            <w:tcBorders>
              <w:top w:val="nil"/>
              <w:left w:val="single" w:sz="4" w:space="0" w:color="auto"/>
            </w:tcBorders>
          </w:tcPr>
          <w:p w:rsidR="00000000" w:rsidRDefault="00000000">
            <w:pPr>
              <w:spacing w:after="0" w:line="240" w:lineRule="auto"/>
              <w:ind w:left="340" w:hanging="340"/>
              <w:jc w:val="left"/>
              <w:rPr>
                <w:rFonts w:ascii="Arial" w:hAnsi="Arial"/>
                <w:sz w:val="16"/>
              </w:rPr>
            </w:pPr>
            <w:r>
              <w:rPr>
                <w:rFonts w:ascii="Arial" w:hAnsi="Arial"/>
                <w:sz w:val="18"/>
              </w:rPr>
              <w:sym w:font="Symbol" w:char="F0B7"/>
            </w:r>
            <w:r>
              <w:rPr>
                <w:rFonts w:ascii="Arial" w:hAnsi="Arial"/>
                <w:sz w:val="16"/>
              </w:rPr>
              <w:tab/>
              <w:t>Неправительственные организации и общинные группы, а также религиозные организации предлагают консультационные услуги и финансовую помощь</w:t>
            </w:r>
          </w:p>
        </w:tc>
      </w:tr>
    </w:tbl>
    <w:p w:rsidR="00000000" w:rsidRDefault="00000000">
      <w:pPr>
        <w:spacing w:after="120"/>
      </w:pPr>
    </w:p>
    <w:p w:rsidR="00000000" w:rsidRDefault="00000000">
      <w:r>
        <w:t>391.</w:t>
      </w:r>
      <w:r>
        <w:tab/>
        <w:t>Министерство социального и общинного развития является ключевым министерством в социальном секторе, которое выполняет поставленные правительством цели и задачи национального и социального развития, представленные в ряде среднесрочных программ и других национальных программных документах. Основная задача Министерства – помочь социально неблагополучным группам населения обрести уверенность в собственных силах (чтобы тем самым повысить свое благосостояние) и таким образом способствовать их вкладу в национальное развитие.</w:t>
      </w:r>
    </w:p>
    <w:p w:rsidR="00000000" w:rsidRDefault="00000000">
      <w:r>
        <w:t>392.</w:t>
      </w:r>
      <w:r>
        <w:tab/>
        <w:t>Отдел социального обеспечения Министерства социального и общинного развития предоставляет социальную помощь престарелым и нуждающимся жителям страны. За счет применения свободных от взносов программ социального обеспечения, финансируемых из ежегодного консолидированного фонда, социально-неблагополучные группы населения получают пенсии по старости, государственную помощь, пособия по инвалидности и субсидии для получения неотложной медицинской помощи. В эту группу людей входят также лица, которые не могут зарабатывать себе на жизнь вследствие психической или физической недееспособности, нуждающиеся дети, включая детей, брошенных родителями, а также в тех случаях, когда заявление на получение алиментов было составлено, но ответчик не был обнаружен, а также супруга лица, отбывающего срок наказания в тюрьме, которая не может зарабатывать на жизнь, так как должна ухаживать за ребенком. Три основные программы, предложенные Отделом социального обеспечения, регулируются законодательными актами. Это закон о пенсиях по старости, глава 32:2 (с поправками), закон о государственной помощи, глава 32:03, и закон об усыновлении детей, глава 46:03 (в настоящее время отозванный и замененный законом об усыновлении детей 2000 года, который должен вступить в силу в ближайшее время). Пенсии по старости в размере 600 долл. ТТ в месяц назначаются лицам в возрасте 65 лет и старше с годовым доходом ниже 5000 долл. ТТ. Согласно этому закону слепые могут получать пенсию в более раннем возрасте, если они не в состоянии зарабатывать себе на жизнь. Государственная помощь предоставляется нуждающимся детям, инвалидам и неимущим в соответствии с разделом 3 закона о государственной помощи, глава 32:03,</w:t>
      </w:r>
    </w:p>
    <w:p w:rsidR="00000000" w:rsidRDefault="00000000">
      <w:pPr>
        <w:ind w:left="680" w:right="680"/>
      </w:pPr>
      <w:r>
        <w:rPr>
          <w:i/>
        </w:rPr>
        <w:t>Помощь предоставляется для удовлетворения потребностей нуждающихся лиц, которые не могут в силу утраты трудоспособности зарабатывать себе на жизнь; как правило, помощь предоставляется главе семьи с учетом потребностей тех членов семьи, которые являются его иждивенцами</w:t>
      </w:r>
      <w:r>
        <w:t>.</w:t>
      </w:r>
    </w:p>
    <w:p w:rsidR="00000000" w:rsidRDefault="00000000">
      <w:r>
        <w:t>Заявления о предоставлении государственной помощи составляются в органе управления по месту жительства заявителей. Пособие по инвалидности предоставляется лицам в возрасте от 40 до 65 лет, чей ежегодный доход составляет менее 5000</w:t>
      </w:r>
      <w:r>
        <w:rPr>
          <w:lang w:val="en-US"/>
        </w:rPr>
        <w:t> </w:t>
      </w:r>
      <w:r>
        <w:t>долл.</w:t>
      </w:r>
      <w:r>
        <w:rPr>
          <w:lang w:val="en-US"/>
        </w:rPr>
        <w:t xml:space="preserve"> </w:t>
      </w:r>
      <w:r>
        <w:t>ТТ.</w:t>
      </w:r>
    </w:p>
    <w:p w:rsidR="00000000" w:rsidRDefault="00000000">
      <w:r>
        <w:t>393.</w:t>
      </w:r>
      <w:r>
        <w:tab/>
        <w:t>Действует также закон о пенсиях, глава 23:52, который вступил в силу в 1934 году. Он применяется при определении пенсий, пособий и других выплат, предоставляемых государственным служащим, которые были назначены на государственную службу после 1 августа 1934 года. Разделом 14 этого закона предусматривается, что государственный служащий может при необходимости уйти на пенсию в любое время по достижении им 60-летнего возраста, а в особых случаях и по достижении 50-летнего возраста. Единственное ограничение, содержащееся в этом законе, оговорено в статье 4, где указывается, что закон о пенсиях, глава</w:t>
      </w:r>
      <w:r>
        <w:rPr>
          <w:lang w:val="en-US"/>
        </w:rPr>
        <w:t> </w:t>
      </w:r>
      <w:r>
        <w:t>23:52, не применяется к государственному служащему, на которого распространяется закон о доплатах при выходе на пенсию (дипломатическая служба), глава 17:04 (поскольку в нем содержатся собственные положения о пенсиях). Другими содержащимися в законе о пенсиях положениями, глава 23:52, определяется, что государственный служащий должен проработать в течение десяти лет, прежде чем он или она могут рассчитывать на получение пенсии согласно этому закону. Если служащий не отработал десятилетний срок, он может подать просьбу о выдаче пособия. Разделом 4 предусматривается, что женщина</w:t>
      </w:r>
      <w:r>
        <w:rPr>
          <w:lang w:val="en-US"/>
        </w:rPr>
        <w:t xml:space="preserve"> </w:t>
      </w:r>
      <w:r>
        <w:t>–</w:t>
      </w:r>
      <w:r>
        <w:rPr>
          <w:lang w:val="en-US"/>
        </w:rPr>
        <w:t xml:space="preserve"> </w:t>
      </w:r>
      <w:r>
        <w:t>государственный служащий, которая занимала дающий право на пенсию пост не менее пяти лет, может уйти со службы на пенсию, если она вступила в брак или собирается сделать это. Однако поправка к последнему разделу предусматривает, что право уйти на пенсию по причине вступления в брак имеют только лица, которые поступили на государственную службу до 14 августа 1997 года.</w:t>
      </w:r>
    </w:p>
    <w:p w:rsidR="00000000" w:rsidRDefault="00000000">
      <w:r>
        <w:t>394.</w:t>
      </w:r>
      <w:r>
        <w:tab/>
        <w:t xml:space="preserve">В настоящее время более 50 000 человек продолжают пользоваться пособиями за счет системы государственного вспомоществования. В результате принятия последних поправок к правилам, регулирующим доплаты к пенсиям по старости, к общему числу лиц, охваченных программой пенсий по старости, добавилось еще 8000 пожилых граждан. Правительство занимается также приведением в соответствие систем социального обеспечения, как функционирующих за счет взносов, так и существующих без взносов, для того чтобы сделать систему более справедливой. </w:t>
      </w:r>
    </w:p>
    <w:p w:rsidR="00000000" w:rsidRDefault="00000000">
      <w:r>
        <w:t>395.</w:t>
      </w:r>
      <w:r>
        <w:tab/>
        <w:t>Часть </w:t>
      </w:r>
      <w:r>
        <w:rPr>
          <w:lang w:val="en-US"/>
        </w:rPr>
        <w:t>III</w:t>
      </w:r>
      <w:r>
        <w:t xml:space="preserve"> положений о государственном страховании закона о государственном страховании, глава</w:t>
      </w:r>
      <w:r>
        <w:rPr>
          <w:lang w:val="en-US"/>
        </w:rPr>
        <w:t> </w:t>
      </w:r>
      <w:r>
        <w:t>32:01, устанавливает систему обязательного государственного страхования, в соответствии с которой зарегистрированные работники застрахованы от потери заработка. В систему страхования входит страхование от увечий, полученных в результате или во время выполнения работы, включая заболевания или увечья, вызванные самим характером выполняемой работы. В соответствии с этим законом лица в возрасте до 16 лет и старше 65 лет не подлежат страхованию от производственных травм. Далее, виды деятельности, на которые не распространяется страхование в силу этого закона, включают частичную занятость, составляющую менее 10 часов в неделю, оплату в размере не более 5 долл. ТТ в неделю, использование труда женщины ее мужем, наем на работу лица, не являющегося гражданином Тринидада и Тобаго, на которого в силу закона о привилегиях и иммунитетах (дипломатические, консульские и международные организации), глава 17:01, не распространяются положения о социальном обеспечении, а также работу любого лица, нанятого какой-либо международной организацией.</w:t>
      </w:r>
    </w:p>
    <w:p w:rsidR="00000000" w:rsidRDefault="00000000">
      <w:r>
        <w:t>396.</w:t>
      </w:r>
      <w:r>
        <w:tab/>
        <w:t>Правилам государственного страхования (льготы) посвящена статья 55 закона о государственном страховании, глава 32:01. Этими правилами предусматривается выплата пособий по болезни в случае расстройства здоровья, вызванного непроизводственными травмами, пособий по беременности и инвалидности (которые выдаются в продолжение пособий по болезни), пособий по нетрудоспособности, пособий, выплачиваемых в связи со смертью застрахованного (которые представляют собой страховые пособия за нанесенный в результате несчастного случая ущерб, выплачиваемые за имущество покойного) и пособия в связи с потерей кормильца (выплачиваемые сиротам и вдовам).</w:t>
      </w:r>
    </w:p>
    <w:p w:rsidR="00000000" w:rsidRDefault="00000000">
      <w:r>
        <w:t>397.</w:t>
      </w:r>
      <w:r>
        <w:tab/>
        <w:t>Пособие по нетрудоспособности предоставляется лицам в возрасте от 40 до 65 лет, которые признаны физически или умственно неспособными зарабатывать себе на жизнь. Соответствующая программа была инициирована в 1998 году Отделом социального обеспечения Министерства социального и общинного развития для предоставления помощи более широкому кругу членов общества, находящихся в уязвимом и неблагоприятном положении. По этой программе субсидии получают приблизительно 3000 человек. Кроме того, помощь в виде ежегодных субсидий в размере приблизительно 6</w:t>
      </w:r>
      <w:r>
        <w:rPr>
          <w:lang w:val="en-US"/>
        </w:rPr>
        <w:t> </w:t>
      </w:r>
      <w:r>
        <w:t>000</w:t>
      </w:r>
      <w:r>
        <w:rPr>
          <w:lang w:val="en-US"/>
        </w:rPr>
        <w:t> </w:t>
      </w:r>
      <w:r>
        <w:t>000</w:t>
      </w:r>
      <w:r>
        <w:rPr>
          <w:lang w:val="en-US"/>
        </w:rPr>
        <w:t> </w:t>
      </w:r>
      <w:r>
        <w:t>долл.</w:t>
      </w:r>
      <w:r>
        <w:rPr>
          <w:lang w:val="en-US"/>
        </w:rPr>
        <w:t xml:space="preserve"> </w:t>
      </w:r>
      <w:r>
        <w:t>ТТ предоставляется неправительственным организациям, которые создают возможности для работы инвалидам.</w:t>
      </w:r>
    </w:p>
    <w:p w:rsidR="00000000" w:rsidRDefault="00000000">
      <w:r>
        <w:t>398.</w:t>
      </w:r>
      <w:r>
        <w:tab/>
        <w:t>Отдел национальных служб планирования семьи Министерства социального и общинного развития – ведущее учреждение, занимающееся защитой и поддержкой здоровых семей в Тринидаде и Тобаго. Основным аспектом деятельности Отдела является профилактическая работа, включая организацию лекций и семинаров для различных групп населения, а также услуги по предоставлению консультаций и по реабилитации, которые оказываются при необходимости семьям, нуждающимся в направлении к специалистам. Отдел работает в контакте с другими соответствующими учреждениями, выступая за пересмотр и введение в силу законодательства, направленного на поддержку здоровой семьи. Отдел социального обеспечения Министерства выделяет пособия на содержание небольшого числа служб, изучающих положение семей, находящихся в неблагоприятной ситуации. Для того чтобы создать семьям возможности для самообеспечения, им предоставляется помощь в создании микропредприятий. Эта помощь распределяется через отделы социальной помощи, надзора и национальных служб планирования семьи Министерства. Отдел общинного развития осуществляет также профилактическую и реабилитационную работу в общинах.</w:t>
      </w:r>
    </w:p>
    <w:p w:rsidR="00000000" w:rsidRDefault="00000000">
      <w:r>
        <w:t>399.</w:t>
      </w:r>
      <w:r>
        <w:tab/>
        <w:t>В законодательных и других социальных схемах, за исключением вышеупомянутых, не делается исключений для женщин. Женщины имеют равные права на льготы и социальное обеспечение. Однако установлены строгие принципы, регламентирующие предоставление льгот по социальному обеспечению. Например, предусмотрены льготы для детей, если глава семьи, как правило отец, не в состоянии работать из-за болезни или умер. Вследствие этого женщины, возглавляющие семьи, испытывают трудности при получении льгот, поскольку их положение определяется в основном по статусу мужчины. Далее, обедневшие семьи, живущие за чертой бедности, не всегда подпадают под системы социальных льгот из-за действующих строгих критериев определения нуждающихся. Если главы семей, инфицированные вирусом ВИЧ/СПИДа, потеряли работу скорее из-за дискриминационного отношения к ним, чем из-за самой болезни, от этого могут пострадать их семьи и фактически страдают. То же происходит и в тех случаях, когда роль основного кормильца семьи приходится выполнять дедушкам или бабушкам. Эта тенденция становится все более распространенной в Тринидаде и Тобаго, и в таких случаях можно рассчитывать только на государственную помощь, так как иная специальная социальная помощь не предусмотрена. Кроме того, с учетом расширенного типа семьи и других типов семей на практике процесс установления льгот может затянуться, и возникнет вопрос о равенстве. Практикующие врачи и ряд социальных служб продолжают выступать за изменение существующей практики. За последние годы кое-что изменилось, но перемены слишком медленно набирают темп.</w:t>
      </w:r>
    </w:p>
    <w:p w:rsidR="00000000" w:rsidRDefault="00000000">
      <w:r>
        <w:t>400.</w:t>
      </w:r>
      <w:r>
        <w:tab/>
        <w:t>До 1997 года помощь, предоставляемая в соответствии с законом о государственной помощи, глава</w:t>
      </w:r>
      <w:r>
        <w:rPr>
          <w:lang w:val="en-US"/>
        </w:rPr>
        <w:t> </w:t>
      </w:r>
      <w:r>
        <w:t>32:03, лицам, которые не в состоянии зарабатывать себе на жизнь по причине инвалидности, выдавалась "главе" семьи, при этом термин, соответственно, интерпретировался на практике как означающий мужчину –главу семьи, женщина же принималась в расчет только в том случае, если она являлась единственным главой семьи. Фактически супруга, которая является единственным или основным кормильцем семьи/главой домашнего хозяйства, не может обращаться за помощью, если она стала инвалидом или не в состоянии зарабатывать средства к существованию. В соответствии с поправкой № 23 к правилам этого закона от 1996 года государственная помощь по этому закону должна выплачиваться лицу, "которое, по мнению местных органов управления, является главой семьи". Эта поправка должна расширить возможности доступа женщин к социальным услугам.</w:t>
      </w:r>
    </w:p>
    <w:p w:rsidR="00000000" w:rsidRDefault="00000000">
      <w:r>
        <w:t>401.</w:t>
      </w:r>
      <w:r>
        <w:tab/>
        <w:t>В настоящее время нет специальных социальных услуг, которые предоставлялись бы одиноким матерям, однако им может быть оказана финансовая помощь, если их положение отвечает требованиям получения государственного пособия. В этом случае женщины могут обратиться за помощью как от своего имени, так и от имени своих детей.</w:t>
      </w:r>
    </w:p>
    <w:p w:rsidR="00000000" w:rsidRDefault="00000000">
      <w:r>
        <w:t>402.</w:t>
      </w:r>
      <w:r>
        <w:tab/>
        <w:t>В 1992 году в результате проведенного обследования жилищных условий было выяснено, что в стране во главе 26,6 процента домашних хозяйств стоят женщины. Обследование также показало, что возглавляемые женщинами домашние хозяйства составляют 38 процентов всех хозяйств, живущих за чертой бедности. В 1997</w:t>
      </w:r>
      <w:r>
        <w:rPr>
          <w:lang w:val="en-US"/>
        </w:rPr>
        <w:t> </w:t>
      </w:r>
      <w:r>
        <w:t>году Обзор жилищных условий был подготовлен Центральным статистическим управлением и показал, что бедными чаще всего бывают семьи, которые возглавляют женщины, имеющие низкий уровень образования и проживающие в сельской местности. В свете вышеизложенного правительство приняло решение улучшить условия жизни неимущих женщин и их семей, принимая меры по повышению их производственных возможностей путем доступа к капиталу, ресурсам, кредитам, праву, технологиям, информации, технической помощи и профессиональной подготовке.</w:t>
      </w:r>
    </w:p>
    <w:p w:rsidR="00000000" w:rsidRDefault="00000000">
      <w:r>
        <w:t>403.</w:t>
      </w:r>
      <w:r>
        <w:tab/>
        <w:t>Правительство Тринидада и Тобаго стремится повысить в целом качество жизни в стране путем предоставления услуг в области консультирования, просветительской работы среди родителей в общинах, финансовой помощи, защиты прав детей и средств судебной защиты. Эти услуги расширяют возможности женщин в части повышения своего экономического статуса, поскольку они пользуются государственной поддержкой как в отношении своей карьеры, так и в решении семейных вопросов.</w:t>
      </w:r>
    </w:p>
    <w:p w:rsidR="00000000" w:rsidRDefault="00000000">
      <w:r>
        <w:t>404.</w:t>
      </w:r>
      <w:r>
        <w:tab/>
        <w:t>Что касается достижения адекватного уровня жизни для женщин, отдел информации администрации премьер-министра в сотрудничестве с соответствующими министерствами подготовил и обнародовал программы, касающиеся права на жилище, адекватного питания, наивысшего достижимого уровня охраны здоровья, воспитания уважения к окружающей среде, информации, а также просвещения на базе использования профилактической медико-санитарной помощи. Предусматривается также демонстрация ежевечерних пятиминутных телевизионных программ в виде документальных фильмов, сообщений об исследованиях и просветительских программ, призванных информировать широкие слои населения и имеющих своей целью пропаганду адекватного уровня жизни для женщин.</w:t>
      </w:r>
    </w:p>
    <w:p w:rsidR="00000000" w:rsidRDefault="00000000">
      <w:r>
        <w:t>405.</w:t>
      </w:r>
      <w:r>
        <w:tab/>
        <w:t>"Работающие женщины за социальный прогресс" – это неправительственная организация, которая предлагает программу, озаглавленную "Альтернативные пути достижения благополучия молодых женщин". Этот проект предназначен для молодых женщин, которые живут в детских домах и скоро должны их покинуть (в пределах одного года). Молодые девушки, помещенные в детские дома или иные приюты в силу чрезвычайных обстоятельств, как правило, должны покидать их по достижении 16-летнего возраста. Таким образом, этот проект осуществляется потому, что существуют общепризнанные трудности и ограничения для доступа находящихся в специальных учреждениях девушек к материальным ресурсам и приобретению навыков, необходимых для их полной интеграции в общество. Проект ставит своей целью создать систему сетевой поддержки, чтобы обучить его участников практическим навыкам  выживания.</w:t>
      </w:r>
    </w:p>
    <w:p w:rsidR="00000000" w:rsidRDefault="00000000">
      <w:r>
        <w:t>406.</w:t>
      </w:r>
      <w:r>
        <w:tab/>
        <w:t>Право женщин на получение банковских займов, ссуд под недвижимость, кредитов под маркетинговые операции, ипотечного или других форм кредита – общепризнанные механизмы наделения правами лиц, находящихся в неблагоприятном социальном и экономическом положении. Однако не всегда можно получить данные о доле женщин, которые получают от частных коммерческих ссудных учреждений кредит под обеспечение, хотя такие учреждения обычно применяют схожие "критерии приемлемости" как для мужчин, так и для женщин. Поскольку женщины могут не иметь собственности, обычно используемой в качестве залога, или навыков составления бизнес-плана, они испытывают определенные трудности при получении финансовой помощи от кредитных учреждений, занимаясь производством или торговлей или только приступая к этой деятельности. Данные Банка сельскохозяйственного развития показывают, что в 1992 году невыплаченные суммы кредитов, выданных мужчинам, составляли свыше 4</w:t>
      </w:r>
      <w:r>
        <w:rPr>
          <w:lang w:val="en-US"/>
        </w:rPr>
        <w:t> </w:t>
      </w:r>
      <w:r>
        <w:t>000</w:t>
      </w:r>
      <w:r>
        <w:rPr>
          <w:lang w:val="en-US"/>
        </w:rPr>
        <w:t> </w:t>
      </w:r>
      <w:r>
        <w:t>000</w:t>
      </w:r>
      <w:r>
        <w:rPr>
          <w:lang w:val="en-US"/>
        </w:rPr>
        <w:t> </w:t>
      </w:r>
      <w:r>
        <w:t>долл.</w:t>
      </w:r>
      <w:r>
        <w:rPr>
          <w:lang w:val="en-US"/>
        </w:rPr>
        <w:t xml:space="preserve"> </w:t>
      </w:r>
      <w:r>
        <w:t>ТТ, тогда как для женщин этот показатель равнялся 470</w:t>
      </w:r>
      <w:r>
        <w:rPr>
          <w:lang w:val="en-US"/>
        </w:rPr>
        <w:t> </w:t>
      </w:r>
      <w:r>
        <w:t>000</w:t>
      </w:r>
      <w:r>
        <w:rPr>
          <w:lang w:val="en-US"/>
        </w:rPr>
        <w:t> </w:t>
      </w:r>
      <w:r>
        <w:t>долл.</w:t>
      </w:r>
      <w:r>
        <w:rPr>
          <w:lang w:val="en-US"/>
        </w:rPr>
        <w:t xml:space="preserve"> </w:t>
      </w:r>
      <w:r>
        <w:t>ТТ, а сумма таких кредитов, выданных совместно мужчинам и женщинам, составляла 1</w:t>
      </w:r>
      <w:r>
        <w:rPr>
          <w:lang w:val="en-US"/>
        </w:rPr>
        <w:t> </w:t>
      </w:r>
      <w:r>
        <w:t>200</w:t>
      </w:r>
      <w:r>
        <w:rPr>
          <w:lang w:val="en-US"/>
        </w:rPr>
        <w:t> </w:t>
      </w:r>
      <w:r>
        <w:t>000</w:t>
      </w:r>
      <w:r>
        <w:rPr>
          <w:lang w:val="en-US"/>
        </w:rPr>
        <w:t> </w:t>
      </w:r>
      <w:r>
        <w:t>долл.</w:t>
      </w:r>
      <w:r>
        <w:rPr>
          <w:lang w:val="en-US"/>
        </w:rPr>
        <w:t xml:space="preserve"> </w:t>
      </w:r>
      <w:r>
        <w:t>ТТ. Клиентов банка – мужчин было 331, тогда как женщин – 48. Проведенная в 1993</w:t>
      </w:r>
      <w:r>
        <w:rPr>
          <w:lang w:val="en-US"/>
        </w:rPr>
        <w:t> </w:t>
      </w:r>
      <w:r>
        <w:t>году выборка кредитов показала, что мужчинам были выданы 198 ссуд стоимостью 57</w:t>
      </w:r>
      <w:r>
        <w:rPr>
          <w:lang w:val="en-US"/>
        </w:rPr>
        <w:t> </w:t>
      </w:r>
      <w:r>
        <w:t>000</w:t>
      </w:r>
      <w:r>
        <w:rPr>
          <w:lang w:val="en-US"/>
        </w:rPr>
        <w:t> </w:t>
      </w:r>
      <w:r>
        <w:t>000</w:t>
      </w:r>
      <w:r>
        <w:rPr>
          <w:lang w:val="en-US"/>
        </w:rPr>
        <w:t> </w:t>
      </w:r>
      <w:r>
        <w:t>долл.</w:t>
      </w:r>
      <w:r>
        <w:rPr>
          <w:lang w:val="en-US"/>
        </w:rPr>
        <w:t xml:space="preserve"> </w:t>
      </w:r>
      <w:r>
        <w:t>ТТ, женщинам – 20 ссуд общей стоимостью 250</w:t>
      </w:r>
      <w:r>
        <w:rPr>
          <w:lang w:val="en-US"/>
        </w:rPr>
        <w:t> </w:t>
      </w:r>
      <w:r>
        <w:t>000</w:t>
      </w:r>
      <w:r>
        <w:rPr>
          <w:lang w:val="en-US"/>
        </w:rPr>
        <w:t> </w:t>
      </w:r>
      <w:r>
        <w:t>долл.</w:t>
      </w:r>
      <w:r>
        <w:rPr>
          <w:lang w:val="en-US"/>
        </w:rPr>
        <w:t xml:space="preserve"> </w:t>
      </w:r>
      <w:r>
        <w:t>ТТ и 36 ссуд в размере 1</w:t>
      </w:r>
      <w:r>
        <w:rPr>
          <w:lang w:val="en-US"/>
        </w:rPr>
        <w:t> </w:t>
      </w:r>
      <w:r>
        <w:t>900</w:t>
      </w:r>
      <w:r>
        <w:rPr>
          <w:lang w:val="en-US"/>
        </w:rPr>
        <w:t> </w:t>
      </w:r>
      <w:r>
        <w:t>000</w:t>
      </w:r>
      <w:r>
        <w:rPr>
          <w:lang w:val="en-US"/>
        </w:rPr>
        <w:t> </w:t>
      </w:r>
      <w:r>
        <w:t>долл.</w:t>
      </w:r>
      <w:r>
        <w:rPr>
          <w:lang w:val="en-US"/>
        </w:rPr>
        <w:t xml:space="preserve"> </w:t>
      </w:r>
      <w:r>
        <w:t>ТТ были утверждены по совместным заявлениям мужчин и женщин.</w:t>
      </w:r>
    </w:p>
    <w:p w:rsidR="00000000" w:rsidRDefault="00000000">
      <w:r>
        <w:t>407.</w:t>
      </w:r>
      <w:r>
        <w:tab/>
        <w:t>Исследование, проведенное за период с мая по июнь 2000 года Лигой кооперативного кредитного союза Тринидада и Тобаго ("Укрепление возможностей женщин в сфере производства и торговли") по заказу Отдела гендерных проблем Министерства культуры и гендерных проблем и профинансированное Канадским фондом гендерного равенства, показало, что уровень бедности среди женщин становится выше, рушатся планы добиться самообеспеченности, как и надежды на устойчивый рынок, который вынуждает их создавать собственные возможности и в результате обычно заставляет их жертвовать саморазвитием и принимать решение заняться неоплачиваемой или низкооплачиваемой работой. Согласно докладу о результатах исследования женщины несут на себе основную тяжесть политики структурных преобразований и глобализации.</w:t>
      </w:r>
    </w:p>
    <w:p w:rsidR="00000000" w:rsidRDefault="00000000">
      <w:pPr>
        <w:ind w:left="680" w:right="680"/>
        <w:rPr>
          <w:i/>
        </w:rPr>
      </w:pPr>
      <w:r>
        <w:rPr>
          <w:i/>
        </w:rPr>
        <w:t xml:space="preserve">Двадцать восемь процентов всех обследованных предприятий были созданы за последнее десятилетие женщинами </w:t>
      </w:r>
      <w:r>
        <w:t xml:space="preserve">– </w:t>
      </w:r>
      <w:r>
        <w:rPr>
          <w:i/>
        </w:rPr>
        <w:t xml:space="preserve">главами домашних хозяйств в целях получения дополнительного дохода. Необходимость выживания потребовала, чтобы более 50 процентов женщин </w:t>
      </w:r>
      <w:r>
        <w:t xml:space="preserve">– </w:t>
      </w:r>
      <w:r>
        <w:rPr>
          <w:i/>
        </w:rPr>
        <w:t>глав этих обследованных предприятий пожертвовали своими увлечениями, мечтами и семейными традициями ради бизнеса. Обучение профессиональным навыкам помогло им в их попытках, но незначительно.</w:t>
      </w:r>
    </w:p>
    <w:p w:rsidR="00000000" w:rsidRDefault="00000000">
      <w:pPr>
        <w:ind w:left="680" w:right="680"/>
        <w:rPr>
          <w:i/>
        </w:rPr>
      </w:pPr>
      <w:r>
        <w:rPr>
          <w:i/>
        </w:rPr>
        <w:t>Далее, респонденты заявили, что государственные институты, частный сектор и неправительственные организации не смогли предоставить адекватные услуги, необходимые для развития этих предприятий или для завоевания доверия женщин.</w:t>
      </w:r>
    </w:p>
    <w:p w:rsidR="00000000" w:rsidRDefault="00000000">
      <w:pPr>
        <w:ind w:left="680" w:right="680"/>
      </w:pPr>
      <w:r>
        <w:rPr>
          <w:i/>
        </w:rPr>
        <w:t>Большинство женщин указали в этом исследовании как на препятствия в получении ссуды очень высокие процентные ставки, которые банки взимают в качестве ссудного процента. Государственные программы, которые предусматривают предоставление пособий и ссуд, медленно реагируют на потребности женщин, и требуется более тщательное изучение национального рынка, чтобы общество знало о существовании женщин-предпринимательниц и предлагаемых ими услугах.</w:t>
      </w:r>
    </w:p>
    <w:p w:rsidR="00000000" w:rsidRDefault="00000000">
      <w:r>
        <w:t>408.</w:t>
      </w:r>
      <w:r>
        <w:tab/>
        <w:t>Вышеупомянутое исследование было проведено по выборке из 100 обследованных женщин в Тринидаде и Тобаго, которые занимаются малым и микробизнесом. В результате исследования были сделаны некоторые конкретные выводы:</w:t>
      </w:r>
    </w:p>
    <w:p w:rsidR="00000000" w:rsidRDefault="00000000">
      <w:pPr>
        <w:numPr>
          <w:ilvl w:val="0"/>
          <w:numId w:val="695"/>
        </w:numPr>
        <w:tabs>
          <w:tab w:val="clear" w:pos="700"/>
          <w:tab w:val="left" w:pos="680"/>
        </w:tabs>
        <w:spacing w:after="0"/>
        <w:rPr>
          <w:i/>
        </w:rPr>
      </w:pPr>
      <w:r>
        <w:rPr>
          <w:i/>
        </w:rPr>
        <w:t>женщины, как правило, имеют меньший доступ к более высоким объемам капитала;</w:t>
      </w:r>
    </w:p>
    <w:p w:rsidR="00000000" w:rsidRDefault="00000000">
      <w:pPr>
        <w:numPr>
          <w:ilvl w:val="0"/>
          <w:numId w:val="695"/>
        </w:numPr>
        <w:tabs>
          <w:tab w:val="clear" w:pos="700"/>
          <w:tab w:val="left" w:pos="680"/>
        </w:tabs>
        <w:spacing w:after="0"/>
        <w:rPr>
          <w:i/>
        </w:rPr>
      </w:pPr>
      <w:r>
        <w:rPr>
          <w:i/>
        </w:rPr>
        <w:t>государственные стратегии, направленные на стимулирование роста национальных накоплений и инвестиций, не учитывают конкретных интересов женщин;</w:t>
      </w:r>
    </w:p>
    <w:p w:rsidR="00000000" w:rsidRDefault="00000000">
      <w:pPr>
        <w:numPr>
          <w:ilvl w:val="0"/>
          <w:numId w:val="695"/>
        </w:numPr>
        <w:tabs>
          <w:tab w:val="clear" w:pos="700"/>
          <w:tab w:val="left" w:pos="680"/>
        </w:tabs>
        <w:spacing w:after="0"/>
        <w:rPr>
          <w:i/>
        </w:rPr>
      </w:pPr>
      <w:r>
        <w:rPr>
          <w:i/>
        </w:rPr>
        <w:t>необходимо выделить женщин в бизнесе как особую группу, нуждающуюся в стимулировании;</w:t>
      </w:r>
    </w:p>
    <w:p w:rsidR="00000000" w:rsidRDefault="00000000">
      <w:pPr>
        <w:numPr>
          <w:ilvl w:val="0"/>
          <w:numId w:val="695"/>
        </w:numPr>
        <w:tabs>
          <w:tab w:val="clear" w:pos="700"/>
          <w:tab w:val="left" w:pos="680"/>
        </w:tabs>
        <w:spacing w:after="0"/>
        <w:rPr>
          <w:i/>
        </w:rPr>
      </w:pPr>
      <w:r>
        <w:rPr>
          <w:i/>
        </w:rPr>
        <w:t>работая в бизнесе, женщины тратят в среднем на это 10 часов в день;</w:t>
      </w:r>
    </w:p>
    <w:p w:rsidR="00000000" w:rsidRDefault="00000000">
      <w:pPr>
        <w:numPr>
          <w:ilvl w:val="0"/>
          <w:numId w:val="695"/>
        </w:numPr>
        <w:tabs>
          <w:tab w:val="clear" w:pos="700"/>
          <w:tab w:val="left" w:pos="680"/>
        </w:tabs>
        <w:spacing w:after="0"/>
        <w:rPr>
          <w:i/>
        </w:rPr>
      </w:pPr>
      <w:r>
        <w:rPr>
          <w:i/>
        </w:rPr>
        <w:t xml:space="preserve">только 12 процентов обследованных женщин имеют специальную подготовку для работы в бизнесе </w:t>
      </w:r>
      <w:r>
        <w:t>–</w:t>
      </w:r>
      <w:r>
        <w:rPr>
          <w:i/>
        </w:rPr>
        <w:t xml:space="preserve"> основной причиной недостаточной подготовки являются нехватка времени, денег, семейные обязанности, местонахождение и отсутствие курсов; и</w:t>
      </w:r>
    </w:p>
    <w:p w:rsidR="00000000" w:rsidRDefault="00000000">
      <w:pPr>
        <w:numPr>
          <w:ilvl w:val="0"/>
          <w:numId w:val="695"/>
        </w:numPr>
        <w:tabs>
          <w:tab w:val="clear" w:pos="700"/>
          <w:tab w:val="left" w:pos="680"/>
        </w:tabs>
      </w:pPr>
      <w:r>
        <w:rPr>
          <w:i/>
        </w:rPr>
        <w:t>свыше 60 процентов обследованных женщин имеют детей школьного возраста, за которыми в отсутствие матерей ухаживают в основном старшие братья и сестры или дедушки и бабушки.</w:t>
      </w:r>
    </w:p>
    <w:p w:rsidR="00000000" w:rsidRDefault="00000000">
      <w:r>
        <w:t>409.</w:t>
      </w:r>
      <w:r>
        <w:tab/>
        <w:t>В результате исследования была получена следующая информация, которая отражает положение женщин в секторе производства и торговли:</w:t>
      </w:r>
    </w:p>
    <w:p w:rsidR="00000000" w:rsidRDefault="00000000">
      <w:pPr>
        <w:spacing w:after="0"/>
        <w:rPr>
          <w:b/>
        </w:rPr>
      </w:pPr>
      <w:r>
        <w:rPr>
          <w:b/>
          <w:lang w:val="en-US"/>
        </w:rPr>
        <w:tab/>
      </w:r>
      <w:r>
        <w:rPr>
          <w:b/>
        </w:rPr>
        <w:t>Участие женщин в производстве и торговле с разбивкой по видам деятельности (человек)</w:t>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253"/>
        <w:gridCol w:w="1701"/>
        <w:gridCol w:w="1701"/>
        <w:gridCol w:w="1701"/>
      </w:tblGrid>
      <w:tr w:rsidR="00000000">
        <w:tblPrEx>
          <w:tblCellMar>
            <w:top w:w="0" w:type="dxa"/>
            <w:bottom w:w="0" w:type="dxa"/>
          </w:tblCellMar>
        </w:tblPrEx>
        <w:tc>
          <w:tcPr>
            <w:tcW w:w="4253" w:type="dxa"/>
          </w:tcPr>
          <w:p w:rsidR="00000000" w:rsidRDefault="00000000">
            <w:pPr>
              <w:spacing w:before="60" w:after="0" w:line="240" w:lineRule="auto"/>
              <w:jc w:val="center"/>
              <w:rPr>
                <w:rFonts w:ascii="Arial" w:hAnsi="Arial"/>
                <w:sz w:val="16"/>
              </w:rPr>
            </w:pPr>
            <w:r>
              <w:rPr>
                <w:rFonts w:ascii="Arial" w:hAnsi="Arial"/>
                <w:sz w:val="16"/>
              </w:rPr>
              <w:t>СФЕРА ДЕЯТЕЛЬНОСТИ</w:t>
            </w:r>
          </w:p>
        </w:tc>
        <w:tc>
          <w:tcPr>
            <w:tcW w:w="1701" w:type="dxa"/>
          </w:tcPr>
          <w:p w:rsidR="00000000" w:rsidRDefault="00000000">
            <w:pPr>
              <w:spacing w:before="60" w:after="0" w:line="240" w:lineRule="auto"/>
              <w:jc w:val="center"/>
              <w:rPr>
                <w:rFonts w:ascii="Arial" w:hAnsi="Arial"/>
                <w:sz w:val="16"/>
              </w:rPr>
            </w:pPr>
            <w:r>
              <w:rPr>
                <w:rFonts w:ascii="Arial" w:hAnsi="Arial"/>
                <w:sz w:val="16"/>
              </w:rPr>
              <w:t>ТРИНИДАД</w:t>
            </w:r>
          </w:p>
        </w:tc>
        <w:tc>
          <w:tcPr>
            <w:tcW w:w="1701" w:type="dxa"/>
          </w:tcPr>
          <w:p w:rsidR="00000000" w:rsidRDefault="00000000">
            <w:pPr>
              <w:spacing w:before="60" w:after="0" w:line="240" w:lineRule="auto"/>
              <w:jc w:val="center"/>
              <w:rPr>
                <w:rFonts w:ascii="Arial" w:hAnsi="Arial"/>
                <w:sz w:val="16"/>
              </w:rPr>
            </w:pPr>
            <w:r>
              <w:rPr>
                <w:rFonts w:ascii="Arial" w:hAnsi="Arial"/>
                <w:sz w:val="16"/>
              </w:rPr>
              <w:t>ТОБАГО</w:t>
            </w:r>
          </w:p>
        </w:tc>
        <w:tc>
          <w:tcPr>
            <w:tcW w:w="1701" w:type="dxa"/>
          </w:tcPr>
          <w:p w:rsidR="00000000" w:rsidRDefault="00000000">
            <w:pPr>
              <w:spacing w:before="60" w:after="0" w:line="240" w:lineRule="auto"/>
              <w:jc w:val="center"/>
              <w:rPr>
                <w:rFonts w:ascii="Arial" w:hAnsi="Arial"/>
                <w:sz w:val="16"/>
              </w:rPr>
            </w:pPr>
            <w:r>
              <w:rPr>
                <w:rFonts w:ascii="Arial" w:hAnsi="Arial"/>
                <w:sz w:val="16"/>
              </w:rPr>
              <w:t>ИТОГО</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Продукты питания</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25</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7</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32</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Одежда</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23</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2</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25</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Производство</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5</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5</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Розничная торговля</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8</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8</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Ателье (салоны)</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17</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2</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19</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Обслуживание</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6</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1</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7</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Ремесла</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4</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4</w:t>
            </w:r>
          </w:p>
        </w:tc>
      </w:tr>
      <w:tr w:rsidR="00000000">
        <w:tblPrEx>
          <w:tblCellMar>
            <w:top w:w="0" w:type="dxa"/>
            <w:bottom w:w="0" w:type="dxa"/>
          </w:tblCellMar>
        </w:tblPrEx>
        <w:tc>
          <w:tcPr>
            <w:tcW w:w="4253" w:type="dxa"/>
          </w:tcPr>
          <w:p w:rsidR="00000000" w:rsidRDefault="00000000">
            <w:pPr>
              <w:spacing w:before="40" w:after="0" w:line="240" w:lineRule="auto"/>
              <w:rPr>
                <w:rFonts w:ascii="Arial" w:hAnsi="Arial"/>
                <w:sz w:val="16"/>
              </w:rPr>
            </w:pPr>
            <w:r>
              <w:rPr>
                <w:rFonts w:ascii="Arial" w:hAnsi="Arial"/>
                <w:sz w:val="16"/>
              </w:rPr>
              <w:t>Всего</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88</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12</w:t>
            </w:r>
          </w:p>
        </w:tc>
        <w:tc>
          <w:tcPr>
            <w:tcW w:w="1701" w:type="dxa"/>
          </w:tcPr>
          <w:p w:rsidR="00000000" w:rsidRDefault="00000000">
            <w:pPr>
              <w:tabs>
                <w:tab w:val="clear" w:pos="340"/>
                <w:tab w:val="clear" w:pos="680"/>
                <w:tab w:val="decimal" w:pos="907"/>
              </w:tabs>
              <w:spacing w:before="40" w:after="0" w:line="240" w:lineRule="auto"/>
              <w:rPr>
                <w:rFonts w:ascii="Arial" w:hAnsi="Arial"/>
                <w:sz w:val="16"/>
              </w:rPr>
            </w:pPr>
            <w:r>
              <w:rPr>
                <w:rFonts w:ascii="Arial" w:hAnsi="Arial"/>
                <w:sz w:val="16"/>
              </w:rPr>
              <w:t>100</w:t>
            </w:r>
          </w:p>
        </w:tc>
      </w:tr>
    </w:tbl>
    <w:p w:rsidR="00000000" w:rsidRDefault="00000000">
      <w:pPr>
        <w:spacing w:after="0"/>
      </w:pPr>
    </w:p>
    <w:p w:rsidR="00000000" w:rsidRDefault="00000000">
      <w:pPr>
        <w:spacing w:after="0"/>
        <w:rPr>
          <w:b/>
        </w:rPr>
      </w:pPr>
      <w:r>
        <w:rPr>
          <w:b/>
          <w:lang w:val="en-US"/>
        </w:rPr>
        <w:tab/>
      </w:r>
      <w:r>
        <w:rPr>
          <w:b/>
        </w:rPr>
        <w:t>Женщины в производстве и торговле с разбивкой по виду собственности (человек)</w:t>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Pr>
          <w:p w:rsidR="00000000" w:rsidRDefault="00000000">
            <w:pPr>
              <w:spacing w:before="60" w:after="0" w:line="240" w:lineRule="auto"/>
              <w:jc w:val="center"/>
              <w:rPr>
                <w:rFonts w:ascii="Arial" w:hAnsi="Arial"/>
                <w:sz w:val="16"/>
              </w:rPr>
            </w:pPr>
            <w:r>
              <w:rPr>
                <w:rFonts w:ascii="Arial" w:hAnsi="Arial"/>
                <w:sz w:val="16"/>
              </w:rPr>
              <w:t>СФЕРА ДЕЯТЕЛЬНОСТИ</w:t>
            </w:r>
          </w:p>
        </w:tc>
        <w:tc>
          <w:tcPr>
            <w:tcW w:w="1701" w:type="dxa"/>
          </w:tcPr>
          <w:p w:rsidR="00000000" w:rsidRDefault="00000000">
            <w:pPr>
              <w:spacing w:before="60" w:after="0" w:line="240" w:lineRule="auto"/>
              <w:jc w:val="center"/>
              <w:rPr>
                <w:rFonts w:ascii="Arial" w:hAnsi="Arial"/>
                <w:sz w:val="16"/>
              </w:rPr>
            </w:pPr>
            <w:r>
              <w:rPr>
                <w:rFonts w:ascii="Arial" w:hAnsi="Arial"/>
                <w:sz w:val="16"/>
              </w:rPr>
              <w:t>ЕДИНОЛИЧНЫЙ ВЛАДЕЛЕЦ</w:t>
            </w:r>
          </w:p>
        </w:tc>
        <w:tc>
          <w:tcPr>
            <w:tcW w:w="1701" w:type="dxa"/>
          </w:tcPr>
          <w:p w:rsidR="00000000" w:rsidRDefault="00000000">
            <w:pPr>
              <w:spacing w:before="60" w:after="0" w:line="240" w:lineRule="auto"/>
              <w:jc w:val="center"/>
              <w:rPr>
                <w:rFonts w:ascii="Arial" w:hAnsi="Arial"/>
                <w:sz w:val="16"/>
              </w:rPr>
            </w:pPr>
            <w:r>
              <w:rPr>
                <w:rFonts w:ascii="Arial" w:hAnsi="Arial"/>
                <w:sz w:val="16"/>
              </w:rPr>
              <w:t>ПАРТНЕРСТВО</w:t>
            </w:r>
          </w:p>
        </w:tc>
        <w:tc>
          <w:tcPr>
            <w:tcW w:w="1701" w:type="dxa"/>
          </w:tcPr>
          <w:p w:rsidR="00000000" w:rsidRDefault="00000000">
            <w:pPr>
              <w:spacing w:before="60" w:after="0" w:line="240" w:lineRule="auto"/>
              <w:jc w:val="center"/>
              <w:rPr>
                <w:rFonts w:ascii="Arial" w:hAnsi="Arial"/>
                <w:sz w:val="16"/>
              </w:rPr>
            </w:pPr>
            <w:r>
              <w:rPr>
                <w:rFonts w:ascii="Arial" w:hAnsi="Arial"/>
                <w:sz w:val="16"/>
              </w:rPr>
              <w:t>КОМПАНИЯ</w:t>
            </w:r>
          </w:p>
        </w:tc>
        <w:tc>
          <w:tcPr>
            <w:tcW w:w="1701" w:type="dxa"/>
          </w:tcPr>
          <w:p w:rsidR="00000000" w:rsidRDefault="00000000">
            <w:pPr>
              <w:spacing w:before="60" w:after="0" w:line="240" w:lineRule="auto"/>
              <w:jc w:val="center"/>
              <w:rPr>
                <w:rFonts w:ascii="Arial" w:hAnsi="Arial"/>
                <w:sz w:val="16"/>
              </w:rPr>
            </w:pPr>
            <w:r>
              <w:rPr>
                <w:rFonts w:ascii="Arial" w:hAnsi="Arial"/>
                <w:sz w:val="16"/>
              </w:rPr>
              <w:t>ИТОГО</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Продукты питания</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25</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7</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32</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Одежда</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21</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4</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25</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Производство</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4</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1</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5</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Розничная торговля</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6</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8</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Ателье (салоны)</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17</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19</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Обслуживание</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3</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2</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7</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Ремесла</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3</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1</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4</w:t>
            </w:r>
          </w:p>
        </w:tc>
      </w:tr>
      <w:tr w:rsidR="00000000">
        <w:tblPrEx>
          <w:tblCellMar>
            <w:top w:w="0" w:type="dxa"/>
            <w:bottom w:w="0" w:type="dxa"/>
          </w:tblCellMar>
        </w:tblPrEx>
        <w:tc>
          <w:tcPr>
            <w:tcW w:w="2552" w:type="dxa"/>
          </w:tcPr>
          <w:p w:rsidR="00000000" w:rsidRDefault="00000000">
            <w:pPr>
              <w:spacing w:before="40" w:after="0" w:line="240" w:lineRule="auto"/>
              <w:rPr>
                <w:rFonts w:ascii="Arial" w:hAnsi="Arial"/>
                <w:sz w:val="16"/>
              </w:rPr>
            </w:pPr>
            <w:r>
              <w:rPr>
                <w:rFonts w:ascii="Arial" w:hAnsi="Arial"/>
                <w:sz w:val="16"/>
              </w:rPr>
              <w:t>Всего</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79</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18</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3</w:t>
            </w:r>
          </w:p>
        </w:tc>
        <w:tc>
          <w:tcPr>
            <w:tcW w:w="1701" w:type="dxa"/>
          </w:tcPr>
          <w:p w:rsidR="00000000" w:rsidRDefault="00000000">
            <w:pPr>
              <w:tabs>
                <w:tab w:val="clear" w:pos="340"/>
                <w:tab w:val="clear" w:pos="680"/>
                <w:tab w:val="decimal" w:pos="851"/>
              </w:tabs>
              <w:spacing w:before="40" w:after="0" w:line="240" w:lineRule="auto"/>
              <w:rPr>
                <w:rFonts w:ascii="Arial" w:hAnsi="Arial"/>
                <w:sz w:val="16"/>
              </w:rPr>
            </w:pPr>
            <w:r>
              <w:rPr>
                <w:rFonts w:ascii="Arial" w:hAnsi="Arial"/>
                <w:sz w:val="16"/>
              </w:rPr>
              <w:t>100</w:t>
            </w:r>
          </w:p>
        </w:tc>
      </w:tr>
    </w:tbl>
    <w:p w:rsidR="00000000" w:rsidRDefault="00000000">
      <w:pPr>
        <w:spacing w:after="0"/>
      </w:pPr>
    </w:p>
    <w:p w:rsidR="00000000" w:rsidRDefault="00000000">
      <w:pPr>
        <w:spacing w:after="0"/>
        <w:ind w:left="340" w:hanging="340"/>
        <w:rPr>
          <w:b/>
        </w:rPr>
      </w:pPr>
      <w:r>
        <w:rPr>
          <w:b/>
          <w:lang w:val="en-US"/>
        </w:rPr>
        <w:tab/>
      </w:r>
      <w:r>
        <w:rPr>
          <w:b/>
        </w:rPr>
        <w:t>Женщины в производстве и торговле с разбивкой по источнику финансирования на начальном этапе (человек)</w:t>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31"/>
        <w:gridCol w:w="1304"/>
        <w:gridCol w:w="1077"/>
        <w:gridCol w:w="1021"/>
        <w:gridCol w:w="1247"/>
        <w:gridCol w:w="1021"/>
        <w:gridCol w:w="1134"/>
        <w:gridCol w:w="1021"/>
      </w:tblGrid>
      <w:tr w:rsidR="00000000">
        <w:tblPrEx>
          <w:tblCellMar>
            <w:top w:w="0" w:type="dxa"/>
            <w:bottom w:w="0" w:type="dxa"/>
          </w:tblCellMar>
        </w:tblPrEx>
        <w:tc>
          <w:tcPr>
            <w:tcW w:w="1531" w:type="dxa"/>
          </w:tcPr>
          <w:p w:rsidR="00000000" w:rsidRDefault="00000000">
            <w:pPr>
              <w:spacing w:before="60" w:after="0" w:line="240" w:lineRule="auto"/>
              <w:jc w:val="center"/>
              <w:rPr>
                <w:rFonts w:ascii="Arial" w:hAnsi="Arial"/>
                <w:sz w:val="16"/>
              </w:rPr>
            </w:pPr>
            <w:r>
              <w:rPr>
                <w:rFonts w:ascii="Arial" w:hAnsi="Arial"/>
                <w:sz w:val="16"/>
              </w:rPr>
              <w:t>СФЕРА ДЕЯТЕЛЬНОСТИ</w:t>
            </w:r>
          </w:p>
        </w:tc>
        <w:tc>
          <w:tcPr>
            <w:tcW w:w="1304" w:type="dxa"/>
          </w:tcPr>
          <w:p w:rsidR="00000000" w:rsidRDefault="00000000">
            <w:pPr>
              <w:spacing w:before="60" w:after="0" w:line="240" w:lineRule="auto"/>
              <w:jc w:val="center"/>
              <w:rPr>
                <w:rFonts w:ascii="Arial" w:hAnsi="Arial"/>
                <w:sz w:val="16"/>
              </w:rPr>
            </w:pPr>
            <w:r>
              <w:rPr>
                <w:rFonts w:ascii="Arial" w:hAnsi="Arial"/>
                <w:sz w:val="16"/>
              </w:rPr>
              <w:t>СБЕРЕЖЕНИЯ</w:t>
            </w:r>
          </w:p>
        </w:tc>
        <w:tc>
          <w:tcPr>
            <w:tcW w:w="1077" w:type="dxa"/>
          </w:tcPr>
          <w:p w:rsidR="00000000" w:rsidRDefault="00000000">
            <w:pPr>
              <w:spacing w:before="60" w:after="0" w:line="240" w:lineRule="auto"/>
              <w:jc w:val="center"/>
              <w:rPr>
                <w:rFonts w:ascii="Arial" w:hAnsi="Arial"/>
                <w:sz w:val="16"/>
              </w:rPr>
            </w:pPr>
            <w:r>
              <w:rPr>
                <w:rFonts w:ascii="Arial" w:hAnsi="Arial"/>
                <w:sz w:val="16"/>
              </w:rPr>
              <w:t>СЕМЕЙНЫЕ СРЕДСТВА</w:t>
            </w:r>
          </w:p>
        </w:tc>
        <w:tc>
          <w:tcPr>
            <w:tcW w:w="1021" w:type="dxa"/>
          </w:tcPr>
          <w:p w:rsidR="00000000" w:rsidRDefault="00000000">
            <w:pPr>
              <w:spacing w:before="60" w:after="0" w:line="240" w:lineRule="auto"/>
              <w:jc w:val="center"/>
              <w:rPr>
                <w:rFonts w:ascii="Arial" w:hAnsi="Arial"/>
                <w:sz w:val="16"/>
              </w:rPr>
            </w:pPr>
            <w:r>
              <w:rPr>
                <w:rFonts w:ascii="Arial" w:hAnsi="Arial"/>
                <w:sz w:val="16"/>
              </w:rPr>
              <w:t>ПОМОЩЬ</w:t>
            </w:r>
            <w:r>
              <w:rPr>
                <w:rFonts w:ascii="Arial" w:hAnsi="Arial"/>
                <w:sz w:val="16"/>
                <w:lang w:val="en-US"/>
              </w:rPr>
              <w:t xml:space="preserve"> </w:t>
            </w:r>
            <w:r>
              <w:rPr>
                <w:rFonts w:ascii="Arial" w:hAnsi="Arial"/>
                <w:sz w:val="16"/>
              </w:rPr>
              <w:t>ДРУЗЕЙ</w:t>
            </w:r>
          </w:p>
        </w:tc>
        <w:tc>
          <w:tcPr>
            <w:tcW w:w="1247" w:type="dxa"/>
          </w:tcPr>
          <w:p w:rsidR="00000000" w:rsidRDefault="00000000">
            <w:pPr>
              <w:spacing w:before="60" w:after="0" w:line="240" w:lineRule="auto"/>
              <w:jc w:val="center"/>
              <w:rPr>
                <w:rFonts w:ascii="Arial" w:hAnsi="Arial"/>
                <w:sz w:val="16"/>
              </w:rPr>
            </w:pPr>
            <w:r>
              <w:rPr>
                <w:rFonts w:ascii="Arial" w:hAnsi="Arial"/>
                <w:sz w:val="16"/>
              </w:rPr>
              <w:t>БАНКОВСКИЕ СРЕДСТВА</w:t>
            </w:r>
          </w:p>
        </w:tc>
        <w:tc>
          <w:tcPr>
            <w:tcW w:w="1021" w:type="dxa"/>
          </w:tcPr>
          <w:p w:rsidR="00000000" w:rsidRDefault="00000000">
            <w:pPr>
              <w:spacing w:before="60" w:after="0" w:line="240" w:lineRule="auto"/>
              <w:jc w:val="center"/>
              <w:rPr>
                <w:rFonts w:ascii="Arial" w:hAnsi="Arial"/>
                <w:sz w:val="16"/>
              </w:rPr>
            </w:pPr>
            <w:r>
              <w:rPr>
                <w:rFonts w:ascii="Arial" w:hAnsi="Arial"/>
                <w:sz w:val="16"/>
              </w:rPr>
              <w:t>НПО</w:t>
            </w:r>
          </w:p>
        </w:tc>
        <w:tc>
          <w:tcPr>
            <w:tcW w:w="1134" w:type="dxa"/>
          </w:tcPr>
          <w:p w:rsidR="00000000" w:rsidRDefault="00000000">
            <w:pPr>
              <w:spacing w:before="60" w:after="0" w:line="240" w:lineRule="auto"/>
              <w:jc w:val="center"/>
              <w:rPr>
                <w:rFonts w:ascii="Arial" w:hAnsi="Arial"/>
                <w:sz w:val="16"/>
              </w:rPr>
            </w:pPr>
            <w:r>
              <w:rPr>
                <w:rFonts w:ascii="Arial" w:hAnsi="Arial"/>
                <w:sz w:val="16"/>
              </w:rPr>
              <w:t>КРЕДИТНЫЙ СОЮЗ</w:t>
            </w:r>
          </w:p>
        </w:tc>
        <w:tc>
          <w:tcPr>
            <w:tcW w:w="1021" w:type="dxa"/>
          </w:tcPr>
          <w:p w:rsidR="00000000" w:rsidRDefault="00000000">
            <w:pPr>
              <w:spacing w:before="60" w:after="0" w:line="240" w:lineRule="auto"/>
              <w:jc w:val="center"/>
              <w:rPr>
                <w:rFonts w:ascii="Arial" w:hAnsi="Arial"/>
                <w:sz w:val="16"/>
              </w:rPr>
            </w:pPr>
            <w:r>
              <w:rPr>
                <w:rFonts w:ascii="Arial" w:hAnsi="Arial"/>
                <w:sz w:val="16"/>
              </w:rPr>
              <w:t>ИТОГО</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Продукты питания</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21</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5</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5</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32</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Одежда</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16</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5</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25</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Производство</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2</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5</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Розничная торговля</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1</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3</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3</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8</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Ателье (салоны)</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5</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4</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8</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19</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Обслуживание</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2</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4</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7</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Ремесла</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3</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4</w:t>
            </w:r>
          </w:p>
        </w:tc>
      </w:tr>
      <w:tr w:rsidR="00000000">
        <w:tblPrEx>
          <w:tblCellMar>
            <w:top w:w="0" w:type="dxa"/>
            <w:bottom w:w="0" w:type="dxa"/>
          </w:tblCellMar>
        </w:tblPrEx>
        <w:tc>
          <w:tcPr>
            <w:tcW w:w="1531" w:type="dxa"/>
          </w:tcPr>
          <w:p w:rsidR="00000000" w:rsidRDefault="00000000">
            <w:pPr>
              <w:spacing w:before="40" w:after="0" w:line="240" w:lineRule="auto"/>
              <w:rPr>
                <w:rFonts w:ascii="Arial" w:hAnsi="Arial"/>
                <w:sz w:val="16"/>
              </w:rPr>
            </w:pPr>
            <w:r>
              <w:rPr>
                <w:rFonts w:ascii="Arial" w:hAnsi="Arial"/>
                <w:sz w:val="16"/>
              </w:rPr>
              <w:t>Всего</w:t>
            </w:r>
          </w:p>
        </w:tc>
        <w:tc>
          <w:tcPr>
            <w:tcW w:w="1304" w:type="dxa"/>
          </w:tcPr>
          <w:p w:rsidR="00000000" w:rsidRDefault="00000000">
            <w:pPr>
              <w:tabs>
                <w:tab w:val="clear" w:pos="340"/>
                <w:tab w:val="clear" w:pos="680"/>
                <w:tab w:val="decimal" w:pos="624"/>
              </w:tabs>
              <w:spacing w:before="40" w:after="0" w:line="240" w:lineRule="auto"/>
              <w:rPr>
                <w:rFonts w:ascii="Arial" w:hAnsi="Arial"/>
                <w:sz w:val="16"/>
              </w:rPr>
            </w:pPr>
            <w:r>
              <w:rPr>
                <w:rFonts w:ascii="Arial" w:hAnsi="Arial"/>
                <w:sz w:val="16"/>
              </w:rPr>
              <w:t>50</w:t>
            </w:r>
          </w:p>
        </w:tc>
        <w:tc>
          <w:tcPr>
            <w:tcW w:w="107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18</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w:t>
            </w:r>
          </w:p>
        </w:tc>
        <w:tc>
          <w:tcPr>
            <w:tcW w:w="1247"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24</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4</w:t>
            </w:r>
          </w:p>
        </w:tc>
        <w:tc>
          <w:tcPr>
            <w:tcW w:w="1134"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2</w:t>
            </w:r>
          </w:p>
        </w:tc>
        <w:tc>
          <w:tcPr>
            <w:tcW w:w="1021" w:type="dxa"/>
          </w:tcPr>
          <w:p w:rsidR="00000000" w:rsidRDefault="00000000">
            <w:pPr>
              <w:tabs>
                <w:tab w:val="clear" w:pos="340"/>
                <w:tab w:val="decimal" w:pos="680"/>
              </w:tabs>
              <w:spacing w:before="40" w:after="0" w:line="240" w:lineRule="auto"/>
              <w:rPr>
                <w:rFonts w:ascii="Arial" w:hAnsi="Arial"/>
                <w:sz w:val="16"/>
              </w:rPr>
            </w:pPr>
            <w:r>
              <w:rPr>
                <w:rFonts w:ascii="Arial" w:hAnsi="Arial"/>
                <w:sz w:val="16"/>
              </w:rPr>
              <w:t>100</w:t>
            </w:r>
          </w:p>
        </w:tc>
      </w:tr>
    </w:tbl>
    <w:p w:rsidR="00000000" w:rsidRDefault="00000000"/>
    <w:p w:rsidR="00000000" w:rsidRDefault="00000000">
      <w:r>
        <w:t>410.</w:t>
      </w:r>
      <w:r>
        <w:tab/>
        <w:t>Хотя существует много учреждений, предоставляющих различные объемы помощи лицам, занимающимся бизнесом, очень немногие из них выделяют специальные материальные стимулы или средства для оказания помощи женщинам. Финансовые учреждения, тем не менее, отмечают, что даже в отсутствие такого стимулирования женщины все чаще прибегают к их услугам. В настоящее время основными учреждениями в Тринидаде и Тобаго, предоставляющими такую помощь, являются:</w:t>
      </w:r>
    </w:p>
    <w:p w:rsidR="00000000" w:rsidRDefault="00000000">
      <w:pPr>
        <w:numPr>
          <w:ilvl w:val="0"/>
          <w:numId w:val="696"/>
        </w:numPr>
        <w:tabs>
          <w:tab w:val="clear" w:pos="700"/>
          <w:tab w:val="left" w:pos="680"/>
        </w:tabs>
        <w:spacing w:after="0"/>
      </w:pPr>
      <w:r>
        <w:t>Компания развития малого бизнеса (</w:t>
      </w:r>
      <w:r>
        <w:rPr>
          <w:lang w:val="en-US"/>
        </w:rPr>
        <w:t>SBDC</w:t>
      </w:r>
      <w:r>
        <w:t>)</w:t>
      </w:r>
    </w:p>
    <w:p w:rsidR="00000000" w:rsidRDefault="00000000">
      <w:pPr>
        <w:numPr>
          <w:ilvl w:val="0"/>
          <w:numId w:val="696"/>
        </w:numPr>
        <w:tabs>
          <w:tab w:val="clear" w:pos="700"/>
          <w:tab w:val="left" w:pos="680"/>
        </w:tabs>
        <w:spacing w:after="0"/>
      </w:pPr>
      <w:r>
        <w:t>Компания Тринидада и Тобаго по развитию туризма и промышленности (</w:t>
      </w:r>
      <w:r>
        <w:rPr>
          <w:lang w:val="en-US"/>
        </w:rPr>
        <w:t>TIDCO</w:t>
      </w:r>
      <w:r>
        <w:t>)</w:t>
      </w:r>
    </w:p>
    <w:p w:rsidR="00000000" w:rsidRDefault="00000000">
      <w:pPr>
        <w:numPr>
          <w:ilvl w:val="0"/>
          <w:numId w:val="696"/>
        </w:numPr>
        <w:tabs>
          <w:tab w:val="clear" w:pos="700"/>
          <w:tab w:val="left" w:pos="680"/>
        </w:tabs>
        <w:spacing w:after="0"/>
      </w:pPr>
      <w:r>
        <w:t>Банк сельскохозяйственного развития (</w:t>
      </w:r>
      <w:r>
        <w:rPr>
          <w:lang w:val="en-US"/>
        </w:rPr>
        <w:t>ADB</w:t>
      </w:r>
      <w:r>
        <w:t>)</w:t>
      </w:r>
    </w:p>
    <w:p w:rsidR="00000000" w:rsidRDefault="00000000">
      <w:pPr>
        <w:numPr>
          <w:ilvl w:val="0"/>
          <w:numId w:val="696"/>
        </w:numPr>
        <w:tabs>
          <w:tab w:val="clear" w:pos="700"/>
          <w:tab w:val="left" w:pos="680"/>
        </w:tabs>
        <w:spacing w:after="0"/>
      </w:pPr>
      <w:r>
        <w:t>Фонд развития Тринидада и Тобаго (</w:t>
      </w:r>
      <w:r>
        <w:rPr>
          <w:lang w:val="en-US"/>
        </w:rPr>
        <w:t>FundAid)</w:t>
      </w:r>
    </w:p>
    <w:p w:rsidR="00000000" w:rsidRDefault="00000000">
      <w:pPr>
        <w:numPr>
          <w:ilvl w:val="0"/>
          <w:numId w:val="696"/>
        </w:numPr>
        <w:tabs>
          <w:tab w:val="clear" w:pos="700"/>
          <w:tab w:val="left" w:pos="680"/>
        </w:tabs>
        <w:spacing w:after="0"/>
      </w:pPr>
      <w:r>
        <w:t>Финансовое развитие, лимитед – Преимущество мелкого бизнеса (</w:t>
      </w:r>
      <w:r>
        <w:rPr>
          <w:lang w:val="en-US"/>
        </w:rPr>
        <w:t>DFL–MBA</w:t>
      </w:r>
      <w:r>
        <w:t>)</w:t>
      </w:r>
    </w:p>
    <w:p w:rsidR="00000000" w:rsidRDefault="00000000">
      <w:pPr>
        <w:numPr>
          <w:ilvl w:val="0"/>
          <w:numId w:val="696"/>
        </w:numPr>
        <w:tabs>
          <w:tab w:val="clear" w:pos="700"/>
          <w:tab w:val="left" w:pos="680"/>
        </w:tabs>
        <w:spacing w:after="0"/>
      </w:pPr>
      <w:r>
        <w:t>Карибское микрофинансирование, лимитед (</w:t>
      </w:r>
      <w:r>
        <w:rPr>
          <w:lang w:val="en-US"/>
        </w:rPr>
        <w:t>CMF</w:t>
      </w:r>
      <w:r>
        <w:t>)</w:t>
      </w:r>
    </w:p>
    <w:p w:rsidR="00000000" w:rsidRDefault="00000000">
      <w:pPr>
        <w:numPr>
          <w:ilvl w:val="0"/>
          <w:numId w:val="696"/>
        </w:numPr>
        <w:tabs>
          <w:tab w:val="clear" w:pos="700"/>
          <w:tab w:val="left" w:pos="680"/>
        </w:tabs>
        <w:spacing w:after="0"/>
      </w:pPr>
      <w:r>
        <w:t>Экуменический фонд церковных ссуд (</w:t>
      </w:r>
      <w:r>
        <w:rPr>
          <w:lang w:val="en-US"/>
        </w:rPr>
        <w:t>ECLOF</w:t>
      </w:r>
      <w:r>
        <w:t>)</w:t>
      </w:r>
    </w:p>
    <w:p w:rsidR="00000000" w:rsidRDefault="00000000">
      <w:pPr>
        <w:numPr>
          <w:ilvl w:val="0"/>
          <w:numId w:val="696"/>
        </w:numPr>
        <w:tabs>
          <w:tab w:val="clear" w:pos="700"/>
          <w:tab w:val="left" w:pos="680"/>
        </w:tabs>
        <w:spacing w:after="0"/>
      </w:pPr>
      <w:r>
        <w:t>Общинные действия за возрождение и занятость (</w:t>
      </w:r>
      <w:r>
        <w:rPr>
          <w:lang w:val="en-US"/>
        </w:rPr>
        <w:t>CARE</w:t>
      </w:r>
      <w:r>
        <w:t>)</w:t>
      </w:r>
    </w:p>
    <w:p w:rsidR="00000000" w:rsidRDefault="00000000">
      <w:pPr>
        <w:numPr>
          <w:ilvl w:val="0"/>
          <w:numId w:val="696"/>
        </w:numPr>
        <w:tabs>
          <w:tab w:val="clear" w:pos="700"/>
          <w:tab w:val="left" w:pos="680"/>
        </w:tabs>
        <w:spacing w:after="0"/>
      </w:pPr>
      <w:r>
        <w:t>Программа финансовых пособий для общинного развития (</w:t>
      </w:r>
      <w:r>
        <w:rPr>
          <w:lang w:val="en-US"/>
        </w:rPr>
        <w:t>CBO/NGO Window)</w:t>
      </w:r>
    </w:p>
    <w:p w:rsidR="00000000" w:rsidRDefault="00000000">
      <w:pPr>
        <w:numPr>
          <w:ilvl w:val="0"/>
          <w:numId w:val="696"/>
        </w:numPr>
        <w:tabs>
          <w:tab w:val="clear" w:pos="700"/>
          <w:tab w:val="left" w:pos="680"/>
        </w:tabs>
        <w:spacing w:after="0"/>
      </w:pPr>
      <w:r>
        <w:t>Карибская ассоциация женщин-предпринимателей (</w:t>
      </w:r>
      <w:r>
        <w:rPr>
          <w:lang w:val="en-US"/>
        </w:rPr>
        <w:t>CAWE</w:t>
      </w:r>
      <w:r>
        <w:t>)</w:t>
      </w:r>
    </w:p>
    <w:p w:rsidR="00000000" w:rsidRDefault="00000000">
      <w:pPr>
        <w:numPr>
          <w:ilvl w:val="0"/>
          <w:numId w:val="696"/>
        </w:numPr>
        <w:tabs>
          <w:tab w:val="clear" w:pos="700"/>
          <w:tab w:val="left" w:pos="680"/>
        </w:tabs>
        <w:spacing w:after="0"/>
      </w:pPr>
      <w:r>
        <w:t>Национальная корпорация сельскохозяйственного маркетинга и развития (</w:t>
      </w:r>
      <w:r>
        <w:rPr>
          <w:lang w:val="en-US"/>
        </w:rPr>
        <w:t>NAMDEVCO</w:t>
      </w:r>
      <w:r>
        <w:t>)</w:t>
      </w:r>
    </w:p>
    <w:p w:rsidR="00000000" w:rsidRDefault="00000000">
      <w:pPr>
        <w:numPr>
          <w:ilvl w:val="0"/>
          <w:numId w:val="696"/>
        </w:numPr>
        <w:tabs>
          <w:tab w:val="clear" w:pos="700"/>
          <w:tab w:val="left" w:pos="680"/>
        </w:tabs>
        <w:spacing w:after="0"/>
      </w:pPr>
      <w:r>
        <w:t>Межамериканский институт кооперации в сельском хозяйстве (</w:t>
      </w:r>
      <w:r>
        <w:rPr>
          <w:lang w:val="en-US"/>
        </w:rPr>
        <w:t>IICA</w:t>
      </w:r>
      <w:r>
        <w:t>)</w:t>
      </w:r>
    </w:p>
    <w:p w:rsidR="00000000" w:rsidRDefault="00000000">
      <w:pPr>
        <w:numPr>
          <w:ilvl w:val="0"/>
          <w:numId w:val="696"/>
        </w:numPr>
        <w:tabs>
          <w:tab w:val="clear" w:pos="700"/>
          <w:tab w:val="left" w:pos="680"/>
        </w:tabs>
      </w:pPr>
      <w:r>
        <w:t>Кредитные союзы</w:t>
      </w:r>
    </w:p>
    <w:p w:rsidR="00000000" w:rsidRDefault="00000000">
      <w:r>
        <w:t>411.</w:t>
      </w:r>
      <w:r>
        <w:tab/>
        <w:t>За период с января по март 1989 года 43,5 процента общего количества ссуд, выданных по программе развития малого бизнеса Корпорации промышленного развития, были выплачены женщинам.</w:t>
      </w:r>
    </w:p>
    <w:p w:rsidR="00000000" w:rsidRDefault="00000000">
      <w:r>
        <w:t>412.</w:t>
      </w:r>
      <w:r>
        <w:tab/>
        <w:t>Владение собственностью часто определяет способность клиента предоставить обеспечение финансовым учреждениям. В докладе о собственности на землю по областям, полу и доле дохода, получаемого от сельского хозяйства, составленном после проведения в 1982 году сельскохозяйственной переписи, содержатся некоторые полезные выводы о собственности женщин на землю. Из общего числа 30</w:t>
      </w:r>
      <w:r>
        <w:rPr>
          <w:lang w:val="en-US"/>
        </w:rPr>
        <w:t> </w:t>
      </w:r>
      <w:r>
        <w:t>422</w:t>
      </w:r>
      <w:r>
        <w:rPr>
          <w:lang w:val="en-US"/>
        </w:rPr>
        <w:t> </w:t>
      </w:r>
      <w:r>
        <w:t>землевладельцев 6317 были женщинами. Более поздняя статистика в этой области отсутствует.</w:t>
      </w:r>
    </w:p>
    <w:p w:rsidR="00000000" w:rsidRDefault="00000000">
      <w:r>
        <w:t>413.</w:t>
      </w:r>
      <w:r>
        <w:tab/>
        <w:t>Хотя правительство приняло на себя обязательства заниматься гендерными проблемами, включая предоставление социальных услуг, в среднесрочной программе политики структурных изменений на 2000–2001</w:t>
      </w:r>
      <w:r>
        <w:rPr>
          <w:lang w:val="en-US"/>
        </w:rPr>
        <w:t> </w:t>
      </w:r>
      <w:r>
        <w:t>годы перспективы гендерного развития отсутствуют. Необходимо выделить принцип гендерного равенства как заявленную цель для того, чтобы предоставить необходимую поддержку женщинам, особенно в секторе производства и торговли. Более того, необходимо, чтобы правительство произвело оценку влияния на политику и бюджет гендерных факторов, что помогло бы при определении будущей политики и составлении бюджетов.</w:t>
      </w:r>
    </w:p>
    <w:p w:rsidR="00000000" w:rsidRDefault="00000000">
      <w:r>
        <w:t>414.</w:t>
      </w:r>
      <w:r>
        <w:tab/>
        <w:t>Хотя в Конституции или в законодательстве отсутствует четкое положение, закрепляющее право на участие в культурной жизни, Конституция, тем не менее, признает некоторые аспекты этого права, в частности следующие положения, содержащиеся в статье 4 Конституции:</w:t>
      </w:r>
    </w:p>
    <w:p w:rsidR="00000000" w:rsidRDefault="00000000">
      <w:pPr>
        <w:tabs>
          <w:tab w:val="clear" w:pos="340"/>
          <w:tab w:val="left" w:pos="1021"/>
        </w:tabs>
        <w:spacing w:after="40"/>
        <w:rPr>
          <w:i/>
        </w:rPr>
      </w:pPr>
      <w:r>
        <w:rPr>
          <w:i/>
          <w:lang w:val="en-US"/>
        </w:rPr>
        <w:tab/>
        <w:t>h</w:t>
      </w:r>
      <w:r>
        <w:rPr>
          <w:i/>
        </w:rPr>
        <w:t>)</w:t>
      </w:r>
      <w:r>
        <w:rPr>
          <w:i/>
        </w:rPr>
        <w:tab/>
        <w:t>свобода совести, религиозных верований и соблюдения обрядов;</w:t>
      </w:r>
    </w:p>
    <w:p w:rsidR="00000000" w:rsidRDefault="00000000">
      <w:pPr>
        <w:tabs>
          <w:tab w:val="clear" w:pos="340"/>
          <w:tab w:val="left" w:pos="1021"/>
        </w:tabs>
        <w:spacing w:after="40"/>
        <w:rPr>
          <w:i/>
        </w:rPr>
      </w:pPr>
      <w:r>
        <w:rPr>
          <w:i/>
          <w:lang w:val="en-US"/>
        </w:rPr>
        <w:tab/>
        <w:t>i</w:t>
      </w:r>
      <w:r>
        <w:rPr>
          <w:i/>
        </w:rPr>
        <w:t>)</w:t>
      </w:r>
      <w:r>
        <w:rPr>
          <w:i/>
        </w:rPr>
        <w:tab/>
        <w:t>свобода мысли и слова;</w:t>
      </w:r>
    </w:p>
    <w:p w:rsidR="00000000" w:rsidRDefault="00000000">
      <w:pPr>
        <w:tabs>
          <w:tab w:val="clear" w:pos="340"/>
          <w:tab w:val="left" w:pos="1021"/>
        </w:tabs>
        <w:rPr>
          <w:i/>
        </w:rPr>
      </w:pPr>
      <w:r>
        <w:rPr>
          <w:i/>
          <w:lang w:val="en-US"/>
        </w:rPr>
        <w:tab/>
        <w:t>j)</w:t>
      </w:r>
      <w:r>
        <w:rPr>
          <w:i/>
          <w:lang w:val="en-US"/>
        </w:rPr>
        <w:tab/>
      </w:r>
      <w:r>
        <w:rPr>
          <w:i/>
        </w:rPr>
        <w:t>свобода собраний и ассоциаций.</w:t>
      </w:r>
    </w:p>
    <w:p w:rsidR="00000000" w:rsidRDefault="00000000">
      <w:r>
        <w:t>415.</w:t>
      </w:r>
      <w:r>
        <w:tab/>
        <w:t>В законодательстве Тринидада и Тобаго не предусмотрено четко выраженного права на участие в развлекательных и спортивных мероприятиях. Однако в стране есть Министерство спорта и по делам молодежи, которому поручено обеспечивать качественные услуги населению для развития молодежи и занятий спортом. Министерство должно быть динамичной организацией, которая работает для всего народа, находясь на переднем крае борьбы за совершенствование человека как личности и особый упор в своей деятельности делает на предоставление молодежи всех ее прав, на ее массовое участие и обеспечение высоких достижений в спорте. Что касается женщин, то Министерство осуществило программу "Женщины в спорте", чтобы привлечь внимание к вкладу женщин в спорт и способствовать их более активному участию в нем.</w:t>
      </w:r>
    </w:p>
    <w:p w:rsidR="00000000" w:rsidRDefault="00000000">
      <w:pPr>
        <w:pStyle w:val="Heading3"/>
      </w:pPr>
      <w:r>
        <w:t>Статья 14</w:t>
      </w:r>
    </w:p>
    <w:p w:rsidR="00000000" w:rsidRDefault="00000000">
      <w:r>
        <w:t>416.</w:t>
      </w:r>
      <w:r>
        <w:tab/>
        <w:t>В 1993 году в Ежегодном статистическом сборнике отмечалось, что сельское население Тринидада и Тобаго составляет 559 234 человека, или 50 процентов всего населения страны. Из этого числа 305</w:t>
      </w:r>
      <w:r>
        <w:rPr>
          <w:lang w:val="en-US"/>
        </w:rPr>
        <w:t> </w:t>
      </w:r>
      <w:r>
        <w:t>286</w:t>
      </w:r>
      <w:r>
        <w:rPr>
          <w:lang w:val="en-US"/>
        </w:rPr>
        <w:t> </w:t>
      </w:r>
      <w:r>
        <w:t>человек – женщины.</w:t>
      </w:r>
    </w:p>
    <w:p w:rsidR="00000000" w:rsidRDefault="00000000">
      <w:pPr>
        <w:spacing w:after="200"/>
      </w:pPr>
      <w:r>
        <w:t>417.</w:t>
      </w:r>
      <w:r>
        <w:tab/>
        <w:t>Сельские и/или основные производители подвержены риску воздействия природных стихий, сельскохозяйственных вредителей и змей. Дополнительный риск создает, в частности, чрезмерное и неправильное употребление агрохимикатов. Данные о связи между чрезмерным и неправильным использованием агрохимикатов в качестве удобрений и хроническими заболеваниями отсутствуют.</w:t>
      </w:r>
    </w:p>
    <w:p w:rsidR="00000000" w:rsidRDefault="00000000">
      <w:pPr>
        <w:spacing w:after="200"/>
      </w:pPr>
      <w:r>
        <w:t>418.</w:t>
      </w:r>
      <w:r>
        <w:tab/>
        <w:t>По данным Межамериканского института кооперации в сельском хозяйстве (</w:t>
      </w:r>
      <w:r>
        <w:rPr>
          <w:lang w:val="en-US"/>
        </w:rPr>
        <w:t>IICA),</w:t>
      </w:r>
      <w:r>
        <w:t xml:space="preserve"> в Тринидаде и Тобаго происходит феминизация сельского хозяйства. Это связано с уходом мужчин из сферы мелкосерийного производства и возникающей в связи с этим необходимостью для женщин проводить все больше времени в поле, что отражается на их репродуктивных обязанностях. В целом в результате недооценки вклада сельских женщин в развитие сельского хозяйства происходит их маргинализация в рамках эволюционного процесса.</w:t>
      </w:r>
    </w:p>
    <w:p w:rsidR="00000000" w:rsidRDefault="00000000">
      <w:pPr>
        <w:spacing w:after="200"/>
      </w:pPr>
      <w:r>
        <w:t>419.</w:t>
      </w:r>
      <w:r>
        <w:tab/>
        <w:t>IICA отмечает, что риски, которым подвергаются сельские женщины, занимающиеся переработкой сельскохозяйственной продукции, аналогичны рискам фабричных рабочих и включают индивидуальные увечья, связанные с ненадлежащими мерами безопасности и, следовательно, такими условиями работы, как скользкие полы, недостаточная вентиляция и неправильное использование оборудования.</w:t>
      </w:r>
    </w:p>
    <w:p w:rsidR="00000000" w:rsidRDefault="00000000">
      <w:pPr>
        <w:spacing w:after="200"/>
      </w:pPr>
      <w:r>
        <w:t>420.</w:t>
      </w:r>
      <w:r>
        <w:tab/>
        <w:t>IICA сообщает, что среди мужей сельских женщин распространены случаи алкогольной зависимости, однако масштаб этого явления неизвестен.</w:t>
      </w:r>
    </w:p>
    <w:p w:rsidR="00000000" w:rsidRDefault="00000000">
      <w:pPr>
        <w:spacing w:after="200"/>
      </w:pPr>
      <w:r>
        <w:t>421.</w:t>
      </w:r>
      <w:r>
        <w:tab/>
        <w:t>Исследование, проведенное в 1990 году консультантами исследовательской группы "Женщины и развитие" Вест-Индского университета (Сент-Огастин), выявило, что какой-либо конкретной государственной политики или программы, направленной на решение проблем сельских женщин, не существует. Поскольку население, проживающее в сельской местности, в основном занято в аграрном секторе, а государственная политика, конкретно направленная на решение проблем сельских женщин, отсутствует, ответственность за развитие сельского хозяйства возложена на Министерство сельского хозяйства, наземных и морских ресурсов, и оно фактически принимает на себя ответственность и за положение сельских женщин. Однако Министерство указало, что у него нет утвержденной политики, предназначенной непосредственно для сельских женщин.</w:t>
      </w:r>
    </w:p>
    <w:p w:rsidR="00000000" w:rsidRDefault="00000000">
      <w:pPr>
        <w:spacing w:after="200"/>
      </w:pPr>
      <w:r>
        <w:t>422.</w:t>
      </w:r>
      <w:r>
        <w:tab/>
        <w:t>За период с 1991 по 2000 год было реализовано 23 программы, определяющие политику в области планирования и экстенсивного развития, которыми были охвачены в целом 500 сельских женщин. Программы в основном осуществлялись в области консервирования продуктов питания, но включали и выращивание сельскохозяйственных культур и скота, а также организацию сельскохозяйственного производства. Эти программы были разработаны и реализовывались в результате совместных усилий Министерства сельского хозяйства и IICA.</w:t>
      </w:r>
    </w:p>
    <w:p w:rsidR="00000000" w:rsidRDefault="00000000">
      <w:pPr>
        <w:spacing w:after="200"/>
      </w:pPr>
      <w:r>
        <w:t>423.</w:t>
      </w:r>
      <w:r>
        <w:tab/>
        <w:t>Из исследования, проведенного в 1995 году Продовольственной и сельскохозяйственной организацией Объединенных Наций (ФАО), видно, каким сельскохозяйственным проблемам сельские женщины придают первостепенное значение. Данные исследования свидетельствуют о том, что из всего широкого круга тем, выделенных женщинами-фермерами, "методы культивирования" стоят на самом последнем месте, тогда как виды работы, осуществляемой после сбора урожая, такие как "хранение" и "переработка", занимают первые места.</w:t>
      </w:r>
    </w:p>
    <w:p w:rsidR="00000000" w:rsidRDefault="00000000">
      <w:pPr>
        <w:spacing w:after="0"/>
        <w:ind w:left="340"/>
        <w:jc w:val="left"/>
        <w:rPr>
          <w:b/>
        </w:rPr>
      </w:pPr>
      <w:r>
        <w:rPr>
          <w:b/>
        </w:rPr>
        <w:t xml:space="preserve">Расположение сельскохозяйственных проблем по степени важности с точки зрения </w:t>
      </w:r>
      <w:r>
        <w:rPr>
          <w:b/>
          <w:lang w:val="en-US"/>
        </w:rPr>
        <w:br/>
      </w:r>
      <w:r>
        <w:rPr>
          <w:b/>
        </w:rPr>
        <w:t>женщин-фермеров (1995 год)</w:t>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521"/>
        <w:gridCol w:w="2835"/>
      </w:tblGrid>
      <w:tr w:rsidR="00000000">
        <w:tblPrEx>
          <w:tblCellMar>
            <w:top w:w="0" w:type="dxa"/>
            <w:bottom w:w="0" w:type="dxa"/>
          </w:tblCellMar>
        </w:tblPrEx>
        <w:tc>
          <w:tcPr>
            <w:tcW w:w="6521" w:type="dxa"/>
          </w:tcPr>
          <w:p w:rsidR="00000000" w:rsidRDefault="00000000">
            <w:pPr>
              <w:spacing w:before="20" w:after="0" w:line="240" w:lineRule="auto"/>
              <w:jc w:val="center"/>
              <w:rPr>
                <w:rFonts w:ascii="Arial" w:hAnsi="Arial"/>
                <w:b/>
                <w:sz w:val="16"/>
              </w:rPr>
            </w:pPr>
            <w:r>
              <w:rPr>
                <w:rFonts w:ascii="Arial" w:hAnsi="Arial"/>
                <w:b/>
                <w:sz w:val="16"/>
              </w:rPr>
              <w:t>ПРОБЛЕМА</w:t>
            </w:r>
          </w:p>
        </w:tc>
        <w:tc>
          <w:tcPr>
            <w:tcW w:w="2835" w:type="dxa"/>
          </w:tcPr>
          <w:p w:rsidR="00000000" w:rsidRDefault="00000000">
            <w:pPr>
              <w:spacing w:before="20" w:after="0" w:line="240" w:lineRule="auto"/>
              <w:jc w:val="center"/>
              <w:rPr>
                <w:rFonts w:ascii="Arial" w:hAnsi="Arial"/>
                <w:b/>
                <w:sz w:val="16"/>
              </w:rPr>
            </w:pPr>
            <w:r>
              <w:rPr>
                <w:rFonts w:ascii="Arial" w:hAnsi="Arial"/>
                <w:b/>
                <w:sz w:val="16"/>
              </w:rPr>
              <w:t>МЕСТО</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Хранение урожая</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1-е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Переработка пищевой продукции</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2-е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Борьба с сорняками</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2-е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Селекция семян</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3-е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Методы сбора урожая</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4-е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Борьба с сельскохозяйственными вредителями</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5-е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Растениеводство/Смешанное земледелие</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6-е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Выбор удобрений</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7-е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Уход за птицей</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8-е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Уход за скотом</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10-е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Получение кредита</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11-е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Плодородие почвы</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12-е</w:t>
            </w:r>
          </w:p>
        </w:tc>
      </w:tr>
      <w:tr w:rsidR="00000000">
        <w:tblPrEx>
          <w:tblCellMar>
            <w:top w:w="0" w:type="dxa"/>
            <w:bottom w:w="0" w:type="dxa"/>
          </w:tblCellMar>
        </w:tblPrEx>
        <w:tc>
          <w:tcPr>
            <w:tcW w:w="6521" w:type="dxa"/>
          </w:tcPr>
          <w:p w:rsidR="00000000" w:rsidRDefault="00000000">
            <w:pPr>
              <w:spacing w:after="0" w:line="240" w:lineRule="auto"/>
              <w:rPr>
                <w:rFonts w:ascii="Arial" w:hAnsi="Arial"/>
                <w:sz w:val="16"/>
              </w:rPr>
            </w:pPr>
            <w:r>
              <w:rPr>
                <w:rFonts w:ascii="Arial" w:hAnsi="Arial"/>
                <w:sz w:val="16"/>
              </w:rPr>
              <w:t>Методы культивации</w:t>
            </w:r>
          </w:p>
        </w:tc>
        <w:tc>
          <w:tcPr>
            <w:tcW w:w="2835" w:type="dxa"/>
          </w:tcPr>
          <w:p w:rsidR="00000000" w:rsidRDefault="00000000">
            <w:pPr>
              <w:tabs>
                <w:tab w:val="clear" w:pos="340"/>
                <w:tab w:val="clear" w:pos="680"/>
                <w:tab w:val="decimal" w:pos="1474"/>
              </w:tabs>
              <w:spacing w:after="0" w:line="240" w:lineRule="auto"/>
              <w:rPr>
                <w:rFonts w:ascii="Arial" w:hAnsi="Arial"/>
                <w:sz w:val="16"/>
              </w:rPr>
            </w:pPr>
            <w:r>
              <w:rPr>
                <w:rFonts w:ascii="Arial" w:hAnsi="Arial"/>
                <w:sz w:val="16"/>
              </w:rPr>
              <w:t>13-е</w:t>
            </w:r>
          </w:p>
        </w:tc>
      </w:tr>
    </w:tbl>
    <w:p w:rsidR="00000000" w:rsidRDefault="00000000">
      <w:r>
        <w:t>424.</w:t>
      </w:r>
      <w:r>
        <w:tab/>
        <w:t>Масштаб и характер насилия и жестокого обращения, которым подвергаются сельские женщины, неизвестны. Однако сельские и городские женщины имеют практически одинаковый доступ к социальным услугам и службам поддержки, включая лечение. Аналогичная поддержка предоставляется и в виде консультирования Национальными службами по делам семьи, женскими группами и Департаментом по вопросам надзора и общинного развития Министерства социального и общинного развития. Гражданам предоставляется возможность получить ссуду на открытие мелкого предприятия и субсидию на обучение, и, хотя они не предназначены специально для мужчин или женщин, чаще такими возможностями пользуются женщины. Ссуды на открытие мелкого предприятия или субсидии на обучение также специально предоставляются жертвам насилия в семье. В сельских районах Тринидада открыты также центры-убежища, которые находятся в ведении Отдела по вопросам насилия в семье Министерства культуры и гендерных проблем. Они занимаются социальными проблемами женщин, детей и семей, включая проблемы насилия в семье. Кроме того, в каждом судебном округе (их в стране 13) есть офицер, осуществляющий надзор за условно освобожденными; в настоящее время шесть социальных работников прикреплены к Отделу национальных служб по делам семьи Министерства социального и общинного развития. Эти должностные лица работают в шести графствах Тринидада и Тобаго.</w:t>
      </w:r>
    </w:p>
    <w:p w:rsidR="00000000" w:rsidRDefault="00000000">
      <w:r>
        <w:t>425.</w:t>
      </w:r>
      <w:r>
        <w:tab/>
        <w:t>Сельские женщины могут овладеть основами грамоты и математики в любом из 45 центров непрерывного образования, 28 из которых расположены в сельских районах. Эти центры общедоступны. В настоящее время занятия в них посещают свыше 250 мужчин и 375 женщин. Дополнительную информацию об этих центрах можно найти в предоставленном по статье 10 пункте 234 данного периодического доклада.</w:t>
      </w:r>
    </w:p>
    <w:p w:rsidR="00000000" w:rsidRDefault="00000000">
      <w:r>
        <w:t>426.</w:t>
      </w:r>
      <w:r>
        <w:tab/>
        <w:t>Первостепенной задачей Министерства жилищного строительства и поселений являются разработка и создание такой физической структуры, которая поможет достижению основных национальных целей, включая экономическое развитие, опору общин на собственные силы, доступное жилье для всех, а также разумное использование природных ресурсов и культурного наследия. Какой-либо программы, в которой бы специально оговаривалось владение землей сельскими женщинами, не существует. Однако Министерство признает необходимость учитывать гендерные проблемы при формулировании своей политики.</w:t>
      </w:r>
    </w:p>
    <w:p w:rsidR="00000000" w:rsidRDefault="00000000">
      <w:r>
        <w:t>427.</w:t>
      </w:r>
      <w:r>
        <w:tab/>
        <w:t>IICA является региональной организацией Организации американских государств, которая очень активно участвовала в осуществлении проектов и составлении программ, относящихся к профессиональной подготовке, самопомощи и созданию инфраструктуры для сельских женщин. В результате консультаций с этой организацией при составлении данного периодического доклада две следующие программы из реализованных этой организацией были признаны наиболее значительными.</w:t>
      </w:r>
    </w:p>
    <w:p w:rsidR="00000000" w:rsidRDefault="00000000">
      <w:pPr>
        <w:tabs>
          <w:tab w:val="clear" w:pos="340"/>
          <w:tab w:val="left" w:pos="1021"/>
        </w:tabs>
        <w:spacing w:after="0"/>
        <w:ind w:left="680" w:hanging="680"/>
        <w:rPr>
          <w:b/>
        </w:rPr>
      </w:pPr>
      <w:r>
        <w:rPr>
          <w:b/>
        </w:rPr>
        <w:tab/>
        <w:t>i.</w:t>
      </w:r>
      <w:r>
        <w:rPr>
          <w:b/>
        </w:rPr>
        <w:tab/>
        <w:t>Расширение рамок участия женщин в процессе развития сельских районов Тринидада и Тобаго (1992–1995 годы)</w:t>
      </w:r>
    </w:p>
    <w:p w:rsidR="00000000" w:rsidRDefault="00000000">
      <w:pPr>
        <w:ind w:left="680"/>
      </w:pPr>
      <w:r>
        <w:tab/>
        <w:t>Этот проект осуществлялся с целью улучшить качество жизни семей сельских жителей, в особенности женщин, за счет укрепления институтов, предоставляющих поддержку, с тем чтобы поощрить участие женщин в процессе развития. Конкретными целями были повышение уровня доходов и занятости основных бенефициаров и лучшее осознание гендерных и смежных с ними проблем сотрудниками Министерства сельского хозяйства, наземных и морских ресурсов. Проект предусматривал оказание помощи различным группам в организации их производственной деятельности и включал образовательные программы по управлению предприятиями, консервированию продуктов питания, контролю за качеством продукции, гендерному анализу и идентификации и разработке инвестиционных проектов по видам деятельности, приносящим доход. При разработке проекта учитывалась также необходимость проведения исследований рынка в соответствующих общинах для поддержки коммерческих инициатив.</w:t>
      </w:r>
    </w:p>
    <w:p w:rsidR="00000000" w:rsidRDefault="00000000">
      <w:pPr>
        <w:ind w:left="680"/>
      </w:pPr>
      <w:r>
        <w:t>Формальная оценка проекта подтвердила его позитивное влияние на уровни дохода, сбережений и участие женщин-бенефициаров в различных мероприятиях. Кроме того, 67 процентов участников сообщили об укреплении чувства общинной солидарности, о возросшей уверенности в своих силах и о приобретении новых профессиональных навыков.</w:t>
      </w:r>
    </w:p>
    <w:p w:rsidR="00000000" w:rsidRDefault="00000000">
      <w:pPr>
        <w:tabs>
          <w:tab w:val="clear" w:pos="340"/>
          <w:tab w:val="left" w:pos="1021"/>
        </w:tabs>
        <w:spacing w:after="0"/>
        <w:ind w:left="680" w:hanging="680"/>
        <w:rPr>
          <w:b/>
        </w:rPr>
      </w:pPr>
      <w:r>
        <w:rPr>
          <w:b/>
        </w:rPr>
        <w:tab/>
        <w:t>ii.</w:t>
      </w:r>
      <w:r>
        <w:rPr>
          <w:b/>
        </w:rPr>
        <w:tab/>
        <w:t>Поддержка процесса развития сельских районов в Тринидаде и Тобаго посредством организационного укрепления отдельных фермерских групп и вспомогательных организаций (1996–1999 годы)</w:t>
      </w:r>
    </w:p>
    <w:p w:rsidR="00000000" w:rsidRDefault="00000000">
      <w:pPr>
        <w:ind w:left="680"/>
      </w:pPr>
      <w:r>
        <w:t>Цель этого проекта – повышение эффективности производства, которым заняты отдельные группы жителей сельских районов, путем роста конкурентоспособности их продукции на местных рынках. Особой целью проекта было увеличение степени участия этих групп в деятельности по развитию сельских районов в целом и в программах экстенсивного развития в частности. Группами, призванными реализовать проект, были женщины, молодежь, товарные ассоциации и районные/общинные группы.</w:t>
      </w:r>
    </w:p>
    <w:p w:rsidR="00000000" w:rsidRDefault="00000000">
      <w:pPr>
        <w:ind w:left="680"/>
      </w:pPr>
      <w:r>
        <w:t>Что касается женщин, то цель проекта состояла в поддержке коммерциализации деятельности, по крайней мере, шести женских групп. Основываясь на опыте, накопленном в результате осуществления предыдущего проекта (описанного выше), разработчики предложили уделить особое внимание следующим видам деятельности: профессиональной подготовке, составлению обзоров рынка, адаптации технологических комплексов и доступу к дополнительному финансированию.</w:t>
      </w:r>
    </w:p>
    <w:p w:rsidR="00000000" w:rsidRDefault="00000000">
      <w:r>
        <w:t>428.</w:t>
      </w:r>
      <w:r>
        <w:tab/>
        <w:t>Согласно данным Ежегодного статистического сборника за 1993 год, всего в сельском хозяйстве было занято 33 600 человек: 26 880 мужчин и 6700 женщин. В 1990 году правительство предприняло исследование степени участия женщин в программах развития сельского хозяйства, которое показало, что в среднем в этих программах участвовало на 25 процентов меньше женщин, чем мужчин. Отмечалось, что большинство женщин-фермеров не воспользовались предоставленными им возможностями, особенно в области профессиональной подготовки и технических программ, которые могли бы повысить их производственные показатели. Согласно проведенной в 1995 году IICA оценке влияния этих проектов на их участников выяснилось, что степень участия женщин в программах оказания помощи и их информированность о таких программах по сравнению с 1992 годом значительно возросли.</w:t>
      </w:r>
    </w:p>
    <w:p w:rsidR="00000000" w:rsidRDefault="00000000">
      <w:pPr>
        <w:spacing w:after="0"/>
        <w:rPr>
          <w:b/>
        </w:rPr>
      </w:pPr>
      <w:r>
        <w:t>429.</w:t>
      </w:r>
      <w:r>
        <w:tab/>
      </w:r>
      <w:r>
        <w:rPr>
          <w:b/>
        </w:rPr>
        <w:t>Доля женщин среди сельскохозяйственных работников, 1992–1999 годы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0"/>
        <w:gridCol w:w="1134"/>
        <w:gridCol w:w="1134"/>
        <w:gridCol w:w="1134"/>
        <w:gridCol w:w="1134"/>
        <w:gridCol w:w="1418"/>
        <w:gridCol w:w="1134"/>
        <w:gridCol w:w="1247"/>
      </w:tblGrid>
      <w:tr w:rsidR="00000000">
        <w:tblPrEx>
          <w:tblCellMar>
            <w:top w:w="0" w:type="dxa"/>
            <w:bottom w:w="0" w:type="dxa"/>
          </w:tblCellMar>
        </w:tblPrEx>
        <w:tc>
          <w:tcPr>
            <w:tcW w:w="680" w:type="dxa"/>
          </w:tcPr>
          <w:p w:rsidR="00000000" w:rsidRDefault="00000000">
            <w:pPr>
              <w:spacing w:before="40" w:after="0" w:line="240" w:lineRule="auto"/>
              <w:jc w:val="center"/>
              <w:rPr>
                <w:rFonts w:ascii="Arial" w:hAnsi="Arial"/>
                <w:b/>
                <w:sz w:val="16"/>
              </w:rPr>
            </w:pPr>
            <w:r>
              <w:rPr>
                <w:rFonts w:ascii="Arial" w:hAnsi="Arial"/>
                <w:b/>
                <w:sz w:val="16"/>
              </w:rPr>
              <w:t>Год</w:t>
            </w:r>
          </w:p>
        </w:tc>
        <w:tc>
          <w:tcPr>
            <w:tcW w:w="1134" w:type="dxa"/>
          </w:tcPr>
          <w:p w:rsidR="00000000" w:rsidRDefault="00000000">
            <w:pPr>
              <w:spacing w:before="40" w:after="0" w:line="240" w:lineRule="auto"/>
              <w:jc w:val="center"/>
              <w:rPr>
                <w:rFonts w:ascii="Arial" w:hAnsi="Arial"/>
                <w:b/>
                <w:sz w:val="16"/>
              </w:rPr>
            </w:pPr>
            <w:r>
              <w:rPr>
                <w:rFonts w:ascii="Arial" w:hAnsi="Arial"/>
                <w:b/>
                <w:sz w:val="16"/>
              </w:rPr>
              <w:t>Общее число работников</w:t>
            </w:r>
          </w:p>
        </w:tc>
        <w:tc>
          <w:tcPr>
            <w:tcW w:w="1134" w:type="dxa"/>
          </w:tcPr>
          <w:p w:rsidR="00000000" w:rsidRDefault="00000000">
            <w:pPr>
              <w:spacing w:before="40" w:after="0" w:line="240" w:lineRule="auto"/>
              <w:jc w:val="center"/>
              <w:rPr>
                <w:rFonts w:ascii="Arial" w:hAnsi="Arial"/>
                <w:b/>
                <w:sz w:val="16"/>
              </w:rPr>
            </w:pPr>
            <w:r>
              <w:rPr>
                <w:rFonts w:ascii="Arial" w:hAnsi="Arial"/>
                <w:b/>
                <w:sz w:val="16"/>
              </w:rPr>
              <w:t>Число женщин</w:t>
            </w:r>
          </w:p>
        </w:tc>
        <w:tc>
          <w:tcPr>
            <w:tcW w:w="1134" w:type="dxa"/>
          </w:tcPr>
          <w:p w:rsidR="00000000" w:rsidRDefault="00000000">
            <w:pPr>
              <w:spacing w:before="40" w:after="0" w:line="240" w:lineRule="auto"/>
              <w:jc w:val="center"/>
              <w:rPr>
                <w:rFonts w:ascii="Arial" w:hAnsi="Arial"/>
                <w:b/>
                <w:sz w:val="16"/>
              </w:rPr>
            </w:pPr>
            <w:r>
              <w:rPr>
                <w:rFonts w:ascii="Arial" w:hAnsi="Arial"/>
                <w:b/>
                <w:sz w:val="16"/>
              </w:rPr>
              <w:t>Процентное соотношение женщин</w:t>
            </w:r>
          </w:p>
        </w:tc>
        <w:tc>
          <w:tcPr>
            <w:tcW w:w="1134" w:type="dxa"/>
          </w:tcPr>
          <w:p w:rsidR="00000000" w:rsidRDefault="00000000">
            <w:pPr>
              <w:spacing w:before="40" w:after="0" w:line="240" w:lineRule="auto"/>
              <w:jc w:val="center"/>
              <w:rPr>
                <w:rFonts w:ascii="Arial" w:hAnsi="Arial"/>
                <w:b/>
                <w:sz w:val="16"/>
              </w:rPr>
            </w:pPr>
            <w:r>
              <w:rPr>
                <w:rFonts w:ascii="Arial" w:hAnsi="Arial"/>
                <w:b/>
                <w:sz w:val="16"/>
              </w:rPr>
              <w:t>Число женщин, работающих по найму</w:t>
            </w:r>
          </w:p>
        </w:tc>
        <w:tc>
          <w:tcPr>
            <w:tcW w:w="1418" w:type="dxa"/>
          </w:tcPr>
          <w:p w:rsidR="00000000" w:rsidRDefault="00000000">
            <w:pPr>
              <w:spacing w:before="40" w:after="0" w:line="240" w:lineRule="auto"/>
              <w:jc w:val="center"/>
              <w:rPr>
                <w:rFonts w:ascii="Arial" w:hAnsi="Arial"/>
                <w:b/>
                <w:sz w:val="16"/>
              </w:rPr>
            </w:pPr>
            <w:r>
              <w:rPr>
                <w:rFonts w:ascii="Arial" w:hAnsi="Arial"/>
                <w:b/>
                <w:sz w:val="16"/>
              </w:rPr>
              <w:t xml:space="preserve">Процентное соотношение женщин, работающих </w:t>
            </w:r>
            <w:r>
              <w:rPr>
                <w:rFonts w:ascii="Arial" w:hAnsi="Arial"/>
                <w:b/>
                <w:sz w:val="16"/>
                <w:lang w:val="en-US"/>
              </w:rPr>
              <w:br/>
            </w:r>
            <w:r>
              <w:rPr>
                <w:rFonts w:ascii="Arial" w:hAnsi="Arial"/>
                <w:b/>
                <w:sz w:val="16"/>
              </w:rPr>
              <w:t>по найму</w:t>
            </w:r>
          </w:p>
        </w:tc>
        <w:tc>
          <w:tcPr>
            <w:tcW w:w="1134" w:type="dxa"/>
          </w:tcPr>
          <w:p w:rsidR="00000000" w:rsidRDefault="00000000">
            <w:pPr>
              <w:spacing w:before="40" w:after="0" w:line="240" w:lineRule="auto"/>
              <w:jc w:val="center"/>
              <w:rPr>
                <w:rFonts w:ascii="Arial" w:hAnsi="Arial"/>
                <w:b/>
                <w:sz w:val="16"/>
              </w:rPr>
            </w:pPr>
            <w:r>
              <w:rPr>
                <w:rFonts w:ascii="Arial" w:hAnsi="Arial"/>
                <w:b/>
                <w:sz w:val="16"/>
              </w:rPr>
              <w:t>Число безработных женщин</w:t>
            </w:r>
          </w:p>
        </w:tc>
        <w:tc>
          <w:tcPr>
            <w:tcW w:w="1247" w:type="dxa"/>
          </w:tcPr>
          <w:p w:rsidR="00000000" w:rsidRDefault="00000000">
            <w:pPr>
              <w:spacing w:before="40" w:after="0" w:line="240" w:lineRule="auto"/>
              <w:jc w:val="center"/>
              <w:rPr>
                <w:rFonts w:ascii="Arial" w:hAnsi="Arial"/>
                <w:b/>
                <w:sz w:val="16"/>
              </w:rPr>
            </w:pPr>
            <w:r>
              <w:rPr>
                <w:rFonts w:ascii="Arial" w:hAnsi="Arial"/>
                <w:b/>
                <w:sz w:val="16"/>
              </w:rPr>
              <w:t>Процентное соотношение безработных женщин</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1992</w:t>
            </w:r>
          </w:p>
        </w:tc>
        <w:tc>
          <w:tcPr>
            <w:tcW w:w="1134" w:type="dxa"/>
          </w:tcPr>
          <w:p w:rsidR="00000000" w:rsidRDefault="00000000">
            <w:pPr>
              <w:spacing w:before="20" w:after="20" w:line="240" w:lineRule="auto"/>
              <w:jc w:val="center"/>
              <w:rPr>
                <w:rFonts w:ascii="Arial" w:hAnsi="Arial"/>
                <w:sz w:val="16"/>
              </w:rPr>
            </w:pPr>
            <w:r>
              <w:rPr>
                <w:rFonts w:ascii="Arial" w:hAnsi="Arial"/>
                <w:sz w:val="16"/>
              </w:rPr>
              <w:t>49 100</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8 775</w:t>
            </w:r>
          </w:p>
        </w:tc>
        <w:tc>
          <w:tcPr>
            <w:tcW w:w="1134" w:type="dxa"/>
          </w:tcPr>
          <w:p w:rsidR="00000000" w:rsidRDefault="00000000">
            <w:pPr>
              <w:spacing w:before="20" w:after="20" w:line="240" w:lineRule="auto"/>
              <w:jc w:val="center"/>
              <w:rPr>
                <w:rFonts w:ascii="Arial" w:hAnsi="Arial"/>
                <w:sz w:val="16"/>
              </w:rPr>
            </w:pPr>
            <w:r>
              <w:rPr>
                <w:rFonts w:ascii="Arial" w:hAnsi="Arial"/>
                <w:sz w:val="16"/>
              </w:rPr>
              <w:t>17,9</w:t>
            </w:r>
          </w:p>
        </w:tc>
        <w:tc>
          <w:tcPr>
            <w:tcW w:w="1134" w:type="dxa"/>
          </w:tcPr>
          <w:p w:rsidR="00000000" w:rsidRDefault="00000000">
            <w:pPr>
              <w:spacing w:before="20" w:after="20" w:line="240" w:lineRule="auto"/>
              <w:jc w:val="center"/>
              <w:rPr>
                <w:rFonts w:ascii="Arial" w:hAnsi="Arial"/>
                <w:sz w:val="16"/>
              </w:rPr>
            </w:pPr>
            <w:r>
              <w:rPr>
                <w:rFonts w:ascii="Arial" w:hAnsi="Arial"/>
                <w:sz w:val="16"/>
              </w:rPr>
              <w:t>7 750</w:t>
            </w:r>
          </w:p>
        </w:tc>
        <w:tc>
          <w:tcPr>
            <w:tcW w:w="1418" w:type="dxa"/>
          </w:tcPr>
          <w:p w:rsidR="00000000" w:rsidRDefault="00000000">
            <w:pPr>
              <w:spacing w:before="20" w:after="20" w:line="240" w:lineRule="auto"/>
              <w:jc w:val="center"/>
              <w:rPr>
                <w:rFonts w:ascii="Arial" w:hAnsi="Arial"/>
                <w:sz w:val="16"/>
              </w:rPr>
            </w:pPr>
            <w:r>
              <w:rPr>
                <w:rFonts w:ascii="Arial" w:hAnsi="Arial"/>
                <w:sz w:val="16"/>
              </w:rPr>
              <w:t>88</w:t>
            </w:r>
          </w:p>
        </w:tc>
        <w:tc>
          <w:tcPr>
            <w:tcW w:w="1134" w:type="dxa"/>
          </w:tcPr>
          <w:p w:rsidR="00000000" w:rsidRDefault="00000000">
            <w:pPr>
              <w:spacing w:before="20" w:after="20" w:line="240" w:lineRule="auto"/>
              <w:jc w:val="center"/>
              <w:rPr>
                <w:rFonts w:ascii="Arial" w:hAnsi="Arial"/>
                <w:sz w:val="16"/>
              </w:rPr>
            </w:pPr>
            <w:r>
              <w:rPr>
                <w:rFonts w:ascii="Arial" w:hAnsi="Arial"/>
                <w:sz w:val="16"/>
              </w:rPr>
              <w:t>975</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11,11</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1993</w:t>
            </w:r>
          </w:p>
        </w:tc>
        <w:tc>
          <w:tcPr>
            <w:tcW w:w="1134" w:type="dxa"/>
          </w:tcPr>
          <w:p w:rsidR="00000000" w:rsidRDefault="00000000">
            <w:pPr>
              <w:spacing w:before="20" w:after="20" w:line="240" w:lineRule="auto"/>
              <w:jc w:val="center"/>
              <w:rPr>
                <w:rFonts w:ascii="Arial" w:hAnsi="Arial"/>
                <w:sz w:val="16"/>
              </w:rPr>
            </w:pPr>
            <w:r>
              <w:rPr>
                <w:rFonts w:ascii="Arial" w:hAnsi="Arial"/>
                <w:sz w:val="16"/>
              </w:rPr>
              <w:t>45 675</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8 575</w:t>
            </w:r>
          </w:p>
        </w:tc>
        <w:tc>
          <w:tcPr>
            <w:tcW w:w="1134" w:type="dxa"/>
          </w:tcPr>
          <w:p w:rsidR="00000000" w:rsidRDefault="00000000">
            <w:pPr>
              <w:spacing w:before="20" w:after="20" w:line="240" w:lineRule="auto"/>
              <w:jc w:val="center"/>
              <w:rPr>
                <w:rFonts w:ascii="Arial" w:hAnsi="Arial"/>
                <w:sz w:val="16"/>
              </w:rPr>
            </w:pPr>
            <w:r>
              <w:rPr>
                <w:rFonts w:ascii="Arial" w:hAnsi="Arial"/>
                <w:sz w:val="16"/>
              </w:rPr>
              <w:t>18,8</w:t>
            </w:r>
          </w:p>
        </w:tc>
        <w:tc>
          <w:tcPr>
            <w:tcW w:w="1134" w:type="dxa"/>
          </w:tcPr>
          <w:p w:rsidR="00000000" w:rsidRDefault="00000000">
            <w:pPr>
              <w:spacing w:before="20" w:after="20" w:line="240" w:lineRule="auto"/>
              <w:jc w:val="center"/>
              <w:rPr>
                <w:rFonts w:ascii="Arial" w:hAnsi="Arial"/>
                <w:sz w:val="16"/>
              </w:rPr>
            </w:pPr>
            <w:r>
              <w:rPr>
                <w:rFonts w:ascii="Arial" w:hAnsi="Arial"/>
                <w:sz w:val="16"/>
              </w:rPr>
              <w:t>7 975</w:t>
            </w:r>
          </w:p>
        </w:tc>
        <w:tc>
          <w:tcPr>
            <w:tcW w:w="1418" w:type="dxa"/>
          </w:tcPr>
          <w:p w:rsidR="00000000" w:rsidRDefault="00000000">
            <w:pPr>
              <w:spacing w:before="20" w:after="20" w:line="240" w:lineRule="auto"/>
              <w:jc w:val="center"/>
              <w:rPr>
                <w:rFonts w:ascii="Arial" w:hAnsi="Arial"/>
                <w:sz w:val="16"/>
              </w:rPr>
            </w:pPr>
            <w:r>
              <w:rPr>
                <w:rFonts w:ascii="Arial" w:hAnsi="Arial"/>
                <w:sz w:val="16"/>
              </w:rPr>
              <w:t>93</w:t>
            </w:r>
          </w:p>
        </w:tc>
        <w:tc>
          <w:tcPr>
            <w:tcW w:w="1134" w:type="dxa"/>
          </w:tcPr>
          <w:p w:rsidR="00000000" w:rsidRDefault="00000000">
            <w:pPr>
              <w:spacing w:before="20" w:after="20" w:line="240" w:lineRule="auto"/>
              <w:jc w:val="center"/>
              <w:rPr>
                <w:rFonts w:ascii="Arial" w:hAnsi="Arial"/>
                <w:sz w:val="16"/>
              </w:rPr>
            </w:pPr>
            <w:r>
              <w:rPr>
                <w:rFonts w:ascii="Arial" w:hAnsi="Arial"/>
                <w:sz w:val="16"/>
              </w:rPr>
              <w:t>575</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6,71</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1994</w:t>
            </w:r>
          </w:p>
        </w:tc>
        <w:tc>
          <w:tcPr>
            <w:tcW w:w="1134" w:type="dxa"/>
          </w:tcPr>
          <w:p w:rsidR="00000000" w:rsidRDefault="00000000">
            <w:pPr>
              <w:spacing w:before="20" w:after="20" w:line="240" w:lineRule="auto"/>
              <w:jc w:val="center"/>
              <w:rPr>
                <w:rFonts w:ascii="Arial" w:hAnsi="Arial"/>
                <w:sz w:val="16"/>
              </w:rPr>
            </w:pPr>
            <w:r>
              <w:rPr>
                <w:rFonts w:ascii="Arial" w:hAnsi="Arial"/>
                <w:sz w:val="16"/>
              </w:rPr>
              <w:t>52 950</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10 050</w:t>
            </w:r>
          </w:p>
        </w:tc>
        <w:tc>
          <w:tcPr>
            <w:tcW w:w="1134" w:type="dxa"/>
          </w:tcPr>
          <w:p w:rsidR="00000000" w:rsidRDefault="00000000">
            <w:pPr>
              <w:spacing w:before="20" w:after="20" w:line="240" w:lineRule="auto"/>
              <w:jc w:val="center"/>
              <w:rPr>
                <w:rFonts w:ascii="Arial" w:hAnsi="Arial"/>
                <w:sz w:val="16"/>
              </w:rPr>
            </w:pPr>
            <w:r>
              <w:rPr>
                <w:rFonts w:ascii="Arial" w:hAnsi="Arial"/>
                <w:sz w:val="16"/>
              </w:rPr>
              <w:t>19,0</w:t>
            </w:r>
          </w:p>
        </w:tc>
        <w:tc>
          <w:tcPr>
            <w:tcW w:w="1134" w:type="dxa"/>
          </w:tcPr>
          <w:p w:rsidR="00000000" w:rsidRDefault="00000000">
            <w:pPr>
              <w:spacing w:before="20" w:after="20" w:line="240" w:lineRule="auto"/>
              <w:jc w:val="center"/>
              <w:rPr>
                <w:rFonts w:ascii="Arial" w:hAnsi="Arial"/>
                <w:sz w:val="16"/>
              </w:rPr>
            </w:pPr>
            <w:r>
              <w:rPr>
                <w:rFonts w:ascii="Arial" w:hAnsi="Arial"/>
                <w:sz w:val="16"/>
              </w:rPr>
              <w:t>9 275</w:t>
            </w:r>
          </w:p>
        </w:tc>
        <w:tc>
          <w:tcPr>
            <w:tcW w:w="1418" w:type="dxa"/>
          </w:tcPr>
          <w:p w:rsidR="00000000" w:rsidRDefault="00000000">
            <w:pPr>
              <w:spacing w:before="20" w:after="20" w:line="240" w:lineRule="auto"/>
              <w:jc w:val="center"/>
              <w:rPr>
                <w:rFonts w:ascii="Arial" w:hAnsi="Arial"/>
                <w:sz w:val="16"/>
              </w:rPr>
            </w:pPr>
            <w:r>
              <w:rPr>
                <w:rFonts w:ascii="Arial" w:hAnsi="Arial"/>
                <w:sz w:val="16"/>
              </w:rPr>
              <w:t>92</w:t>
            </w:r>
          </w:p>
        </w:tc>
        <w:tc>
          <w:tcPr>
            <w:tcW w:w="1134" w:type="dxa"/>
          </w:tcPr>
          <w:p w:rsidR="00000000" w:rsidRDefault="00000000">
            <w:pPr>
              <w:spacing w:before="20" w:after="20" w:line="240" w:lineRule="auto"/>
              <w:jc w:val="center"/>
              <w:rPr>
                <w:rFonts w:ascii="Arial" w:hAnsi="Arial"/>
                <w:sz w:val="16"/>
              </w:rPr>
            </w:pPr>
            <w:r>
              <w:rPr>
                <w:rFonts w:ascii="Arial" w:hAnsi="Arial"/>
                <w:sz w:val="16"/>
              </w:rPr>
              <w:t>900</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8,96</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1995</w:t>
            </w:r>
          </w:p>
        </w:tc>
        <w:tc>
          <w:tcPr>
            <w:tcW w:w="1134" w:type="dxa"/>
          </w:tcPr>
          <w:p w:rsidR="00000000" w:rsidRDefault="00000000">
            <w:pPr>
              <w:spacing w:before="20" w:after="20" w:line="240" w:lineRule="auto"/>
              <w:jc w:val="center"/>
              <w:rPr>
                <w:rFonts w:ascii="Arial" w:hAnsi="Arial"/>
                <w:sz w:val="16"/>
              </w:rPr>
            </w:pPr>
            <w:r>
              <w:rPr>
                <w:rFonts w:ascii="Arial" w:hAnsi="Arial"/>
                <w:sz w:val="16"/>
              </w:rPr>
              <w:t>47 800</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8 275</w:t>
            </w:r>
          </w:p>
        </w:tc>
        <w:tc>
          <w:tcPr>
            <w:tcW w:w="1134" w:type="dxa"/>
          </w:tcPr>
          <w:p w:rsidR="00000000" w:rsidRDefault="00000000">
            <w:pPr>
              <w:spacing w:before="20" w:after="20" w:line="240" w:lineRule="auto"/>
              <w:jc w:val="center"/>
              <w:rPr>
                <w:rFonts w:ascii="Arial" w:hAnsi="Arial"/>
                <w:sz w:val="16"/>
              </w:rPr>
            </w:pPr>
            <w:r>
              <w:rPr>
                <w:rFonts w:ascii="Arial" w:hAnsi="Arial"/>
                <w:sz w:val="16"/>
              </w:rPr>
              <w:t>17,3</w:t>
            </w:r>
          </w:p>
        </w:tc>
        <w:tc>
          <w:tcPr>
            <w:tcW w:w="1134" w:type="dxa"/>
          </w:tcPr>
          <w:p w:rsidR="00000000" w:rsidRDefault="00000000">
            <w:pPr>
              <w:spacing w:before="20" w:after="20" w:line="240" w:lineRule="auto"/>
              <w:jc w:val="center"/>
              <w:rPr>
                <w:rFonts w:ascii="Arial" w:hAnsi="Arial"/>
                <w:sz w:val="16"/>
              </w:rPr>
            </w:pPr>
            <w:r>
              <w:rPr>
                <w:rFonts w:ascii="Arial" w:hAnsi="Arial"/>
                <w:sz w:val="16"/>
              </w:rPr>
              <w:t>7 675</w:t>
            </w:r>
          </w:p>
        </w:tc>
        <w:tc>
          <w:tcPr>
            <w:tcW w:w="1418" w:type="dxa"/>
          </w:tcPr>
          <w:p w:rsidR="00000000" w:rsidRDefault="00000000">
            <w:pPr>
              <w:spacing w:before="20" w:after="20" w:line="240" w:lineRule="auto"/>
              <w:jc w:val="center"/>
              <w:rPr>
                <w:rFonts w:ascii="Arial" w:hAnsi="Arial"/>
                <w:sz w:val="16"/>
              </w:rPr>
            </w:pPr>
            <w:r>
              <w:rPr>
                <w:rFonts w:ascii="Arial" w:hAnsi="Arial"/>
                <w:sz w:val="16"/>
              </w:rPr>
              <w:t>93</w:t>
            </w:r>
          </w:p>
        </w:tc>
        <w:tc>
          <w:tcPr>
            <w:tcW w:w="1134" w:type="dxa"/>
          </w:tcPr>
          <w:p w:rsidR="00000000" w:rsidRDefault="00000000">
            <w:pPr>
              <w:spacing w:before="20" w:after="20" w:line="240" w:lineRule="auto"/>
              <w:jc w:val="center"/>
              <w:rPr>
                <w:rFonts w:ascii="Arial" w:hAnsi="Arial"/>
                <w:sz w:val="16"/>
              </w:rPr>
            </w:pPr>
            <w:r>
              <w:rPr>
                <w:rFonts w:ascii="Arial" w:hAnsi="Arial"/>
                <w:sz w:val="16"/>
              </w:rPr>
              <w:t>600</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7,25</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1996</w:t>
            </w:r>
          </w:p>
        </w:tc>
        <w:tc>
          <w:tcPr>
            <w:tcW w:w="1134" w:type="dxa"/>
          </w:tcPr>
          <w:p w:rsidR="00000000" w:rsidRDefault="00000000">
            <w:pPr>
              <w:spacing w:before="20" w:after="20" w:line="240" w:lineRule="auto"/>
              <w:jc w:val="center"/>
              <w:rPr>
                <w:rFonts w:ascii="Arial" w:hAnsi="Arial"/>
                <w:sz w:val="16"/>
              </w:rPr>
            </w:pPr>
            <w:r>
              <w:rPr>
                <w:rFonts w:ascii="Arial" w:hAnsi="Arial"/>
                <w:sz w:val="16"/>
              </w:rPr>
              <w:t>42 275</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7 725</w:t>
            </w:r>
          </w:p>
        </w:tc>
        <w:tc>
          <w:tcPr>
            <w:tcW w:w="1134" w:type="dxa"/>
          </w:tcPr>
          <w:p w:rsidR="00000000" w:rsidRDefault="00000000">
            <w:pPr>
              <w:spacing w:before="20" w:after="20" w:line="240" w:lineRule="auto"/>
              <w:jc w:val="center"/>
              <w:rPr>
                <w:rFonts w:ascii="Arial" w:hAnsi="Arial"/>
                <w:sz w:val="16"/>
              </w:rPr>
            </w:pPr>
            <w:r>
              <w:rPr>
                <w:rFonts w:ascii="Arial" w:hAnsi="Arial"/>
                <w:sz w:val="16"/>
              </w:rPr>
              <w:t>18,3</w:t>
            </w:r>
          </w:p>
        </w:tc>
        <w:tc>
          <w:tcPr>
            <w:tcW w:w="1134" w:type="dxa"/>
          </w:tcPr>
          <w:p w:rsidR="00000000" w:rsidRDefault="00000000">
            <w:pPr>
              <w:spacing w:before="20" w:after="20" w:line="240" w:lineRule="auto"/>
              <w:jc w:val="center"/>
              <w:rPr>
                <w:rFonts w:ascii="Arial" w:hAnsi="Arial"/>
                <w:sz w:val="16"/>
              </w:rPr>
            </w:pPr>
            <w:r>
              <w:rPr>
                <w:rFonts w:ascii="Arial" w:hAnsi="Arial"/>
                <w:sz w:val="16"/>
              </w:rPr>
              <w:t>7 300</w:t>
            </w:r>
          </w:p>
        </w:tc>
        <w:tc>
          <w:tcPr>
            <w:tcW w:w="1418" w:type="dxa"/>
          </w:tcPr>
          <w:p w:rsidR="00000000" w:rsidRDefault="00000000">
            <w:pPr>
              <w:spacing w:before="20" w:after="20" w:line="240" w:lineRule="auto"/>
              <w:jc w:val="center"/>
              <w:rPr>
                <w:rFonts w:ascii="Arial" w:hAnsi="Arial"/>
                <w:sz w:val="16"/>
              </w:rPr>
            </w:pPr>
            <w:r>
              <w:rPr>
                <w:rFonts w:ascii="Arial" w:hAnsi="Arial"/>
                <w:sz w:val="16"/>
              </w:rPr>
              <w:t>94</w:t>
            </w:r>
          </w:p>
        </w:tc>
        <w:tc>
          <w:tcPr>
            <w:tcW w:w="1134" w:type="dxa"/>
          </w:tcPr>
          <w:p w:rsidR="00000000" w:rsidRDefault="00000000">
            <w:pPr>
              <w:spacing w:before="20" w:after="20" w:line="240" w:lineRule="auto"/>
              <w:jc w:val="center"/>
              <w:rPr>
                <w:rFonts w:ascii="Arial" w:hAnsi="Arial"/>
                <w:sz w:val="16"/>
              </w:rPr>
            </w:pPr>
            <w:r>
              <w:rPr>
                <w:rFonts w:ascii="Arial" w:hAnsi="Arial"/>
                <w:sz w:val="16"/>
              </w:rPr>
              <w:t>450</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5,83</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1997</w:t>
            </w:r>
          </w:p>
        </w:tc>
        <w:tc>
          <w:tcPr>
            <w:tcW w:w="1134" w:type="dxa"/>
          </w:tcPr>
          <w:p w:rsidR="00000000" w:rsidRDefault="00000000">
            <w:pPr>
              <w:spacing w:before="20" w:after="20" w:line="240" w:lineRule="auto"/>
              <w:jc w:val="center"/>
              <w:rPr>
                <w:rFonts w:ascii="Arial" w:hAnsi="Arial"/>
                <w:sz w:val="16"/>
              </w:rPr>
            </w:pPr>
            <w:r>
              <w:rPr>
                <w:rFonts w:ascii="Arial" w:hAnsi="Arial"/>
                <w:sz w:val="16"/>
              </w:rPr>
              <w:t>46 900</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7 125</w:t>
            </w:r>
          </w:p>
        </w:tc>
        <w:tc>
          <w:tcPr>
            <w:tcW w:w="1134" w:type="dxa"/>
          </w:tcPr>
          <w:p w:rsidR="00000000" w:rsidRDefault="00000000">
            <w:pPr>
              <w:spacing w:before="20" w:after="20" w:line="240" w:lineRule="auto"/>
              <w:jc w:val="center"/>
              <w:rPr>
                <w:rFonts w:ascii="Arial" w:hAnsi="Arial"/>
                <w:sz w:val="16"/>
              </w:rPr>
            </w:pPr>
            <w:r>
              <w:rPr>
                <w:rFonts w:ascii="Arial" w:hAnsi="Arial"/>
                <w:sz w:val="16"/>
              </w:rPr>
              <w:t>15,2</w:t>
            </w:r>
          </w:p>
        </w:tc>
        <w:tc>
          <w:tcPr>
            <w:tcW w:w="1134" w:type="dxa"/>
          </w:tcPr>
          <w:p w:rsidR="00000000" w:rsidRDefault="00000000">
            <w:pPr>
              <w:spacing w:before="20" w:after="20" w:line="240" w:lineRule="auto"/>
              <w:jc w:val="center"/>
              <w:rPr>
                <w:rFonts w:ascii="Arial" w:hAnsi="Arial"/>
                <w:sz w:val="16"/>
              </w:rPr>
            </w:pPr>
            <w:r>
              <w:rPr>
                <w:rFonts w:ascii="Arial" w:hAnsi="Arial"/>
                <w:sz w:val="16"/>
              </w:rPr>
              <w:t>6 525</w:t>
            </w:r>
          </w:p>
        </w:tc>
        <w:tc>
          <w:tcPr>
            <w:tcW w:w="1418" w:type="dxa"/>
          </w:tcPr>
          <w:p w:rsidR="00000000" w:rsidRDefault="00000000">
            <w:pPr>
              <w:spacing w:before="20" w:after="20" w:line="240" w:lineRule="auto"/>
              <w:jc w:val="center"/>
              <w:rPr>
                <w:rFonts w:ascii="Arial" w:hAnsi="Arial"/>
                <w:sz w:val="16"/>
              </w:rPr>
            </w:pPr>
            <w:r>
              <w:rPr>
                <w:rFonts w:ascii="Arial" w:hAnsi="Arial"/>
                <w:sz w:val="16"/>
              </w:rPr>
              <w:t>92</w:t>
            </w:r>
          </w:p>
        </w:tc>
        <w:tc>
          <w:tcPr>
            <w:tcW w:w="1134" w:type="dxa"/>
          </w:tcPr>
          <w:p w:rsidR="00000000" w:rsidRDefault="00000000">
            <w:pPr>
              <w:spacing w:before="20" w:after="20" w:line="240" w:lineRule="auto"/>
              <w:jc w:val="center"/>
              <w:rPr>
                <w:rFonts w:ascii="Arial" w:hAnsi="Arial"/>
                <w:sz w:val="16"/>
              </w:rPr>
            </w:pPr>
            <w:r>
              <w:rPr>
                <w:rFonts w:ascii="Arial" w:hAnsi="Arial"/>
                <w:sz w:val="16"/>
              </w:rPr>
              <w:t>600</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8,42</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1998</w:t>
            </w:r>
          </w:p>
        </w:tc>
        <w:tc>
          <w:tcPr>
            <w:tcW w:w="1134" w:type="dxa"/>
          </w:tcPr>
          <w:p w:rsidR="00000000" w:rsidRDefault="00000000">
            <w:pPr>
              <w:spacing w:before="20" w:after="20" w:line="240" w:lineRule="auto"/>
              <w:jc w:val="center"/>
              <w:rPr>
                <w:rFonts w:ascii="Arial" w:hAnsi="Arial"/>
                <w:sz w:val="16"/>
              </w:rPr>
            </w:pPr>
            <w:r>
              <w:rPr>
                <w:rFonts w:ascii="Arial" w:hAnsi="Arial"/>
                <w:sz w:val="16"/>
              </w:rPr>
              <w:t>46 800</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6 150</w:t>
            </w:r>
          </w:p>
        </w:tc>
        <w:tc>
          <w:tcPr>
            <w:tcW w:w="1134" w:type="dxa"/>
          </w:tcPr>
          <w:p w:rsidR="00000000" w:rsidRDefault="00000000">
            <w:pPr>
              <w:spacing w:before="20" w:after="20" w:line="240" w:lineRule="auto"/>
              <w:jc w:val="center"/>
              <w:rPr>
                <w:rFonts w:ascii="Arial" w:hAnsi="Arial"/>
                <w:sz w:val="16"/>
              </w:rPr>
            </w:pPr>
            <w:r>
              <w:rPr>
                <w:rFonts w:ascii="Arial" w:hAnsi="Arial"/>
                <w:sz w:val="16"/>
              </w:rPr>
              <w:t>13,1</w:t>
            </w:r>
          </w:p>
        </w:tc>
        <w:tc>
          <w:tcPr>
            <w:tcW w:w="1134" w:type="dxa"/>
          </w:tcPr>
          <w:p w:rsidR="00000000" w:rsidRDefault="00000000">
            <w:pPr>
              <w:spacing w:before="20" w:after="20" w:line="240" w:lineRule="auto"/>
              <w:jc w:val="center"/>
              <w:rPr>
                <w:rFonts w:ascii="Arial" w:hAnsi="Arial"/>
                <w:sz w:val="16"/>
              </w:rPr>
            </w:pPr>
            <w:r>
              <w:rPr>
                <w:rFonts w:ascii="Arial" w:hAnsi="Arial"/>
                <w:sz w:val="16"/>
              </w:rPr>
              <w:t>5 825</w:t>
            </w:r>
          </w:p>
        </w:tc>
        <w:tc>
          <w:tcPr>
            <w:tcW w:w="1418" w:type="dxa"/>
          </w:tcPr>
          <w:p w:rsidR="00000000" w:rsidRDefault="00000000">
            <w:pPr>
              <w:spacing w:before="20" w:after="20" w:line="240" w:lineRule="auto"/>
              <w:jc w:val="center"/>
              <w:rPr>
                <w:rFonts w:ascii="Arial" w:hAnsi="Arial"/>
                <w:sz w:val="16"/>
              </w:rPr>
            </w:pPr>
            <w:r>
              <w:rPr>
                <w:rFonts w:ascii="Arial" w:hAnsi="Arial"/>
                <w:sz w:val="16"/>
              </w:rPr>
              <w:t>95</w:t>
            </w:r>
          </w:p>
        </w:tc>
        <w:tc>
          <w:tcPr>
            <w:tcW w:w="1134" w:type="dxa"/>
          </w:tcPr>
          <w:p w:rsidR="00000000" w:rsidRDefault="00000000">
            <w:pPr>
              <w:spacing w:before="20" w:after="20" w:line="240" w:lineRule="auto"/>
              <w:jc w:val="center"/>
              <w:rPr>
                <w:rFonts w:ascii="Arial" w:hAnsi="Arial"/>
                <w:sz w:val="16"/>
              </w:rPr>
            </w:pPr>
            <w:r>
              <w:rPr>
                <w:rFonts w:ascii="Arial" w:hAnsi="Arial"/>
                <w:sz w:val="16"/>
              </w:rPr>
              <w:t>325</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5,28</w:t>
            </w:r>
          </w:p>
        </w:tc>
      </w:tr>
      <w:tr w:rsidR="00000000">
        <w:tblPrEx>
          <w:tblCellMar>
            <w:top w:w="0" w:type="dxa"/>
            <w:bottom w:w="0" w:type="dxa"/>
          </w:tblCellMar>
        </w:tblPrEx>
        <w:tc>
          <w:tcPr>
            <w:tcW w:w="680" w:type="dxa"/>
          </w:tcPr>
          <w:p w:rsidR="00000000" w:rsidRDefault="00000000">
            <w:pPr>
              <w:spacing w:before="20" w:after="20" w:line="240" w:lineRule="auto"/>
              <w:jc w:val="center"/>
              <w:rPr>
                <w:rFonts w:ascii="Arial" w:hAnsi="Arial"/>
                <w:sz w:val="16"/>
              </w:rPr>
            </w:pPr>
            <w:r>
              <w:rPr>
                <w:rFonts w:ascii="Arial" w:hAnsi="Arial"/>
                <w:sz w:val="16"/>
              </w:rPr>
              <w:t>1999*</w:t>
            </w:r>
          </w:p>
        </w:tc>
        <w:tc>
          <w:tcPr>
            <w:tcW w:w="1134" w:type="dxa"/>
          </w:tcPr>
          <w:p w:rsidR="00000000" w:rsidRDefault="00000000">
            <w:pPr>
              <w:spacing w:before="20" w:after="20" w:line="240" w:lineRule="auto"/>
              <w:jc w:val="center"/>
              <w:rPr>
                <w:rFonts w:ascii="Arial" w:hAnsi="Arial"/>
                <w:sz w:val="16"/>
              </w:rPr>
            </w:pPr>
            <w:r>
              <w:rPr>
                <w:rFonts w:ascii="Arial" w:hAnsi="Arial"/>
                <w:sz w:val="16"/>
              </w:rPr>
              <w:t>49 200</w:t>
            </w:r>
          </w:p>
        </w:tc>
        <w:tc>
          <w:tcPr>
            <w:tcW w:w="1134" w:type="dxa"/>
          </w:tcPr>
          <w:p w:rsidR="00000000" w:rsidRDefault="00000000">
            <w:pPr>
              <w:tabs>
                <w:tab w:val="clear" w:pos="340"/>
                <w:tab w:val="decimal" w:pos="680"/>
              </w:tabs>
              <w:spacing w:before="20" w:after="20" w:line="240" w:lineRule="auto"/>
              <w:rPr>
                <w:rFonts w:ascii="Arial" w:hAnsi="Arial"/>
                <w:sz w:val="16"/>
              </w:rPr>
            </w:pPr>
            <w:r>
              <w:rPr>
                <w:rFonts w:ascii="Arial" w:hAnsi="Arial"/>
                <w:sz w:val="16"/>
              </w:rPr>
              <w:t>7 800</w:t>
            </w:r>
          </w:p>
        </w:tc>
        <w:tc>
          <w:tcPr>
            <w:tcW w:w="1134" w:type="dxa"/>
          </w:tcPr>
          <w:p w:rsidR="00000000" w:rsidRDefault="00000000">
            <w:pPr>
              <w:spacing w:before="20" w:after="20" w:line="240" w:lineRule="auto"/>
              <w:jc w:val="center"/>
              <w:rPr>
                <w:rFonts w:ascii="Arial" w:hAnsi="Arial"/>
                <w:sz w:val="16"/>
              </w:rPr>
            </w:pPr>
            <w:r>
              <w:rPr>
                <w:rFonts w:ascii="Arial" w:hAnsi="Arial"/>
                <w:sz w:val="16"/>
              </w:rPr>
              <w:t>15,9</w:t>
            </w:r>
          </w:p>
        </w:tc>
        <w:tc>
          <w:tcPr>
            <w:tcW w:w="1134" w:type="dxa"/>
          </w:tcPr>
          <w:p w:rsidR="00000000" w:rsidRDefault="00000000">
            <w:pPr>
              <w:spacing w:before="20" w:after="20" w:line="240" w:lineRule="auto"/>
              <w:jc w:val="center"/>
              <w:rPr>
                <w:rFonts w:ascii="Arial" w:hAnsi="Arial"/>
                <w:sz w:val="16"/>
              </w:rPr>
            </w:pPr>
            <w:r>
              <w:rPr>
                <w:rFonts w:ascii="Arial" w:hAnsi="Arial"/>
                <w:sz w:val="16"/>
              </w:rPr>
              <w:t>7 100</w:t>
            </w:r>
          </w:p>
        </w:tc>
        <w:tc>
          <w:tcPr>
            <w:tcW w:w="1418" w:type="dxa"/>
          </w:tcPr>
          <w:p w:rsidR="00000000" w:rsidRDefault="00000000">
            <w:pPr>
              <w:spacing w:before="20" w:after="20" w:line="240" w:lineRule="auto"/>
              <w:jc w:val="center"/>
              <w:rPr>
                <w:rFonts w:ascii="Arial" w:hAnsi="Arial"/>
                <w:sz w:val="16"/>
              </w:rPr>
            </w:pPr>
            <w:r>
              <w:rPr>
                <w:rFonts w:ascii="Arial" w:hAnsi="Arial"/>
                <w:sz w:val="16"/>
              </w:rPr>
              <w:t>91</w:t>
            </w:r>
          </w:p>
        </w:tc>
        <w:tc>
          <w:tcPr>
            <w:tcW w:w="1134" w:type="dxa"/>
          </w:tcPr>
          <w:p w:rsidR="00000000" w:rsidRDefault="00000000">
            <w:pPr>
              <w:spacing w:before="20" w:after="20" w:line="240" w:lineRule="auto"/>
              <w:jc w:val="center"/>
              <w:rPr>
                <w:rFonts w:ascii="Arial" w:hAnsi="Arial"/>
                <w:sz w:val="16"/>
              </w:rPr>
            </w:pPr>
            <w:r>
              <w:rPr>
                <w:rFonts w:ascii="Arial" w:hAnsi="Arial"/>
                <w:sz w:val="16"/>
              </w:rPr>
              <w:t>800</w:t>
            </w:r>
          </w:p>
        </w:tc>
        <w:tc>
          <w:tcPr>
            <w:tcW w:w="1247" w:type="dxa"/>
          </w:tcPr>
          <w:p w:rsidR="00000000" w:rsidRDefault="00000000">
            <w:pPr>
              <w:tabs>
                <w:tab w:val="clear" w:pos="340"/>
                <w:tab w:val="clear" w:pos="680"/>
                <w:tab w:val="decimal" w:pos="567"/>
              </w:tabs>
              <w:spacing w:before="20" w:after="20" w:line="240" w:lineRule="auto"/>
              <w:rPr>
                <w:rFonts w:ascii="Arial" w:hAnsi="Arial"/>
                <w:sz w:val="16"/>
              </w:rPr>
            </w:pPr>
            <w:r>
              <w:rPr>
                <w:rFonts w:ascii="Arial" w:hAnsi="Arial"/>
                <w:sz w:val="16"/>
              </w:rPr>
              <w:t>10,26</w:t>
            </w:r>
          </w:p>
        </w:tc>
      </w:tr>
    </w:tbl>
    <w:p w:rsidR="00000000" w:rsidRDefault="00000000">
      <w:pPr>
        <w:ind w:left="680"/>
        <w:rPr>
          <w:sz w:val="16"/>
        </w:rPr>
      </w:pPr>
      <w:r>
        <w:rPr>
          <w:sz w:val="16"/>
        </w:rPr>
        <w:t>*</w:t>
      </w:r>
      <w:r>
        <w:rPr>
          <w:sz w:val="16"/>
          <w:lang w:val="en-US"/>
        </w:rPr>
        <w:t xml:space="preserve"> </w:t>
      </w:r>
      <w:r>
        <w:rPr>
          <w:sz w:val="16"/>
        </w:rPr>
        <w:t>По состоянию на апрель 1999 года.</w:t>
      </w:r>
    </w:p>
    <w:p w:rsidR="00000000" w:rsidRDefault="00000000">
      <w:r>
        <w:t>430.</w:t>
      </w:r>
      <w:r>
        <w:tab/>
        <w:t>Что касается доходов, то IICA выяснил, что для сельскохозяйственного сектора характерна разница между доходами мужчин и женщин, поскольку заработки женщин обычно связаны с работой в сельском хозяйстве для получения средств к существованию и они гораздо ниже заработков фермеров-мужчин, которые обычно занимаются земледелием в коммерческих целях. Однако данные, собранные IICA в 1992 и 1995 годах в отношении 120 сельских женщин, свидетельствуют о том, что в 1995 году больше женщин сообщили о доходах "свыше 100 долл. США в неделю", чем в 1992 году.</w:t>
      </w:r>
    </w:p>
    <w:p w:rsidR="00000000" w:rsidRDefault="00000000">
      <w:r>
        <w:t>431.</w:t>
      </w:r>
      <w:r>
        <w:tab/>
        <w:t>По данным предварительного доклада Лиги кооперативного кредитного союза Тринидада и Тобаго, правительство поставило цель расширения производства и занятости в сельскохозяйственном секторе и повышения вклада сельского хозяйства в валовой внутренний продукт, а также в поступления иностранной валюты. Ожидается, что принятое решение будет способствовать более успешной работе женщин в земледелии и переработке продукции сельского хозяйства. Однако в этой политике не нашли четкого отражения гендерные факторы, и преобладание мужчин в аграрном секторе приведет к тому, что они скорее всего и выиграют от этой политики. Аналогичным образом стратегическая линия правительства на укрепление социальной стабильности, снижение уровня нищеты и развитие сельских общин включает осуществление сельскохозяйственных проектов, в которых делается упор на участии общин в помощи крестьянам-беднякам, но о проведении консультаций для сельских женщин в связи с этим процессом конкретного упоминания нет.</w:t>
      </w:r>
    </w:p>
    <w:p w:rsidR="00000000" w:rsidRDefault="00000000">
      <w:r>
        <w:t>432.</w:t>
      </w:r>
      <w:r>
        <w:tab/>
        <w:t>В 1989 году были созданы консультативные комитеты графств по вопросам сельского хозяйства, а в 1992 году их деятельность была возобновлена. Во всех таких комитетах представлены общинные группы. Все группы, включая женские организации, имеют возможность принимать участие в развитии сельскохозяйственных районов и планировании.</w:t>
      </w:r>
    </w:p>
    <w:p w:rsidR="00000000" w:rsidRDefault="00000000">
      <w:r>
        <w:t>433.</w:t>
      </w:r>
      <w:r>
        <w:tab/>
        <w:t>Сельские женщины также участвуют во всех программах, предлагаемых Министерством сельского хозяйства, наземных и морских ресурсов, хотя каких-либо специальных мероприятий для сельских женщин не проводилось.</w:t>
      </w:r>
    </w:p>
    <w:p w:rsidR="00000000" w:rsidRDefault="00000000">
      <w:r>
        <w:t>434.</w:t>
      </w:r>
      <w:r>
        <w:tab/>
        <w:t>Помимо Министерства сельского хозяйства, наземных и морских ресурсов большую работу с сельскими женщинами проводят неправительственные организации. Ниже приводится перечень проектов, осуществленных по инициативе IICA:</w:t>
      </w:r>
    </w:p>
    <w:p w:rsidR="00000000" w:rsidRDefault="00000000">
      <w:pPr>
        <w:tabs>
          <w:tab w:val="clear" w:pos="340"/>
          <w:tab w:val="left" w:pos="1021"/>
        </w:tabs>
        <w:spacing w:after="0"/>
        <w:rPr>
          <w:b/>
        </w:rPr>
      </w:pPr>
      <w:r>
        <w:rPr>
          <w:b/>
        </w:rPr>
        <w:tab/>
        <w:t>i.</w:t>
      </w:r>
      <w:r>
        <w:rPr>
          <w:b/>
        </w:rPr>
        <w:tab/>
        <w:t>Сеть женщин – сельскохозяйственных производителей</w:t>
      </w:r>
    </w:p>
    <w:p w:rsidR="00000000" w:rsidRDefault="00000000">
      <w:pPr>
        <w:spacing w:after="160"/>
        <w:ind w:left="680"/>
      </w:pPr>
      <w:r>
        <w:t>После выполнения проекта IICA 1996–1999 годов (описанного выше) IICA поддержал создание сети женщин – сельскохозяйственных производителей (NRWA), под эгидой которой работают теперь как группы, так и отдельные лица. Создание этой сети поддержало Министерство сельского хозяйства, наземных и морских ресурсов, а супруга премьер-министра стала его патронессой.</w:t>
      </w:r>
    </w:p>
    <w:p w:rsidR="00000000" w:rsidRDefault="00000000">
      <w:pPr>
        <w:spacing w:after="160"/>
        <w:ind w:left="680"/>
      </w:pPr>
      <w:r>
        <w:t xml:space="preserve">Общая цель NRWA – помочь сельским женщинам стать экономически самостоятельными и, следовательно, предоставить им возможность для улучшения своего социально-экономического статуса. Членами этой сети могут стать все сельские женщины, а также женские группы или организации, занимающиеся земледелием или связанной с ним деятельностью. Помимо кампании по привлечению новых членов проводилась работа и по профессиональной подготовке членов сети. IICA разработал предложение по дополнительному финансированию для поддержки и усиления институциональной структуры сети и направил его в Канадский фонд гендерного равенства. По поручению Комитета по оказанию помощи малоимущим была также создана схема автоматически возобновляемого кредита, которая предусматривает выплату членам сети ссуды в размере 900 долл. США. </w:t>
      </w:r>
    </w:p>
    <w:p w:rsidR="00000000" w:rsidRDefault="00000000">
      <w:pPr>
        <w:tabs>
          <w:tab w:val="clear" w:pos="340"/>
          <w:tab w:val="left" w:pos="1021"/>
        </w:tabs>
        <w:spacing w:after="0"/>
        <w:rPr>
          <w:b/>
        </w:rPr>
      </w:pPr>
      <w:r>
        <w:rPr>
          <w:b/>
        </w:rPr>
        <w:tab/>
        <w:t>ii.</w:t>
      </w:r>
      <w:r>
        <w:rPr>
          <w:b/>
        </w:rPr>
        <w:tab/>
        <w:t>Карибская сеть женщин – сельскохозяйственных производителей</w:t>
      </w:r>
    </w:p>
    <w:p w:rsidR="00000000" w:rsidRDefault="00000000">
      <w:pPr>
        <w:spacing w:after="160"/>
        <w:ind w:left="680"/>
      </w:pPr>
      <w:r>
        <w:t>IICA оказал также помощь в создании Карибской сети женщин – сельскохозяйственных производителей. Стимулом к созданию сети послужила первая Встреча жен глав государств и правительств, которая состоялась 5–7 июля 1999 года. По результатам этой Встречи было принято решение преобразовать Встречу в Форум жен глав государств и глав правительств стран Карибского бассейна. Был разработан устав Ассоциации Карибской сети и направлен в офис IICA в Гайане для регистрации в качестве некоммерческой организации.</w:t>
      </w:r>
    </w:p>
    <w:p w:rsidR="00000000" w:rsidRDefault="00000000">
      <w:pPr>
        <w:tabs>
          <w:tab w:val="clear" w:pos="340"/>
          <w:tab w:val="left" w:pos="1021"/>
        </w:tabs>
        <w:spacing w:after="0"/>
        <w:rPr>
          <w:b/>
        </w:rPr>
      </w:pPr>
      <w:r>
        <w:rPr>
          <w:b/>
        </w:rPr>
        <w:tab/>
        <w:t>iii.</w:t>
      </w:r>
      <w:r>
        <w:rPr>
          <w:b/>
        </w:rPr>
        <w:tab/>
        <w:t>Форум жен глав государств и правительств стран Карибского бассейна</w:t>
      </w:r>
    </w:p>
    <w:p w:rsidR="00000000" w:rsidRDefault="00000000">
      <w:pPr>
        <w:ind w:left="680"/>
      </w:pPr>
      <w:r>
        <w:t>Совместная работа IICA и Конференции жен глав государств и правительств Северной и Южной Америки началась в 1992 году, когда Институт откликнулся на просьбу группы "первых леди" на Женевской встрече на высшем уровне сосредоточить внимание на положении женщин сельских районов. После того как в 18 странах в период с 1993 по 1995 год был осуществлен комплексный исследовательский проект, IICA завершил создание программы для Западного полушария, озаглавленной "Программа по развитию предпринимательства среди женщин – жительниц сельских районов" (PADEMUR). IICA в настоящее время тесно связан с конференцией стран Западного полушария через посредство PADEMUR. Чтобы делегатки из стран Карибского бассейна могли участвовать во Встрече, IICA спонсировал проведение первой Встречи жен глав государств и правительств стран Карибского бассейна. Основной целью Встречи стало содействие коллективным региональным усилиям по разработке успешных инициатив и кооперативных стратегий для решения социальных проблем женщин стран Карибского бассейна.</w:t>
      </w:r>
    </w:p>
    <w:p w:rsidR="00000000" w:rsidRDefault="00000000">
      <w:pPr>
        <w:ind w:left="680"/>
      </w:pPr>
      <w:r>
        <w:t>Эта Встреча была и исторической, и знаменательной, так как она послужила началом диалога между наиболее высокопоставленными женщинами стран Карибского бассейна; она поможет объединению и усилению региональной позиции в решении проблем, связанных с активизацией экономического и социального развития женщин, в особенности женщин сельских районов.</w:t>
      </w:r>
    </w:p>
    <w:p w:rsidR="00000000" w:rsidRDefault="00000000">
      <w:r>
        <w:t>435.</w:t>
      </w:r>
      <w:r>
        <w:tab/>
        <w:t>В официальной Порт-оф-Спейнской декларации отмечалось, что жены глав государств и правительств стран Карибского региона:</w:t>
      </w:r>
    </w:p>
    <w:p w:rsidR="00000000" w:rsidRDefault="00000000">
      <w:pPr>
        <w:numPr>
          <w:ilvl w:val="0"/>
          <w:numId w:val="818"/>
        </w:numPr>
        <w:tabs>
          <w:tab w:val="clear" w:pos="700"/>
          <w:tab w:val="left" w:pos="680"/>
        </w:tabs>
        <w:spacing w:after="0"/>
      </w:pPr>
      <w:r>
        <w:t>подтвердили свое желание и намерение поддерживать и претворять в жизнь политику и программы, которые провозглашают права женщин стран Карибского бассейна на участие и доступ ко всем видам социальной, политической, экономической и культурной деятельности в своих странах в соответствии с международными соглашениями, конвенциями и резолюциями, которые способствуют усилению демократии, ликвидации нищеты и защите и поощрению прав человека, экономической стабильности и социальной справедливости для всех;</w:t>
      </w:r>
    </w:p>
    <w:p w:rsidR="00000000" w:rsidRDefault="00000000">
      <w:pPr>
        <w:numPr>
          <w:ilvl w:val="0"/>
          <w:numId w:val="818"/>
        </w:numPr>
        <w:tabs>
          <w:tab w:val="clear" w:pos="700"/>
          <w:tab w:val="left" w:pos="680"/>
        </w:tabs>
        <w:spacing w:after="0"/>
      </w:pPr>
      <w:r>
        <w:t>выразили согласие создать и организационно закрепить данную Встречу, которая впредь будет именоваться Форумом жен глав государств и правительств стран Карибского региона;</w:t>
      </w:r>
    </w:p>
    <w:p w:rsidR="00000000" w:rsidRDefault="00000000">
      <w:pPr>
        <w:numPr>
          <w:ilvl w:val="0"/>
          <w:numId w:val="818"/>
        </w:numPr>
        <w:tabs>
          <w:tab w:val="clear" w:pos="700"/>
          <w:tab w:val="left" w:pos="680"/>
        </w:tabs>
      </w:pPr>
      <w:r>
        <w:t>решили добиваться официального признания и поддержки глав государств и правительств стран Карибского региона в осуществлении целей этого Форума.</w:t>
      </w:r>
    </w:p>
    <w:p w:rsidR="00000000" w:rsidRDefault="00000000">
      <w:pPr>
        <w:pStyle w:val="Heading3"/>
      </w:pPr>
      <w:r>
        <w:t>Статья 15</w:t>
      </w:r>
    </w:p>
    <w:p w:rsidR="00000000" w:rsidRDefault="00000000">
      <w:r>
        <w:t>436.</w:t>
      </w:r>
      <w:r>
        <w:tab/>
        <w:t>В главе</w:t>
      </w:r>
      <w:r>
        <w:rPr>
          <w:lang w:val="en-US"/>
        </w:rPr>
        <w:t> </w:t>
      </w:r>
      <w:r>
        <w:t>1:50 закона о гражданстве и главе</w:t>
      </w:r>
      <w:r>
        <w:rPr>
          <w:lang w:val="en-US"/>
        </w:rPr>
        <w:t> </w:t>
      </w:r>
      <w:r>
        <w:t>18:01 закона об иммиграции рассматриваются различные аспекты приобретения, изменения и сохранения прежнего гражданства. В частности, в статье</w:t>
      </w:r>
      <w:r>
        <w:rPr>
          <w:lang w:val="en-US"/>
        </w:rPr>
        <w:t> </w:t>
      </w:r>
      <w:r>
        <w:t>6 закона об иммиграции изложены условия, которым должен удовлетворять человек, желающий приобрести статус резидента. Эти положения применимы в равной степени как к мужчинам, так и женщинам, и в них не делается каких-либо различий в отношении замужних и незамужних женщин.</w:t>
      </w:r>
    </w:p>
    <w:p w:rsidR="00000000" w:rsidRDefault="00000000">
      <w:r>
        <w:t>437.</w:t>
      </w:r>
      <w:r>
        <w:tab/>
        <w:t>Согласно главе</w:t>
      </w:r>
      <w:r>
        <w:rPr>
          <w:lang w:val="en-US"/>
        </w:rPr>
        <w:t> </w:t>
      </w:r>
      <w:r>
        <w:t>1:50 закона о гражданстве, который соответствует статьям</w:t>
      </w:r>
      <w:r>
        <w:rPr>
          <w:lang w:val="en-US"/>
        </w:rPr>
        <w:t> </w:t>
      </w:r>
      <w:r>
        <w:t>15–21 главы</w:t>
      </w:r>
      <w:r>
        <w:rPr>
          <w:lang w:val="en-US"/>
        </w:rPr>
        <w:t> </w:t>
      </w:r>
      <w:r>
        <w:t>2 Конституции страны, ребенок является гражданином Тринидада и Тобаго по рождению, если любой из его или ее родителей является гражданином страны. Ребенок не становится гражданином страны при рождении, если любой из его или ее родителей "пользуется иммунитетом от привлечения к суду и юридического процесса, который предоставляется дипломатическому представителю иностранного суверенного государства, аккредитованному в Тринидаде и Тобаго; или… если любой из его родителей является враждебным иностранцем и его рождение произошло в месте, которое в тот момент находилось под оккупацией врага". Кроме того, ребенок, который родился за пределами Тринидада и Тобаго, является гражданином страны, если любой из его или ее родителей является или являлся (в случае смерти его или ее родителя) гражданином Тринидада и Тобаго. При этом не делается никакого различия между ребенком мужского или женского пола.</w:t>
      </w:r>
    </w:p>
    <w:p w:rsidR="00000000" w:rsidRDefault="00000000">
      <w:r>
        <w:t>438.</w:t>
      </w:r>
      <w:r>
        <w:tab/>
        <w:t>Разделом 4 </w:t>
      </w:r>
      <w:r>
        <w:rPr>
          <w:lang w:val="en-US"/>
        </w:rPr>
        <w:t>g</w:t>
      </w:r>
      <w:r>
        <w:t>) Конституции предусматривается законное право на свободу передвижения "без дискриминации по признаку расы, происхождения, цвета кожи, вероисповедания или пола". Таким образом, каждый человек свободен выбирать место своего жительства и домициль, въезжать в страну и свободно покидать территорию, находящуюся под ее юрисдикцией, при условии, что он имеет юридически действительные проездные документы, которые все граждане и резиденты имеют право получить, за исключением нескольких изложенных в статьях 4–8 главы 18:01 закона об иммиграции случаев, которые не имеют никакого отношения к гендерному фактору.</w:t>
      </w:r>
    </w:p>
    <w:p w:rsidR="00000000" w:rsidRDefault="00000000">
      <w:r>
        <w:t>439.</w:t>
      </w:r>
      <w:r>
        <w:tab/>
        <w:t>Глава 7:07 закона о юридической помощи и консультациях был составлен с тем, чтобы оставить в силе статью 4 Конституции, которая гарантирует "право человека на равенство перед законом и на защиту со стороны закона" и "право человека на равенство в том, что касается обращения с ним любого государственного органа, какие бы функции он ни исполнял". Эти права гарантируются "без дискриминации по признаку расы, происхождения, цвета кожи, вероисповедания или пола". Таким образом, юридическая помощь предоставляется в равной степени как мужчинам, так и женщинам в Тринидаде и Тобаго.</w:t>
      </w:r>
    </w:p>
    <w:p w:rsidR="00000000" w:rsidRDefault="00000000">
      <w:r>
        <w:t>440.</w:t>
      </w:r>
      <w:r>
        <w:tab/>
        <w:t>Юридическая помощь предоставляется в Тринидаде и Тобаго с 1976 года. Первоначально обнародованный закон, в соответствии с которым было создано Управление по вопросам предоставления юридической помощи и консультаций, был изменен в результате принятия закона о юридической помощи (поправка) № 18 1999</w:t>
      </w:r>
      <w:r>
        <w:rPr>
          <w:lang w:val="en-US"/>
        </w:rPr>
        <w:t> </w:t>
      </w:r>
      <w:r>
        <w:t>года. Этой поправкой был расширен перечень процессуальных действий, в отношении которых может предоставляться юридическая помощь. Поправка также уполномочивает начальника Управления выдавать свидетельство на оказание экстренной юридической помощи лицу, желающему получить безотлагательную юридическую помощь по вопросу о порядке подачи заявления и по его существу в соответствии с законом о насилии в семье № 27 1999 года. Были также повышены уровни свободного капитала и дохода, которые ограничивают право человека на получение юридической помощи, что расширяет круг лиц, которые отныне могут обращаться за юридической помощью.</w:t>
      </w:r>
    </w:p>
    <w:p w:rsidR="00000000" w:rsidRDefault="00000000">
      <w:pPr>
        <w:rPr>
          <w:b/>
        </w:rPr>
      </w:pPr>
      <w:r>
        <w:rPr>
          <w:b/>
          <w:lang w:val="en-US"/>
        </w:rPr>
        <w:tab/>
      </w:r>
      <w:r>
        <w:rPr>
          <w:b/>
        </w:rPr>
        <w:t>Поданные заявления о предоставлении юридической помощи с разбивкой по полу, 1998–2000 годы</w:t>
      </w: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92"/>
        <w:gridCol w:w="1077"/>
        <w:gridCol w:w="1077"/>
        <w:gridCol w:w="1077"/>
        <w:gridCol w:w="1077"/>
        <w:gridCol w:w="1077"/>
        <w:gridCol w:w="1077"/>
      </w:tblGrid>
      <w:tr w:rsidR="00000000">
        <w:tblPrEx>
          <w:tblCellMar>
            <w:top w:w="0" w:type="dxa"/>
            <w:bottom w:w="0" w:type="dxa"/>
          </w:tblCellMar>
        </w:tblPrEx>
        <w:trPr>
          <w:cantSplit/>
        </w:trPr>
        <w:tc>
          <w:tcPr>
            <w:tcW w:w="2892" w:type="dxa"/>
            <w:vMerge w:val="restart"/>
          </w:tcPr>
          <w:p w:rsidR="00000000" w:rsidRDefault="00000000">
            <w:pPr>
              <w:spacing w:before="60" w:after="20" w:line="240" w:lineRule="auto"/>
              <w:jc w:val="center"/>
              <w:rPr>
                <w:rFonts w:ascii="Arial" w:hAnsi="Arial"/>
                <w:sz w:val="16"/>
              </w:rPr>
            </w:pPr>
            <w:r>
              <w:rPr>
                <w:rFonts w:ascii="Arial" w:hAnsi="Arial"/>
                <w:sz w:val="16"/>
              </w:rPr>
              <w:t>ТИП ДЕЛА</w:t>
            </w:r>
          </w:p>
        </w:tc>
        <w:tc>
          <w:tcPr>
            <w:tcW w:w="2154" w:type="dxa"/>
            <w:gridSpan w:val="2"/>
          </w:tcPr>
          <w:p w:rsidR="00000000" w:rsidRDefault="00000000">
            <w:pPr>
              <w:spacing w:before="60" w:after="20" w:line="240" w:lineRule="auto"/>
              <w:jc w:val="center"/>
              <w:rPr>
                <w:rFonts w:ascii="Arial" w:hAnsi="Arial"/>
                <w:sz w:val="16"/>
              </w:rPr>
            </w:pPr>
            <w:r>
              <w:rPr>
                <w:rFonts w:ascii="Arial" w:hAnsi="Arial"/>
                <w:sz w:val="16"/>
              </w:rPr>
              <w:t>1998 год</w:t>
            </w:r>
          </w:p>
        </w:tc>
        <w:tc>
          <w:tcPr>
            <w:tcW w:w="2154" w:type="dxa"/>
            <w:gridSpan w:val="2"/>
          </w:tcPr>
          <w:p w:rsidR="00000000" w:rsidRDefault="00000000">
            <w:pPr>
              <w:spacing w:before="60" w:after="20" w:line="240" w:lineRule="auto"/>
              <w:jc w:val="center"/>
              <w:rPr>
                <w:rFonts w:ascii="Arial" w:hAnsi="Arial"/>
                <w:sz w:val="16"/>
              </w:rPr>
            </w:pPr>
            <w:r>
              <w:rPr>
                <w:rFonts w:ascii="Arial" w:hAnsi="Arial"/>
                <w:sz w:val="16"/>
              </w:rPr>
              <w:t>1999 год</w:t>
            </w:r>
          </w:p>
        </w:tc>
        <w:tc>
          <w:tcPr>
            <w:tcW w:w="2154" w:type="dxa"/>
            <w:gridSpan w:val="2"/>
          </w:tcPr>
          <w:p w:rsidR="00000000" w:rsidRDefault="00000000">
            <w:pPr>
              <w:spacing w:before="60" w:after="20" w:line="240" w:lineRule="auto"/>
              <w:jc w:val="center"/>
              <w:rPr>
                <w:rFonts w:ascii="Arial" w:hAnsi="Arial"/>
                <w:sz w:val="16"/>
              </w:rPr>
            </w:pPr>
            <w:r>
              <w:rPr>
                <w:rFonts w:ascii="Arial" w:hAnsi="Arial"/>
                <w:sz w:val="16"/>
              </w:rPr>
              <w:t>2000 год*</w:t>
            </w:r>
          </w:p>
        </w:tc>
      </w:tr>
      <w:tr w:rsidR="00000000">
        <w:tblPrEx>
          <w:tblCellMar>
            <w:top w:w="0" w:type="dxa"/>
            <w:bottom w:w="0" w:type="dxa"/>
          </w:tblCellMar>
        </w:tblPrEx>
        <w:trPr>
          <w:cantSplit/>
        </w:trPr>
        <w:tc>
          <w:tcPr>
            <w:tcW w:w="2892" w:type="dxa"/>
            <w:vMerge/>
          </w:tcPr>
          <w:p w:rsidR="00000000" w:rsidRDefault="00000000">
            <w:pPr>
              <w:spacing w:before="60" w:after="20" w:line="240" w:lineRule="auto"/>
              <w:jc w:val="left"/>
              <w:rPr>
                <w:rFonts w:ascii="Arial" w:hAnsi="Arial"/>
                <w:sz w:val="16"/>
              </w:rPr>
            </w:pPr>
          </w:p>
        </w:tc>
        <w:tc>
          <w:tcPr>
            <w:tcW w:w="1077"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женщины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мужчины</w:t>
            </w:r>
          </w:p>
        </w:tc>
        <w:tc>
          <w:tcPr>
            <w:tcW w:w="1077" w:type="dxa"/>
          </w:tcPr>
          <w:p w:rsidR="00000000" w:rsidRDefault="00000000">
            <w:pPr>
              <w:spacing w:before="60" w:after="20" w:line="240" w:lineRule="auto"/>
              <w:jc w:val="center"/>
              <w:rPr>
                <w:rFonts w:ascii="Arial" w:hAnsi="Arial"/>
                <w:sz w:val="16"/>
              </w:rPr>
            </w:pPr>
            <w:r>
              <w:rPr>
                <w:rFonts w:ascii="Arial" w:hAnsi="Arial"/>
                <w:sz w:val="16"/>
              </w:rPr>
              <w:t>женщины</w:t>
            </w:r>
          </w:p>
        </w:tc>
      </w:tr>
      <w:tr w:rsidR="00000000">
        <w:tblPrEx>
          <w:tblCellMar>
            <w:top w:w="0" w:type="dxa"/>
            <w:bottom w:w="0" w:type="dxa"/>
          </w:tblCellMar>
        </w:tblPrEx>
        <w:tc>
          <w:tcPr>
            <w:tcW w:w="2892" w:type="dxa"/>
          </w:tcPr>
          <w:p w:rsidR="00000000" w:rsidRDefault="00000000">
            <w:pPr>
              <w:spacing w:before="60" w:after="20" w:line="240" w:lineRule="auto"/>
              <w:jc w:val="left"/>
              <w:rPr>
                <w:rFonts w:ascii="Arial" w:hAnsi="Arial"/>
                <w:sz w:val="16"/>
              </w:rPr>
            </w:pPr>
            <w:r>
              <w:rPr>
                <w:rFonts w:ascii="Arial" w:hAnsi="Arial"/>
                <w:sz w:val="16"/>
              </w:rPr>
              <w:t>Дела, рассматриваемые судами низшей инстанции</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321</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291</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282</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207</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96</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71</w:t>
            </w:r>
          </w:p>
        </w:tc>
      </w:tr>
      <w:tr w:rsidR="00000000">
        <w:tblPrEx>
          <w:tblCellMar>
            <w:top w:w="0" w:type="dxa"/>
            <w:bottom w:w="0" w:type="dxa"/>
          </w:tblCellMar>
        </w:tblPrEx>
        <w:tc>
          <w:tcPr>
            <w:tcW w:w="2892" w:type="dxa"/>
          </w:tcPr>
          <w:p w:rsidR="00000000" w:rsidRDefault="00000000">
            <w:pPr>
              <w:spacing w:before="60" w:after="20" w:line="240" w:lineRule="auto"/>
              <w:jc w:val="left"/>
              <w:rPr>
                <w:rFonts w:ascii="Arial" w:hAnsi="Arial"/>
                <w:sz w:val="16"/>
              </w:rPr>
            </w:pPr>
            <w:r>
              <w:rPr>
                <w:rFonts w:ascii="Arial" w:hAnsi="Arial"/>
                <w:sz w:val="16"/>
              </w:rPr>
              <w:t>Дела, рассматриваемые высокими гражданскими судами</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744</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587</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584</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500</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368</w:t>
            </w:r>
          </w:p>
        </w:tc>
        <w:tc>
          <w:tcPr>
            <w:tcW w:w="1077" w:type="dxa"/>
            <w:vAlign w:val="bottom"/>
          </w:tcPr>
          <w:p w:rsidR="00000000" w:rsidRDefault="00000000">
            <w:pPr>
              <w:tabs>
                <w:tab w:val="clear" w:pos="340"/>
                <w:tab w:val="clear" w:pos="680"/>
                <w:tab w:val="decimal" w:pos="567"/>
              </w:tabs>
              <w:spacing w:before="60" w:after="20" w:line="240" w:lineRule="auto"/>
              <w:rPr>
                <w:rFonts w:ascii="Arial" w:hAnsi="Arial"/>
                <w:sz w:val="16"/>
              </w:rPr>
            </w:pPr>
            <w:r>
              <w:rPr>
                <w:rFonts w:ascii="Arial" w:hAnsi="Arial"/>
                <w:sz w:val="16"/>
              </w:rPr>
              <w:t>354</w:t>
            </w:r>
          </w:p>
        </w:tc>
      </w:tr>
    </w:tbl>
    <w:p w:rsidR="00000000" w:rsidRDefault="00000000">
      <w:pPr>
        <w:spacing w:after="0"/>
        <w:ind w:left="340"/>
        <w:rPr>
          <w:sz w:val="16"/>
        </w:rPr>
      </w:pPr>
      <w:r>
        <w:rPr>
          <w:sz w:val="16"/>
        </w:rPr>
        <w:t>Примечание: Вышеприведенные цифры не охватывают дела, рассматриваемые судами низшей инстанции и Верховным судом, по которым были вынесены решения магистратами и судьями.</w:t>
      </w:r>
    </w:p>
    <w:p w:rsidR="00000000" w:rsidRDefault="00000000">
      <w:pPr>
        <w:ind w:left="340"/>
        <w:rPr>
          <w:sz w:val="16"/>
        </w:rPr>
      </w:pPr>
      <w:r>
        <w:rPr>
          <w:sz w:val="16"/>
        </w:rPr>
        <w:t>* Статистические данные по 2000 году охватывают период с января по май.</w:t>
      </w:r>
    </w:p>
    <w:p w:rsidR="00000000" w:rsidRDefault="00000000">
      <w:r>
        <w:t>441.</w:t>
      </w:r>
      <w:r>
        <w:tab/>
        <w:t>Согласно главе 45:50 закона о супругах женщина имеет право заключить контракт на свое собственное имя без разрешения мужа. Хотя в этом законе специально не оговариваются типы контрактов, о которых идет речь, в статье 3 говорится следующее:</w:t>
      </w:r>
    </w:p>
    <w:p w:rsidR="00000000" w:rsidRDefault="00000000">
      <w:pPr>
        <w:tabs>
          <w:tab w:val="clear" w:pos="340"/>
        </w:tabs>
      </w:pPr>
      <w:r>
        <w:rPr>
          <w:i/>
        </w:rPr>
        <w:tab/>
        <w:t>В соответствии с этим Законом состоящая в браке женщина</w:t>
      </w:r>
      <w:r>
        <w:t>:</w:t>
      </w:r>
    </w:p>
    <w:p w:rsidR="00000000" w:rsidRDefault="00000000">
      <w:pPr>
        <w:tabs>
          <w:tab w:val="clear" w:pos="340"/>
          <w:tab w:val="clear" w:pos="680"/>
          <w:tab w:val="left" w:pos="1021"/>
          <w:tab w:val="left" w:pos="1361"/>
        </w:tabs>
        <w:spacing w:after="40"/>
        <w:ind w:left="1361" w:hanging="1361"/>
        <w:rPr>
          <w:i/>
        </w:rPr>
      </w:pPr>
      <w:r>
        <w:rPr>
          <w:i/>
        </w:rPr>
        <w:tab/>
        <w:t>а)</w:t>
      </w:r>
      <w:r>
        <w:rPr>
          <w:i/>
        </w:rPr>
        <w:tab/>
        <w:t>способна приобретать, владеть и продавать любую собственность;</w:t>
      </w:r>
    </w:p>
    <w:p w:rsidR="00000000" w:rsidRDefault="00000000">
      <w:pPr>
        <w:tabs>
          <w:tab w:val="clear" w:pos="340"/>
          <w:tab w:val="clear" w:pos="680"/>
          <w:tab w:val="left" w:pos="1021"/>
          <w:tab w:val="left" w:pos="1361"/>
        </w:tabs>
        <w:spacing w:after="40"/>
        <w:ind w:left="1361" w:hanging="1361"/>
        <w:rPr>
          <w:i/>
        </w:rPr>
      </w:pPr>
      <w:r>
        <w:rPr>
          <w:i/>
        </w:rPr>
        <w:tab/>
      </w:r>
      <w:r>
        <w:rPr>
          <w:i/>
          <w:lang w:val="en-US"/>
        </w:rPr>
        <w:t>b</w:t>
      </w:r>
      <w:r>
        <w:rPr>
          <w:i/>
        </w:rPr>
        <w:t>)</w:t>
      </w:r>
      <w:r>
        <w:rPr>
          <w:i/>
        </w:rPr>
        <w:tab/>
        <w:t>способна признавать себя ответственной и свою ответственность в отношении любого гражданского правонарушения, контракта, долга или обязательства;</w:t>
      </w:r>
    </w:p>
    <w:p w:rsidR="00000000" w:rsidRDefault="00000000">
      <w:pPr>
        <w:tabs>
          <w:tab w:val="clear" w:pos="340"/>
          <w:tab w:val="clear" w:pos="680"/>
          <w:tab w:val="left" w:pos="1021"/>
          <w:tab w:val="left" w:pos="1361"/>
        </w:tabs>
        <w:spacing w:after="40"/>
        <w:ind w:left="1361" w:hanging="1361"/>
        <w:rPr>
          <w:i/>
        </w:rPr>
      </w:pPr>
      <w:r>
        <w:rPr>
          <w:i/>
        </w:rPr>
        <w:tab/>
        <w:t>с)</w:t>
      </w:r>
      <w:r>
        <w:rPr>
          <w:i/>
        </w:rPr>
        <w:tab/>
        <w:t>способна преследовать по суду и преследоваться по суду в связи с каким-либо гражданским правонарушением, контрактом или каким-либо другим случаем; и</w:t>
      </w:r>
    </w:p>
    <w:p w:rsidR="00000000" w:rsidRDefault="00000000">
      <w:pPr>
        <w:tabs>
          <w:tab w:val="clear" w:pos="340"/>
          <w:tab w:val="clear" w:pos="680"/>
          <w:tab w:val="left" w:pos="1021"/>
          <w:tab w:val="left" w:pos="1361"/>
        </w:tabs>
        <w:ind w:left="1361" w:hanging="1361"/>
        <w:rPr>
          <w:i/>
        </w:rPr>
      </w:pPr>
      <w:r>
        <w:rPr>
          <w:i/>
        </w:rPr>
        <w:tab/>
      </w:r>
      <w:r>
        <w:rPr>
          <w:i/>
          <w:lang w:val="en-US"/>
        </w:rPr>
        <w:t>d</w:t>
      </w:r>
      <w:r>
        <w:rPr>
          <w:i/>
        </w:rPr>
        <w:t>)</w:t>
      </w:r>
      <w:r>
        <w:rPr>
          <w:i/>
        </w:rPr>
        <w:tab/>
        <w:t>подлежит привлечению к ответственности в соответствии с законом о банкротстве и обязана выполнять решения и распоряжения суда</w:t>
      </w:r>
    </w:p>
    <w:p w:rsidR="00000000" w:rsidRDefault="00000000">
      <w:pPr>
        <w:tabs>
          <w:tab w:val="clear" w:pos="340"/>
          <w:tab w:val="clear" w:pos="680"/>
          <w:tab w:val="left" w:pos="1021"/>
        </w:tabs>
      </w:pPr>
      <w:r>
        <w:rPr>
          <w:i/>
        </w:rPr>
        <w:tab/>
        <w:t xml:space="preserve">во всех случаях, как если бы она была </w:t>
      </w:r>
      <w:r>
        <w:rPr>
          <w:b/>
          <w:i/>
        </w:rPr>
        <w:t>незамужней женщиной</w:t>
      </w:r>
      <w:r>
        <w:rPr>
          <w:i/>
        </w:rPr>
        <w:t>.</w:t>
      </w:r>
    </w:p>
    <w:p w:rsidR="00000000" w:rsidRDefault="00000000">
      <w:r>
        <w:t>442.</w:t>
      </w:r>
      <w:r>
        <w:tab/>
        <w:t>Контракты, которые ограничивают право- и дееспособность женщин, нарушают положения главы</w:t>
      </w:r>
      <w:r>
        <w:rPr>
          <w:lang w:val="en-US"/>
        </w:rPr>
        <w:t> </w:t>
      </w:r>
      <w:r>
        <w:t xml:space="preserve">45:50 закона о супругах и, таким образом, являются ничтожными и не имеющими юридической силы. </w:t>
      </w:r>
    </w:p>
    <w:p w:rsidR="00000000" w:rsidRDefault="00000000">
      <w:pPr>
        <w:pStyle w:val="Heading3"/>
      </w:pPr>
      <w:r>
        <w:t>Статья 16</w:t>
      </w:r>
    </w:p>
    <w:p w:rsidR="00000000" w:rsidRDefault="00000000">
      <w:r>
        <w:t>443.</w:t>
      </w:r>
      <w:r>
        <w:tab/>
        <w:t>Вступление в брак разрешается в Тринидаде и Тобаго на основании главы 45:01 закона о браке, главы 45:02 о мусульманском браке и разводе, главы 45:03 закона об индуистском браке и закона о браке народа ория (№ 22) 1999 года. Все эти законы требуют, чтобы каждая сторона была полностью свободна, давая согласие на вступление в брак. Единственное различие между мужчинами и женщинами, которое проводится в этом законодательстве, касается возраста, в котором человек может заключать брак. В соответствии с законом о браке брачный возраст составляет 18 лет как для мужчин, так и для женщин. В соответствии с законом о мусульманском браке и разводе возраст заключения брака для мужчин составляет 16 лет, а для женщин – 12. В случае закона об индуистском браке брачный возраст для мужчин определен в 18 лет, а для женщин – 14. Закон о браке народа ория устанавливает брачный возраст в 18 лет для мужчин и 16 лет для женщин. Согласно статье 23, глава 45:01, закона о браке несовершеннолетние дети не могут вступать в брак без согласия обоих родителей. Несовершеннолетние, не достигшие брачного возраста, установленного соответствующими законами, не могут вступать в брак. Так, мусульманская девочка в возрасте до 12 лет, индуистская девочка в возрасте до 14 лет или девочка народа ория в возрасте до 16 лет не могут выйти замуж. Однако несовершеннолетние лица, достигшие соответствующего брачного возраста или превысившие его, которым, однако, не исполнилось 18 лет, могут вступать в брак только с согласия родителей. Исключение составляет лишь индуистская девочка, которой по достижении ею 16 или более лет не требуется согласия ее родителей или опекуна.</w:t>
      </w:r>
    </w:p>
    <w:p w:rsidR="00000000" w:rsidRDefault="00000000">
      <w:r>
        <w:t>444.</w:t>
      </w:r>
      <w:r>
        <w:tab/>
        <w:t>Все законы, регулирующие вступление в брак в Тринидаде и Тобаго, предусматривают назначение должностных лиц, уполномоченных регистрировать браки и разводы, и определяют процедуру регистрации брака.</w:t>
      </w:r>
    </w:p>
    <w:p w:rsidR="00000000" w:rsidRDefault="00000000">
      <w:r>
        <w:t>445.</w:t>
      </w:r>
      <w:r>
        <w:tab/>
        <w:t>Одна из функций сотрудников службы регистрации браков в Тринидаде и Тобаго заключается в обеспечении того, чтобы все браки заключались со свободного и полного согласия как мужчин, так и женщин. Это должно способствовать предупреждению практики заключения принудительных браков.</w:t>
      </w:r>
    </w:p>
    <w:p w:rsidR="00000000" w:rsidRDefault="00000000">
      <w:r>
        <w:t>446.</w:t>
      </w:r>
      <w:r>
        <w:tab/>
        <w:t>Многобрачие не признается ни одним из законов о браке. Соответственно, такой брак не может быть признан действительным (то есть не может быть зарегистрирован). Согласно главе 45:51 закона о матримониальных процедурах и общей собственности супругов брак считается недействительным, если на момент его заключения одна из сторон уже состояла в браке. В разделе 7 (3) закона о мусульманском браке особо оговорено, что ни одно положение закона не разрешает и не признает действительным заключение или регистрацию полигамного брака. Закон о браке требует, чтобы стороны заявили о том, что для заключения брака не существует препятствия юридического характера.</w:t>
      </w:r>
    </w:p>
    <w:p w:rsidR="00000000" w:rsidRDefault="00000000">
      <w:r>
        <w:t>447. Фактически полигамные "союзы" существуют в Тринидаде и Тобаго. По законам некоторых религий, которые отправляются в стране, мужчине (редко – женщине) разрешается вступать в более чем один "брачный" союз. Однако только один такой "союз" может быть зарегистрирован в соответствии с внутренним законодательством страны, что придает этому браку законный статус с присущими ему правами и обязанностями.</w:t>
      </w:r>
    </w:p>
    <w:p w:rsidR="00000000" w:rsidRDefault="00000000">
      <w:r>
        <w:t>448.</w:t>
      </w:r>
      <w:r>
        <w:tab/>
        <w:t>Консультации с соответствующими министерствами правительства и неправительственными организациями не подтвердили факт существования в Тринидаде и Тобаго дискриминационных традиций и обычаев, таких как получение приданого, отказ от жены, покупка невесты и калечащая операция на женских половых органах. Однако браки по договоренности действительно встречаются в стране, хотя масштабы их распространения неизвестны.</w:t>
      </w:r>
    </w:p>
    <w:p w:rsidR="00000000" w:rsidRDefault="00000000">
      <w:r>
        <w:t>449.</w:t>
      </w:r>
      <w:r>
        <w:tab/>
        <w:t>Двоебрачие запрещается в соответствии со статьей 55, глава 11:08, закона о преступлениях против личности:</w:t>
      </w:r>
    </w:p>
    <w:p w:rsidR="00000000" w:rsidRDefault="00000000">
      <w:pPr>
        <w:tabs>
          <w:tab w:val="clear" w:pos="340"/>
          <w:tab w:val="left" w:pos="1021"/>
        </w:tabs>
        <w:ind w:left="680" w:right="680" w:hanging="680"/>
      </w:pPr>
      <w:r>
        <w:tab/>
      </w:r>
      <w:r>
        <w:rPr>
          <w:i/>
        </w:rPr>
        <w:t>55.</w:t>
      </w:r>
      <w:r>
        <w:rPr>
          <w:i/>
          <w:lang w:val="en-US"/>
        </w:rPr>
        <w:t xml:space="preserve"> </w:t>
      </w:r>
      <w:r>
        <w:rPr>
          <w:i/>
        </w:rPr>
        <w:t>(1)</w:t>
      </w:r>
      <w:r>
        <w:rPr>
          <w:i/>
        </w:rPr>
        <w:tab/>
        <w:t>Любое лицо, состоящее в браке, которое вступает в брак с любым другим лицом при жизни мужа или жены, состоящим в ранее заключенном браке, независимо от того, был его второй брак заключен в Тринидаде и Тобаго или любом другом месте, подлежит тюремному заключению сроком на четыре года</w:t>
      </w:r>
      <w:r>
        <w:t>.</w:t>
      </w:r>
    </w:p>
    <w:p w:rsidR="00000000" w:rsidRDefault="00000000">
      <w:pPr>
        <w:tabs>
          <w:tab w:val="clear" w:pos="340"/>
          <w:tab w:val="left" w:pos="1021"/>
        </w:tabs>
        <w:ind w:left="680" w:right="680" w:hanging="680"/>
      </w:pPr>
      <w:r>
        <w:tab/>
      </w:r>
      <w:r>
        <w:rPr>
          <w:lang w:val="en-US"/>
        </w:rPr>
        <w:tab/>
      </w:r>
      <w:r>
        <w:rPr>
          <w:i/>
        </w:rPr>
        <w:t>(2)</w:t>
      </w:r>
      <w:r>
        <w:rPr>
          <w:i/>
        </w:rPr>
        <w:tab/>
        <w:t>Ничто, содержащееся в данной статье, не распространяется на лиц, состоящих во втором браке, чей муж или жена является непрерывно отсутствующим(ей) на протяжении семи лет, и который(ая) не давал(а) о себе знать в течение упомянутого времени, а также не распространяется на лиц, которые во время второго брака расторгли узы первого брака, или на лиц, чей предыдущий брак был объявлен недействительным по приговору любого суда надлежащей юрисдикции</w:t>
      </w:r>
      <w:r>
        <w:t>.</w:t>
      </w:r>
    </w:p>
    <w:p w:rsidR="00000000" w:rsidRDefault="00000000">
      <w:r>
        <w:t>450.</w:t>
      </w:r>
      <w:r>
        <w:tab/>
        <w:t>Правила, касающиеся наследуемой недвижимости в Тринидаде и Тобаго, содержатся в законе о наследовании № 27 1981 года. В 1972 году декрет о завещаниях и утверждении завещаний, глава 8, № 1, и декрет об управлении имуществом умершего, глава 8, № 2, предоставили женам право оспаривать завещания, если они были из них исключены, и обращаться в суд за защитой в качестве состоявших на иждивении умершего. В 1981 году это законодательство было отменено и заменено законом о наследовании, который предусматривает следующее:</w:t>
      </w:r>
    </w:p>
    <w:p w:rsidR="00000000" w:rsidRDefault="00000000">
      <w:pPr>
        <w:tabs>
          <w:tab w:val="clear" w:pos="340"/>
          <w:tab w:val="left" w:pos="1021"/>
        </w:tabs>
        <w:ind w:left="680" w:right="680" w:hanging="680"/>
        <w:rPr>
          <w:i/>
        </w:rPr>
      </w:pPr>
      <w:r>
        <w:rPr>
          <w:i/>
        </w:rPr>
        <w:tab/>
        <w:t>88. (1)</w:t>
      </w:r>
      <w:r>
        <w:rPr>
          <w:i/>
        </w:rPr>
        <w:tab/>
        <w:t>Все имущество, на которое умерший имел право собственности или право на долю в имуществе, не прекращающееся с его смертью, и хотя умерший не оставил завещания, после вступления в силу этого Закона, после уплаты всех долговых обязательств, налогов и, кроме того, покрытия подлежащих уплате издержек, распределяется среди наследников умершего либо передается во владение на началах доверительной собственности в соответствии с данной статьей, а именно –</w:t>
      </w:r>
    </w:p>
    <w:p w:rsidR="00000000" w:rsidRDefault="00000000">
      <w:pPr>
        <w:tabs>
          <w:tab w:val="clear" w:pos="340"/>
          <w:tab w:val="left" w:pos="1021"/>
        </w:tabs>
        <w:ind w:left="680" w:right="680" w:hanging="680"/>
        <w:rPr>
          <w:i/>
        </w:rPr>
      </w:pPr>
      <w:r>
        <w:rPr>
          <w:i/>
        </w:rPr>
        <w:tab/>
        <w:t>а)</w:t>
      </w:r>
      <w:r>
        <w:rPr>
          <w:i/>
        </w:rPr>
        <w:tab/>
        <w:t>если у умершего(ей) без завещания осталась(лся) супруг(а), то в соответствии со следующей таблицей:</w:t>
      </w:r>
    </w:p>
    <w:p w:rsidR="00000000" w:rsidRDefault="00000000">
      <w:pPr>
        <w:jc w:val="center"/>
        <w:rPr>
          <w:i/>
        </w:rPr>
      </w:pPr>
      <w:r>
        <w:rPr>
          <w:i/>
        </w:rPr>
        <w:t>ТАБЛИЦА</w:t>
      </w:r>
    </w:p>
    <w:tbl>
      <w:tblPr>
        <w:tblW w:w="0" w:type="auto"/>
        <w:tblInd w:w="682" w:type="dxa"/>
        <w:tblLayout w:type="fixed"/>
        <w:tblCellMar>
          <w:left w:w="0" w:type="dxa"/>
          <w:right w:w="0" w:type="dxa"/>
        </w:tblCellMar>
        <w:tblLook w:val="0000" w:firstRow="0" w:lastRow="0" w:firstColumn="0" w:lastColumn="0" w:noHBand="0" w:noVBand="0"/>
      </w:tblPr>
      <w:tblGrid>
        <w:gridCol w:w="4536"/>
        <w:gridCol w:w="4423"/>
      </w:tblGrid>
      <w:tr w:rsidR="00000000">
        <w:tblPrEx>
          <w:tblCellMar>
            <w:top w:w="0" w:type="dxa"/>
            <w:left w:w="0" w:type="dxa"/>
            <w:bottom w:w="0" w:type="dxa"/>
            <w:right w:w="0" w:type="dxa"/>
          </w:tblCellMar>
        </w:tblPrEx>
        <w:tc>
          <w:tcPr>
            <w:tcW w:w="4536" w:type="dxa"/>
          </w:tcPr>
          <w:p w:rsidR="00000000" w:rsidRDefault="00000000">
            <w:pPr>
              <w:spacing w:after="0"/>
              <w:ind w:left="680" w:right="680" w:hanging="680"/>
              <w:rPr>
                <w:i/>
              </w:rPr>
            </w:pPr>
            <w:r>
              <w:rPr>
                <w:i/>
              </w:rPr>
              <w:t>Если умерший без завещания –</w:t>
            </w:r>
          </w:p>
          <w:p w:rsidR="00000000" w:rsidRDefault="00000000">
            <w:pPr>
              <w:spacing w:after="0"/>
              <w:ind w:left="680" w:right="680" w:hanging="680"/>
              <w:rPr>
                <w:i/>
              </w:rPr>
            </w:pPr>
            <w:r>
              <w:rPr>
                <w:i/>
              </w:rPr>
              <w:t>1) не оставил –</w:t>
            </w:r>
          </w:p>
        </w:tc>
        <w:tc>
          <w:tcPr>
            <w:tcW w:w="4423" w:type="dxa"/>
          </w:tcPr>
          <w:p w:rsidR="00000000" w:rsidRDefault="00000000">
            <w:pPr>
              <w:spacing w:after="0"/>
              <w:ind w:right="680"/>
              <w:rPr>
                <w:i/>
              </w:rPr>
            </w:pPr>
          </w:p>
        </w:tc>
      </w:tr>
      <w:tr w:rsidR="00000000">
        <w:tblPrEx>
          <w:tblCellMar>
            <w:top w:w="0" w:type="dxa"/>
            <w:left w:w="0" w:type="dxa"/>
            <w:bottom w:w="0" w:type="dxa"/>
            <w:right w:w="0" w:type="dxa"/>
          </w:tblCellMar>
        </w:tblPrEx>
        <w:tc>
          <w:tcPr>
            <w:tcW w:w="4536" w:type="dxa"/>
          </w:tcPr>
          <w:p w:rsidR="00000000" w:rsidRDefault="00000000">
            <w:pPr>
              <w:spacing w:before="240" w:after="0"/>
              <w:ind w:left="680" w:right="680" w:hanging="680"/>
              <w:rPr>
                <w:i/>
              </w:rPr>
            </w:pPr>
            <w:r>
              <w:rPr>
                <w:i/>
              </w:rPr>
              <w:tab/>
              <w:t>а)</w:t>
            </w:r>
            <w:r>
              <w:rPr>
                <w:i/>
              </w:rPr>
              <w:tab/>
              <w:t>потомства и</w:t>
            </w:r>
          </w:p>
        </w:tc>
        <w:tc>
          <w:tcPr>
            <w:tcW w:w="4423" w:type="dxa"/>
          </w:tcPr>
          <w:p w:rsidR="00000000" w:rsidRDefault="00000000">
            <w:pPr>
              <w:spacing w:before="240" w:after="0"/>
              <w:ind w:right="680"/>
              <w:rPr>
                <w:i/>
              </w:rPr>
            </w:pPr>
          </w:p>
        </w:tc>
      </w:tr>
      <w:tr w:rsidR="00000000">
        <w:tblPrEx>
          <w:tblCellMar>
            <w:top w:w="0" w:type="dxa"/>
            <w:left w:w="0" w:type="dxa"/>
            <w:bottom w:w="0" w:type="dxa"/>
            <w:right w:w="0" w:type="dxa"/>
          </w:tblCellMar>
        </w:tblPrEx>
        <w:tc>
          <w:tcPr>
            <w:tcW w:w="4536" w:type="dxa"/>
          </w:tcPr>
          <w:p w:rsidR="00000000" w:rsidRDefault="00000000">
            <w:pPr>
              <w:spacing w:after="0"/>
              <w:ind w:left="680" w:right="680" w:hanging="680"/>
              <w:rPr>
                <w:i/>
              </w:rPr>
            </w:pPr>
            <w:r>
              <w:rPr>
                <w:i/>
              </w:rPr>
              <w:tab/>
            </w:r>
            <w:r>
              <w:rPr>
                <w:i/>
                <w:lang w:val="en-US"/>
              </w:rPr>
              <w:t>b</w:t>
            </w:r>
            <w:r>
              <w:rPr>
                <w:i/>
              </w:rPr>
              <w:t>)</w:t>
            </w:r>
            <w:r>
              <w:rPr>
                <w:i/>
              </w:rPr>
              <w:tab/>
              <w:t>родителей, либо брата, либо сестру по крови, либо потомства брата или сестры по крови</w:t>
            </w:r>
          </w:p>
        </w:tc>
        <w:tc>
          <w:tcPr>
            <w:tcW w:w="4423" w:type="dxa"/>
          </w:tcPr>
          <w:p w:rsidR="00000000" w:rsidRDefault="00000000">
            <w:pPr>
              <w:spacing w:after="0"/>
              <w:ind w:right="680"/>
              <w:rPr>
                <w:i/>
              </w:rPr>
            </w:pPr>
            <w:r>
              <w:rPr>
                <w:i/>
              </w:rPr>
              <w:t>имуществом безусловно будет владеть переживший супруг на началах доверительной собственности</w:t>
            </w:r>
          </w:p>
        </w:tc>
      </w:tr>
      <w:tr w:rsidR="00000000">
        <w:tblPrEx>
          <w:tblCellMar>
            <w:top w:w="0" w:type="dxa"/>
            <w:left w:w="0" w:type="dxa"/>
            <w:bottom w:w="0" w:type="dxa"/>
            <w:right w:w="0" w:type="dxa"/>
          </w:tblCellMar>
        </w:tblPrEx>
        <w:tc>
          <w:tcPr>
            <w:tcW w:w="4536" w:type="dxa"/>
          </w:tcPr>
          <w:p w:rsidR="00000000" w:rsidRDefault="00000000">
            <w:pPr>
              <w:spacing w:before="240" w:after="0"/>
              <w:ind w:left="680" w:right="680" w:hanging="680"/>
            </w:pPr>
            <w:r>
              <w:t>2)</w:t>
            </w:r>
          </w:p>
        </w:tc>
        <w:tc>
          <w:tcPr>
            <w:tcW w:w="4423" w:type="dxa"/>
          </w:tcPr>
          <w:p w:rsidR="00000000" w:rsidRDefault="00000000">
            <w:pPr>
              <w:spacing w:before="240" w:after="0"/>
              <w:ind w:right="680"/>
              <w:rPr>
                <w:i/>
              </w:rPr>
            </w:pPr>
          </w:p>
        </w:tc>
      </w:tr>
      <w:tr w:rsidR="00000000">
        <w:tblPrEx>
          <w:tblCellMar>
            <w:top w:w="0" w:type="dxa"/>
            <w:left w:w="0" w:type="dxa"/>
            <w:bottom w:w="0" w:type="dxa"/>
            <w:right w:w="0" w:type="dxa"/>
          </w:tblCellMar>
        </w:tblPrEx>
        <w:tc>
          <w:tcPr>
            <w:tcW w:w="4536" w:type="dxa"/>
          </w:tcPr>
          <w:p w:rsidR="00000000" w:rsidRDefault="00000000">
            <w:pPr>
              <w:spacing w:after="0"/>
              <w:ind w:left="680" w:right="680" w:hanging="680"/>
              <w:rPr>
                <w:i/>
                <w:lang w:val="en-US"/>
              </w:rPr>
            </w:pPr>
            <w:r>
              <w:tab/>
            </w:r>
            <w:r>
              <w:rPr>
                <w:i/>
              </w:rPr>
              <w:t>а)</w:t>
            </w:r>
            <w:r>
              <w:rPr>
                <w:i/>
              </w:rPr>
              <w:tab/>
              <w:t xml:space="preserve">оставил одного ребенка </w:t>
            </w:r>
            <w:r>
              <w:rPr>
                <w:i/>
                <w:lang w:val="en-US"/>
              </w:rPr>
              <w:t>[</w:t>
            </w:r>
            <w:r>
              <w:rPr>
                <w:i/>
              </w:rPr>
              <w:t xml:space="preserve">независимо от того, живы или нет также лица, упоминавшиеся ранее в подпункте </w:t>
            </w:r>
            <w:r>
              <w:rPr>
                <w:i/>
                <w:lang w:val="en-US"/>
              </w:rPr>
              <w:t>b</w:t>
            </w:r>
            <w:r>
              <w:rPr>
                <w:i/>
              </w:rPr>
              <w:t>)]</w:t>
            </w:r>
          </w:p>
        </w:tc>
        <w:tc>
          <w:tcPr>
            <w:tcW w:w="4423" w:type="dxa"/>
          </w:tcPr>
          <w:p w:rsidR="00000000" w:rsidRDefault="00000000">
            <w:pPr>
              <w:spacing w:after="0"/>
              <w:ind w:right="680"/>
              <w:rPr>
                <w:i/>
              </w:rPr>
            </w:pPr>
            <w:r>
              <w:rPr>
                <w:i/>
              </w:rPr>
              <w:t>переживший супруг безусловно получит половину имущества, другой половиной на основании закона будет владеть на началах доверительной собственности ребенок</w:t>
            </w:r>
          </w:p>
        </w:tc>
      </w:tr>
      <w:tr w:rsidR="00000000">
        <w:tblPrEx>
          <w:tblCellMar>
            <w:top w:w="0" w:type="dxa"/>
            <w:left w:w="0" w:type="dxa"/>
            <w:bottom w:w="0" w:type="dxa"/>
            <w:right w:w="0" w:type="dxa"/>
          </w:tblCellMar>
        </w:tblPrEx>
        <w:tc>
          <w:tcPr>
            <w:tcW w:w="4536" w:type="dxa"/>
          </w:tcPr>
          <w:p w:rsidR="00000000" w:rsidRDefault="00000000">
            <w:pPr>
              <w:spacing w:before="240" w:after="0"/>
              <w:ind w:left="680" w:right="680" w:hanging="680"/>
              <w:rPr>
                <w:i/>
                <w:lang w:val="en-US"/>
              </w:rPr>
            </w:pPr>
            <w:r>
              <w:rPr>
                <w:i/>
                <w:lang w:val="en-US"/>
              </w:rPr>
              <w:tab/>
              <w:t>b</w:t>
            </w:r>
            <w:r>
              <w:rPr>
                <w:i/>
              </w:rPr>
              <w:t>)</w:t>
            </w:r>
            <w:r>
              <w:rPr>
                <w:i/>
              </w:rPr>
              <w:tab/>
              <w:t xml:space="preserve">оставил более чем одного ребенка </w:t>
            </w:r>
            <w:r>
              <w:rPr>
                <w:i/>
                <w:lang w:val="en-US"/>
              </w:rPr>
              <w:t>[</w:t>
            </w:r>
            <w:r>
              <w:rPr>
                <w:i/>
              </w:rPr>
              <w:t xml:space="preserve">независимо от того, живы или нет также лица, упоминавшиеся ранее в подпункте </w:t>
            </w:r>
            <w:r>
              <w:rPr>
                <w:i/>
                <w:lang w:val="en-US"/>
              </w:rPr>
              <w:t>b</w:t>
            </w:r>
            <w:r>
              <w:rPr>
                <w:i/>
              </w:rPr>
              <w:t>)</w:t>
            </w:r>
            <w:r>
              <w:rPr>
                <w:i/>
                <w:lang w:val="en-US"/>
              </w:rPr>
              <w:t>]</w:t>
            </w:r>
          </w:p>
        </w:tc>
        <w:tc>
          <w:tcPr>
            <w:tcW w:w="4423" w:type="dxa"/>
          </w:tcPr>
          <w:p w:rsidR="00000000" w:rsidRDefault="00000000">
            <w:pPr>
              <w:spacing w:before="240" w:after="0"/>
              <w:ind w:right="680"/>
              <w:rPr>
                <w:i/>
              </w:rPr>
            </w:pPr>
            <w:r>
              <w:rPr>
                <w:i/>
              </w:rPr>
              <w:t>переживший супруг безусловно получит одну треть имущества, оставшимися двумя третями на основании закона будут владеть на началах доверительной собственности дети</w:t>
            </w:r>
          </w:p>
        </w:tc>
      </w:tr>
      <w:tr w:rsidR="00000000">
        <w:tblPrEx>
          <w:tblCellMar>
            <w:top w:w="0" w:type="dxa"/>
            <w:left w:w="0" w:type="dxa"/>
            <w:bottom w:w="0" w:type="dxa"/>
            <w:right w:w="0" w:type="dxa"/>
          </w:tblCellMar>
        </w:tblPrEx>
        <w:tc>
          <w:tcPr>
            <w:tcW w:w="4536" w:type="dxa"/>
          </w:tcPr>
          <w:p w:rsidR="00000000" w:rsidRDefault="00000000">
            <w:pPr>
              <w:spacing w:before="240" w:after="0"/>
              <w:ind w:left="340" w:right="680" w:hanging="340"/>
              <w:rPr>
                <w:i/>
              </w:rPr>
            </w:pPr>
            <w:r>
              <w:rPr>
                <w:i/>
              </w:rPr>
              <w:t>3)</w:t>
            </w:r>
            <w:r>
              <w:rPr>
                <w:i/>
              </w:rPr>
              <w:tab/>
              <w:t>оставил одного или обоих родителей, но не оставил потомства (независимо от того, живы или нет братья или сестры по крови либо потомство братьев или сестер по крови</w:t>
            </w:r>
          </w:p>
        </w:tc>
        <w:tc>
          <w:tcPr>
            <w:tcW w:w="4423" w:type="dxa"/>
          </w:tcPr>
          <w:p w:rsidR="00000000" w:rsidRDefault="00000000">
            <w:pPr>
              <w:spacing w:before="240" w:after="0"/>
              <w:ind w:right="680"/>
              <w:rPr>
                <w:i/>
              </w:rPr>
            </w:pPr>
            <w:r>
              <w:rPr>
                <w:i/>
              </w:rPr>
              <w:t>переживший супруг безусловно получит движимое имущество и в дополнение  имущество умершего без завещания (другое, кроме движимого имущества) будет обложено сбором в сумме 200 000 долл. либо в большей сумме, поскольку может быть освобождено в силу права давности от налога на наследство и издержек, с уплатой в пользу пережившего супруга с процентами на эту сумму, начисляемыми с даты смерти, по той ставке, которая могла быть установлена до внесения платежа или ассигнования, и, при условии уплаты этой суммы и процентов на нее, имуществом (другим, кроме движимого имущества) будут владеть –</w:t>
            </w:r>
          </w:p>
        </w:tc>
      </w:tr>
      <w:tr w:rsidR="00000000">
        <w:tblPrEx>
          <w:tblCellMar>
            <w:top w:w="0" w:type="dxa"/>
            <w:left w:w="0" w:type="dxa"/>
            <w:bottom w:w="0" w:type="dxa"/>
            <w:right w:w="0" w:type="dxa"/>
          </w:tblCellMar>
        </w:tblPrEx>
        <w:tc>
          <w:tcPr>
            <w:tcW w:w="4536" w:type="dxa"/>
          </w:tcPr>
          <w:p w:rsidR="00000000" w:rsidRDefault="00000000">
            <w:pPr>
              <w:spacing w:after="0"/>
              <w:ind w:left="340" w:right="680" w:hanging="340"/>
              <w:rPr>
                <w:i/>
              </w:rPr>
            </w:pPr>
          </w:p>
        </w:tc>
        <w:tc>
          <w:tcPr>
            <w:tcW w:w="4423" w:type="dxa"/>
          </w:tcPr>
          <w:p w:rsidR="00000000" w:rsidRDefault="00000000">
            <w:pPr>
              <w:spacing w:after="0"/>
              <w:ind w:left="680" w:right="680" w:hanging="680"/>
            </w:pPr>
            <w:r>
              <w:rPr>
                <w:i/>
              </w:rPr>
              <w:tab/>
              <w:t>а)</w:t>
            </w:r>
            <w:r>
              <w:rPr>
                <w:i/>
              </w:rPr>
              <w:tab/>
              <w:t>что касается одной половины – безусловно переживший супруг на началах доверительной собствен</w:t>
            </w:r>
            <w:r>
              <w:rPr>
                <w:i/>
                <w:lang w:val="en-US"/>
              </w:rPr>
              <w:t>-</w:t>
            </w:r>
            <w:r>
              <w:rPr>
                <w:i/>
                <w:lang w:val="en-US"/>
              </w:rPr>
              <w:br/>
            </w:r>
            <w:r>
              <w:rPr>
                <w:i/>
              </w:rPr>
              <w:t>ности, а</w:t>
            </w:r>
          </w:p>
        </w:tc>
      </w:tr>
      <w:tr w:rsidR="00000000">
        <w:tblPrEx>
          <w:tblCellMar>
            <w:top w:w="0" w:type="dxa"/>
            <w:left w:w="0" w:type="dxa"/>
            <w:bottom w:w="0" w:type="dxa"/>
            <w:right w:w="0" w:type="dxa"/>
          </w:tblCellMar>
        </w:tblPrEx>
        <w:tc>
          <w:tcPr>
            <w:tcW w:w="4536" w:type="dxa"/>
          </w:tcPr>
          <w:p w:rsidR="00000000" w:rsidRDefault="00000000">
            <w:pPr>
              <w:spacing w:before="240" w:after="0"/>
              <w:ind w:left="340" w:right="680" w:hanging="340"/>
              <w:rPr>
                <w:i/>
              </w:rPr>
            </w:pPr>
          </w:p>
        </w:tc>
        <w:tc>
          <w:tcPr>
            <w:tcW w:w="4423" w:type="dxa"/>
          </w:tcPr>
          <w:p w:rsidR="00000000" w:rsidRDefault="00000000">
            <w:pPr>
              <w:spacing w:before="240" w:after="0"/>
              <w:ind w:left="680" w:right="680" w:hanging="680"/>
              <w:rPr>
                <w:i/>
              </w:rPr>
            </w:pPr>
            <w:r>
              <w:rPr>
                <w:i/>
              </w:rPr>
              <w:tab/>
            </w:r>
            <w:r>
              <w:rPr>
                <w:i/>
                <w:lang w:val="en-US"/>
              </w:rPr>
              <w:t>b</w:t>
            </w:r>
            <w:r>
              <w:rPr>
                <w:i/>
              </w:rPr>
              <w:t>)</w:t>
            </w:r>
            <w:r>
              <w:rPr>
                <w:i/>
              </w:rPr>
              <w:tab/>
              <w:t>что касается другой половины – если у умершего без завещания остался один родитель, то безусловно этот родитель на началах доверительной собствен</w:t>
            </w:r>
            <w:r>
              <w:rPr>
                <w:i/>
                <w:lang w:val="en-US"/>
              </w:rPr>
              <w:t>-</w:t>
            </w:r>
            <w:r>
              <w:rPr>
                <w:i/>
                <w:lang w:val="en-US"/>
              </w:rPr>
              <w:br/>
            </w:r>
            <w:r>
              <w:rPr>
                <w:i/>
              </w:rPr>
              <w:t>ности либо, если у умершего без завещания остались оба родителя, то безусловно оба родителя в равных частях</w:t>
            </w:r>
          </w:p>
        </w:tc>
      </w:tr>
    </w:tbl>
    <w:p w:rsidR="00000000" w:rsidRDefault="00000000">
      <w:pPr>
        <w:tabs>
          <w:tab w:val="clear" w:pos="340"/>
          <w:tab w:val="left" w:pos="1021"/>
        </w:tabs>
        <w:spacing w:before="240"/>
        <w:ind w:left="1021" w:hanging="1021"/>
        <w:rPr>
          <w:i/>
        </w:rPr>
      </w:pPr>
      <w:r>
        <w:rPr>
          <w:i/>
          <w:lang w:val="en-US"/>
        </w:rPr>
        <w:tab/>
        <w:t>b</w:t>
      </w:r>
      <w:r>
        <w:rPr>
          <w:i/>
        </w:rPr>
        <w:t>)</w:t>
      </w:r>
      <w:r>
        <w:rPr>
          <w:i/>
        </w:rPr>
        <w:tab/>
        <w:t>если у умершего(ей) осталось потомство, но не осталось супруги(а), имуществом умершего без завещания будет владеть на законных началах доверительной собственности потомство умершего без завещания;</w:t>
      </w:r>
    </w:p>
    <w:p w:rsidR="00000000" w:rsidRDefault="00000000">
      <w:pPr>
        <w:tabs>
          <w:tab w:val="clear" w:pos="340"/>
          <w:tab w:val="left" w:pos="1021"/>
        </w:tabs>
        <w:ind w:left="1021" w:hanging="1021"/>
        <w:rPr>
          <w:i/>
        </w:rPr>
      </w:pPr>
      <w:r>
        <w:rPr>
          <w:i/>
          <w:lang w:val="en-US"/>
        </w:rPr>
        <w:tab/>
      </w:r>
      <w:r>
        <w:rPr>
          <w:i/>
        </w:rPr>
        <w:t>с)</w:t>
      </w:r>
      <w:r>
        <w:rPr>
          <w:i/>
        </w:rPr>
        <w:tab/>
        <w:t>если у умершего(ей) не осталось ни супруги(а), ни потомства, но остались оба родителя, то имущество умершего без завещания будет принадлежать на началах доверительной собственности безусловно отцу и матери в равных частях;</w:t>
      </w:r>
    </w:p>
    <w:p w:rsidR="00000000" w:rsidRDefault="00000000">
      <w:pPr>
        <w:tabs>
          <w:tab w:val="clear" w:pos="340"/>
          <w:tab w:val="left" w:pos="1021"/>
        </w:tabs>
        <w:ind w:left="1021" w:hanging="1021"/>
        <w:rPr>
          <w:i/>
        </w:rPr>
      </w:pPr>
      <w:r>
        <w:rPr>
          <w:i/>
          <w:lang w:val="en-US"/>
        </w:rPr>
        <w:tab/>
        <w:t>d</w:t>
      </w:r>
      <w:r>
        <w:rPr>
          <w:i/>
        </w:rPr>
        <w:t>)</w:t>
      </w:r>
      <w:r>
        <w:rPr>
          <w:i/>
        </w:rPr>
        <w:tab/>
        <w:t>если у умершего(ей) без завещания не осталось ни супруги(а), ни потомства, но остался один родитель, то имущество умершего без завещания безусловно перейдет на началах доверительной собственности к пережившему отцу либо матери…</w:t>
      </w:r>
    </w:p>
    <w:p w:rsidR="00000000" w:rsidRDefault="00000000">
      <w:pPr>
        <w:tabs>
          <w:tab w:val="clear" w:pos="340"/>
          <w:tab w:val="left" w:pos="1021"/>
        </w:tabs>
        <w:ind w:left="680" w:hanging="680"/>
        <w:rPr>
          <w:i/>
        </w:rPr>
      </w:pPr>
      <w:r>
        <w:rPr>
          <w:i/>
          <w:lang w:val="en-US"/>
        </w:rPr>
        <w:tab/>
      </w:r>
      <w:r>
        <w:rPr>
          <w:i/>
        </w:rPr>
        <w:t>92.</w:t>
      </w:r>
      <w:r>
        <w:rPr>
          <w:i/>
          <w:lang w:val="en-US"/>
        </w:rPr>
        <w:t xml:space="preserve"> </w:t>
      </w:r>
      <w:r>
        <w:rPr>
          <w:i/>
        </w:rPr>
        <w:t>(1)</w:t>
      </w:r>
      <w:r>
        <w:rPr>
          <w:i/>
          <w:lang w:val="en-US"/>
        </w:rPr>
        <w:t xml:space="preserve"> </w:t>
      </w:r>
      <w:r>
        <w:rPr>
          <w:i/>
        </w:rPr>
        <w:t>Если лицо умирает, оставив Завещание, эффективно распорядившись частью своей собственности, эта Часть Завещания будет иметь юридическую силу, что касается той части имущества, которой оно не распорядилось надлежащим образом в положениях, содержащихся в Завещании, то эта часть подлежит следующим изменениям:</w:t>
      </w:r>
    </w:p>
    <w:p w:rsidR="00000000" w:rsidRDefault="00000000">
      <w:pPr>
        <w:tabs>
          <w:tab w:val="clear" w:pos="340"/>
          <w:tab w:val="left" w:pos="1021"/>
        </w:tabs>
        <w:ind w:left="1021" w:hanging="1021"/>
        <w:rPr>
          <w:i/>
        </w:rPr>
      </w:pPr>
      <w:r>
        <w:rPr>
          <w:i/>
          <w:lang w:val="en-US"/>
        </w:rPr>
        <w:tab/>
      </w:r>
      <w:r>
        <w:rPr>
          <w:i/>
        </w:rPr>
        <w:t>а)</w:t>
      </w:r>
      <w:r>
        <w:rPr>
          <w:i/>
        </w:rPr>
        <w:tab/>
        <w:t>когда умерший(ая) оставляет супругу(а), которая(ый) приобретает выгоду как собственник-бенефициарий согласно Завещанию умершего(ей) (другую, кроме движимого имущества, которое было прямо завещано), ссылка в этой Части на сумму, подлежащую уплате в пользу пережившего супруги(а), и на проценты на эту сумму истолковывается как ссылка на оговоренную сумму, уменьшенную стоимостью на дату смерти указанной выгоды, получаемой собственником-бенефициарием, и на проценты на эту сумму, уменьшенные, соответственно, и, таким образом, когда указанная стоимость превысит указанную сумму, данная Часть будет иметь юридическую силу, как если бы ссылка на указанную сумму и проценты на нее не упоминалась в Завещании;</w:t>
      </w:r>
    </w:p>
    <w:p w:rsidR="00000000" w:rsidRDefault="00000000">
      <w:pPr>
        <w:tabs>
          <w:tab w:val="clear" w:pos="340"/>
          <w:tab w:val="left" w:pos="1021"/>
        </w:tabs>
        <w:ind w:left="1021" w:hanging="1021"/>
        <w:rPr>
          <w:i/>
        </w:rPr>
      </w:pPr>
      <w:r>
        <w:rPr>
          <w:i/>
          <w:lang w:val="en-US"/>
        </w:rPr>
        <w:tab/>
        <w:t>b</w:t>
      </w:r>
      <w:r>
        <w:rPr>
          <w:i/>
        </w:rPr>
        <w:t>)</w:t>
      </w:r>
      <w:r>
        <w:rPr>
          <w:i/>
        </w:rPr>
        <w:tab/>
        <w:t>требования статьи 89 о внесении собственности в причитающийся платеж применяются к любой выгоде, получаемой собственником-бенефициарием, приобретенной любым потомком умершего(ей) согласно Завещанию умершего(ей), однако не к выгоде, получаемой собственником-бенефициарием, приобретенной любым другим лицом;</w:t>
      </w:r>
    </w:p>
    <w:p w:rsidR="00000000" w:rsidRDefault="00000000">
      <w:pPr>
        <w:tabs>
          <w:tab w:val="clear" w:pos="340"/>
          <w:tab w:val="left" w:pos="1021"/>
        </w:tabs>
        <w:ind w:left="1021" w:hanging="1021"/>
        <w:rPr>
          <w:i/>
        </w:rPr>
      </w:pPr>
      <w:r>
        <w:rPr>
          <w:i/>
          <w:lang w:val="en-US"/>
        </w:rPr>
        <w:tab/>
      </w:r>
      <w:r>
        <w:rPr>
          <w:i/>
        </w:rPr>
        <w:t>с)</w:t>
      </w:r>
      <w:r>
        <w:rPr>
          <w:i/>
        </w:rPr>
        <w:tab/>
        <w:t>наследники, в зависимости от их прав и полномочий на управление наследственным имуществом, являются доверительными собственниками для лиц, имеющих права в соответствии с данной Частью в отношении части имущества, которой умерший(ая) не распорядился(лась) в прямой форме, если из Завещания не явствует, что предполагается пользование наследниками данной частью имущества с выгодой.</w:t>
      </w:r>
    </w:p>
    <w:p w:rsidR="00000000" w:rsidRDefault="00000000">
      <w:r>
        <w:t>451.</w:t>
      </w:r>
      <w:r>
        <w:tab/>
        <w:t xml:space="preserve">В соответствии со статьей 3 </w:t>
      </w:r>
      <w:r>
        <w:rPr>
          <w:i/>
          <w:lang w:val="en-US"/>
        </w:rPr>
        <w:t>d</w:t>
      </w:r>
      <w:r>
        <w:rPr>
          <w:i/>
        </w:rPr>
        <w:t>)</w:t>
      </w:r>
      <w:r>
        <w:t xml:space="preserve"> закона о лицах, состоящих в браке, глава 45:50, замужняя женщина является "субъектом права о банкротстве и принудительном исполнении судебных решений и предписаний", как если бы она была незамужней женщиной.</w:t>
      </w:r>
    </w:p>
    <w:p w:rsidR="00000000" w:rsidRDefault="00000000">
      <w:r>
        <w:t>452.</w:t>
      </w:r>
      <w:r>
        <w:tab/>
        <w:t>Женщины имеют те же права, что и их мужья, на распоряжение собственностью, однако распоряжение совместной собственностью требует согласия другого супруга, будь то муж или жена.</w:t>
      </w:r>
    </w:p>
    <w:p w:rsidR="00000000" w:rsidRDefault="00000000">
      <w:r>
        <w:t>453.</w:t>
      </w:r>
      <w:r>
        <w:tab/>
        <w:t>Статья 4 закона о лицах, состоящих в браке, глава 45:50 предусматривает следующие положения в отношении прав женщин, касающихся управления собственностью:</w:t>
      </w:r>
    </w:p>
    <w:p w:rsidR="00000000" w:rsidRDefault="00000000">
      <w:pPr>
        <w:tabs>
          <w:tab w:val="clear" w:pos="340"/>
          <w:tab w:val="left" w:pos="1021"/>
        </w:tabs>
        <w:rPr>
          <w:i/>
        </w:rPr>
      </w:pPr>
      <w:r>
        <w:rPr>
          <w:i/>
        </w:rPr>
        <w:tab/>
        <w:t>Согласно данному Закону вся собственность, которая</w:t>
      </w:r>
    </w:p>
    <w:p w:rsidR="00000000" w:rsidRDefault="00000000">
      <w:pPr>
        <w:tabs>
          <w:tab w:val="clear" w:pos="340"/>
          <w:tab w:val="clear" w:pos="680"/>
          <w:tab w:val="left" w:pos="1021"/>
          <w:tab w:val="left" w:pos="1361"/>
        </w:tabs>
        <w:spacing w:after="0"/>
        <w:ind w:left="1361" w:hanging="1361"/>
        <w:rPr>
          <w:i/>
        </w:rPr>
      </w:pPr>
      <w:r>
        <w:rPr>
          <w:i/>
        </w:rPr>
        <w:tab/>
        <w:t>а)</w:t>
      </w:r>
      <w:r>
        <w:rPr>
          <w:i/>
        </w:rPr>
        <w:tab/>
        <w:t>непосредственно перед 1 января 1937 года была раздельным имуществом замужней женщины или отдана ей для раздельного пользования по праву справедливости; либо</w:t>
      </w:r>
    </w:p>
    <w:p w:rsidR="00000000" w:rsidRDefault="00000000">
      <w:pPr>
        <w:tabs>
          <w:tab w:val="clear" w:pos="340"/>
          <w:tab w:val="clear" w:pos="680"/>
          <w:tab w:val="left" w:pos="1021"/>
          <w:tab w:val="left" w:pos="1361"/>
        </w:tabs>
        <w:spacing w:after="0"/>
        <w:ind w:left="1361" w:hanging="1361"/>
        <w:rPr>
          <w:i/>
        </w:rPr>
      </w:pPr>
      <w:r>
        <w:rPr>
          <w:i/>
        </w:rPr>
        <w:tab/>
      </w:r>
      <w:r>
        <w:rPr>
          <w:i/>
          <w:lang w:val="en-US"/>
        </w:rPr>
        <w:t>b</w:t>
      </w:r>
      <w:r>
        <w:rPr>
          <w:i/>
        </w:rPr>
        <w:t>)</w:t>
      </w:r>
      <w:r>
        <w:rPr>
          <w:i/>
        </w:rPr>
        <w:tab/>
        <w:t>принадлежит во время замужества женщине, вышедшей замуж 1 или после 1</w:t>
      </w:r>
      <w:r>
        <w:rPr>
          <w:i/>
          <w:lang w:val="en-US"/>
        </w:rPr>
        <w:t> </w:t>
      </w:r>
      <w:r>
        <w:rPr>
          <w:i/>
        </w:rPr>
        <w:t>января 1937</w:t>
      </w:r>
      <w:r>
        <w:rPr>
          <w:i/>
          <w:lang w:val="en-US"/>
        </w:rPr>
        <w:t> </w:t>
      </w:r>
      <w:r>
        <w:rPr>
          <w:i/>
        </w:rPr>
        <w:t>года; либо</w:t>
      </w:r>
    </w:p>
    <w:p w:rsidR="00000000" w:rsidRDefault="00000000">
      <w:pPr>
        <w:tabs>
          <w:tab w:val="clear" w:pos="340"/>
          <w:tab w:val="clear" w:pos="680"/>
          <w:tab w:val="left" w:pos="1021"/>
          <w:tab w:val="left" w:pos="1361"/>
        </w:tabs>
        <w:ind w:left="1361" w:hanging="1361"/>
        <w:rPr>
          <w:i/>
        </w:rPr>
      </w:pPr>
      <w:r>
        <w:rPr>
          <w:i/>
        </w:rPr>
        <w:tab/>
      </w:r>
      <w:r>
        <w:rPr>
          <w:i/>
          <w:lang w:val="en-US"/>
        </w:rPr>
        <w:t>c</w:t>
      </w:r>
      <w:r>
        <w:rPr>
          <w:i/>
        </w:rPr>
        <w:t>)</w:t>
      </w:r>
      <w:r>
        <w:rPr>
          <w:i/>
        </w:rPr>
        <w:tab/>
        <w:t>1 или после 1 января 1937 года приобретена замужней женщиной или перешла к ней,</w:t>
      </w:r>
    </w:p>
    <w:p w:rsidR="00000000" w:rsidRDefault="00000000">
      <w:pPr>
        <w:tabs>
          <w:tab w:val="clear" w:pos="340"/>
          <w:tab w:val="clear" w:pos="680"/>
          <w:tab w:val="left" w:pos="1021"/>
          <w:tab w:val="left" w:pos="1361"/>
        </w:tabs>
        <w:ind w:left="1021" w:hanging="1021"/>
        <w:rPr>
          <w:i/>
        </w:rPr>
      </w:pPr>
      <w:r>
        <w:rPr>
          <w:i/>
        </w:rPr>
        <w:tab/>
        <w:t>принадлежит ей во всех отношениях, как если бы она была незамужней женщиной, и может распоряжаться ею соответственно.</w:t>
      </w:r>
    </w:p>
    <w:p w:rsidR="00000000" w:rsidRDefault="00000000">
      <w:r>
        <w:t>454.</w:t>
      </w:r>
      <w:r>
        <w:tab/>
        <w:t>Статьи 51–61 закона о брачном судопроизводстве и собственности, глава 45:51, предусматривают порядок управления имуществом семьи после расторжения брака. И муж, и жена имеют равные права в этом отношении.</w:t>
      </w:r>
    </w:p>
    <w:p w:rsidR="00000000" w:rsidRDefault="00000000">
      <w:r>
        <w:t>455.</w:t>
      </w:r>
      <w:r>
        <w:tab/>
        <w:t>При расторжении брака жена имеет такие же права в отношении собственности, как и муж. Следовательно, при отсутствии соглашения все имущество или деньги подлежат совместному управлению с целью ведения семейного дома либо аналогичных расходов, и все имущество рассматривается как принадлежащее мужу и жене в равных частях, и распределяется таким образом.</w:t>
      </w:r>
    </w:p>
    <w:p w:rsidR="00000000" w:rsidRDefault="00000000">
      <w:r>
        <w:t>456.</w:t>
      </w:r>
      <w:r>
        <w:tab/>
        <w:t xml:space="preserve">Часть </w:t>
      </w:r>
      <w:r>
        <w:rPr>
          <w:lang w:val="en-US"/>
        </w:rPr>
        <w:t>II</w:t>
      </w:r>
      <w:r>
        <w:t xml:space="preserve"> закона о брачном судопроизводстве и собственности, глава 45:51, предусматривает право женщин на получение алиментов в случае развода. Статья 23 предусматривает, что</w:t>
      </w:r>
    </w:p>
    <w:p w:rsidR="00000000" w:rsidRDefault="00000000">
      <w:pPr>
        <w:ind w:left="680" w:right="680"/>
        <w:rPr>
          <w:i/>
        </w:rPr>
      </w:pPr>
      <w:r>
        <w:rPr>
          <w:i/>
        </w:rPr>
        <w:t>по исковому заявлению на развод аннулирование брака или разлучение по решению суда суд может предписать любой из сторон брака осуществлять в пользу другой стороны периодические платежи для его или ее содержания на определенный срок, причем настоящий срок начинается не ранее, чем в день представления искового заявления, и заканчивается в день вынесения постановления по иску, если Суд сочтет его обоснованным.</w:t>
      </w:r>
    </w:p>
    <w:p w:rsidR="00000000" w:rsidRDefault="00000000">
      <w:r>
        <w:t>Данная статья прямо предусматривает, что суд может предписать как мужчинам, так и женщинам выплачивать алименты своей(ему) супруге(у).</w:t>
      </w:r>
    </w:p>
    <w:p w:rsidR="00000000" w:rsidRDefault="00000000">
      <w:r>
        <w:t>457.</w:t>
      </w:r>
      <w:r>
        <w:tab/>
        <w:t>В законе о совместном проживании № 30 1998 года содержатся положения о юрисдикции судов по изданию приказов в отношении права собственности и алиментов для мужчины или женщины, которые живут или жили вместе как муж и жена на основе семейной добросовестности, даже если они не состоят в браке. Согласно данному закону совместно проживающие супруги имеют те же права в отношении собственности, что и состоящие в браке супруги, хотя в этом случае отсутствует неконкретизированное право на содержание.</w:t>
      </w:r>
    </w:p>
    <w:p w:rsidR="00000000" w:rsidRDefault="00000000">
      <w:r>
        <w:t>458.</w:t>
      </w:r>
      <w:r>
        <w:tab/>
        <w:t>Судебные приказы об опеке и алиментах для детей предусмотрены законом о семейном праве (опека над несовершеннолетними, постоянное проживание и содержание), глава 46:08. Согласно этому закону женщинам предоставляются одинаковые с мужчинами права по опеке над детьми.</w:t>
      </w:r>
    </w:p>
    <w:p w:rsidR="00000000" w:rsidRDefault="00000000">
      <w:pPr>
        <w:tabs>
          <w:tab w:val="clear" w:pos="340"/>
        </w:tabs>
        <w:rPr>
          <w:i/>
        </w:rPr>
      </w:pPr>
      <w:r>
        <w:rPr>
          <w:i/>
        </w:rPr>
        <w:br w:type="page"/>
      </w:r>
      <w:r>
        <w:rPr>
          <w:i/>
        </w:rPr>
        <w:tab/>
        <w:t>3.</w:t>
      </w:r>
      <w:r>
        <w:rPr>
          <w:i/>
          <w:lang w:val="en-US"/>
        </w:rPr>
        <w:t xml:space="preserve"> </w:t>
      </w:r>
      <w:r>
        <w:rPr>
          <w:i/>
        </w:rPr>
        <w:t>В случае, если в досудебных процессуальных действиях</w:t>
      </w:r>
    </w:p>
    <w:p w:rsidR="00000000" w:rsidRDefault="00000000">
      <w:pPr>
        <w:tabs>
          <w:tab w:val="clear" w:pos="340"/>
          <w:tab w:val="clear" w:pos="680"/>
          <w:tab w:val="left" w:pos="1021"/>
          <w:tab w:val="left" w:pos="1361"/>
        </w:tabs>
        <w:spacing w:after="0"/>
        <w:ind w:left="1021" w:hanging="1021"/>
        <w:rPr>
          <w:i/>
        </w:rPr>
      </w:pPr>
      <w:r>
        <w:rPr>
          <w:i/>
        </w:rPr>
        <w:tab/>
        <w:t>а)</w:t>
      </w:r>
      <w:r>
        <w:rPr>
          <w:i/>
        </w:rPr>
        <w:tab/>
        <w:t>законное попечительство или воспитание несовершеннолетнего; или</w:t>
      </w:r>
    </w:p>
    <w:p w:rsidR="00000000" w:rsidRDefault="00000000">
      <w:pPr>
        <w:tabs>
          <w:tab w:val="clear" w:pos="340"/>
          <w:tab w:val="clear" w:pos="680"/>
          <w:tab w:val="left" w:pos="1021"/>
          <w:tab w:val="left" w:pos="1361"/>
        </w:tabs>
        <w:ind w:left="1021" w:right="680" w:hanging="1021"/>
        <w:rPr>
          <w:i/>
        </w:rPr>
      </w:pPr>
      <w:r>
        <w:rPr>
          <w:i/>
        </w:rPr>
        <w:tab/>
      </w:r>
      <w:r>
        <w:rPr>
          <w:i/>
          <w:lang w:val="en-US"/>
        </w:rPr>
        <w:t>b</w:t>
      </w:r>
      <w:r>
        <w:rPr>
          <w:i/>
        </w:rPr>
        <w:t>)</w:t>
      </w:r>
      <w:r>
        <w:rPr>
          <w:i/>
        </w:rPr>
        <w:tab/>
        <w:t>управление всей собственностью, принадлежащей несовершеннолетнему или находящейся во владении на началах доверительной собственности в пользу несовершеннолетнего, или использование дохода с нее</w:t>
      </w:r>
    </w:p>
    <w:p w:rsidR="00000000" w:rsidRDefault="00000000">
      <w:pPr>
        <w:ind w:left="680" w:right="680"/>
        <w:rPr>
          <w:i/>
        </w:rPr>
      </w:pPr>
      <w:r>
        <w:rPr>
          <w:i/>
        </w:rPr>
        <w:t>является сомнительным, то Суд при решении данного дела принимает благосостояние несовершеннолетнего в качестве первого и высшего рассматриваемого вопроса и не принимает во внимание, является ли с любой другой точки зрения иск отца или право по нормам общего права, применяемое отцом в отношении опеки, воспитания, управления собственностью или использования дохода с собственности главенствующим по отношению к иску матери, либо иск матери является главенствующим по отношению к иску отца.</w:t>
      </w:r>
    </w:p>
    <w:p w:rsidR="00000000" w:rsidRDefault="00000000">
      <w:pPr>
        <w:ind w:left="680" w:right="680"/>
        <w:rPr>
          <w:i/>
        </w:rPr>
      </w:pPr>
      <w:r>
        <w:rPr>
          <w:i/>
        </w:rPr>
        <w:t>4. (1)</w:t>
      </w:r>
      <w:r>
        <w:rPr>
          <w:i/>
        </w:rPr>
        <w:tab/>
        <w:t>Относительно опеки или воспитания несовершеннолетнего, а также относительно управления собственностью, принадлежащей несовершеннолетнему или находящейся во владении на началах доверительной собственности в пользу несовершеннолетнего, или использования дохода с нее мать имеет те же права и полномочия, какие закон предоставляет отцу, и права и полномочия матери и отца равны и могут быть осуществлены любым из них без участия другого.</w:t>
      </w:r>
    </w:p>
    <w:p w:rsidR="00000000" w:rsidRDefault="00000000">
      <w:r>
        <w:t>Единственное различие между матерью и отцом изложено в статье 13 (5), которая предусматривает, что "судебный приказ об уплате алиментов, согласно этому Закону, не может быть издан против лица как отца несовершеннолетнего, который предположительно не является его отцом".</w:t>
      </w:r>
    </w:p>
    <w:p w:rsidR="00000000" w:rsidRDefault="00000000">
      <w:r>
        <w:t>459.</w:t>
      </w:r>
      <w:r>
        <w:tab/>
        <w:t>Согласно закону о семейном праве (опека над несовершеннолетними, постоянное проживание и содержание), глава</w:t>
      </w:r>
      <w:r>
        <w:rPr>
          <w:lang w:val="en-US"/>
        </w:rPr>
        <w:t> </w:t>
      </w:r>
      <w:r>
        <w:t>46:08, и мать, и отец являются естественными соопекунами ребенка, имеют одинаковые права и несут одинаковую ответственность как родители. В отношении ребенка, родившегося в законном браке, статья 6 предусматривает следующее:</w:t>
      </w:r>
    </w:p>
    <w:p w:rsidR="00000000" w:rsidRDefault="00000000">
      <w:pPr>
        <w:ind w:left="680" w:right="680"/>
        <w:rPr>
          <w:i/>
        </w:rPr>
      </w:pPr>
      <w:r>
        <w:rPr>
          <w:i/>
        </w:rPr>
        <w:t>В соответствии с положениями данного Закона мать несовершеннолетнего, родившегося в законном браке, будет единственным опекуном несовершеннолетнего лишь в том случае, если отцовство не занесено в метрическую книгу, согласно Закону о регистрации рождений и смертей, либо не установлено каким-либо из методов, перечисленных в статье 8 или 10 Закона о положении детей.</w:t>
      </w:r>
    </w:p>
    <w:p w:rsidR="00000000" w:rsidRDefault="00000000">
      <w:r>
        <w:t>Что касается ответственности за воспитание ребенка, то она лежит на обоих родителях в равной степени. За дополнительной информацией в этом отношении, пожалуйста, обращайтесь к пунктам 160–162 по статье 5 настоящего периодического доклада.</w:t>
      </w:r>
    </w:p>
    <w:p w:rsidR="00000000" w:rsidRDefault="00000000">
      <w:r>
        <w:t>460.</w:t>
      </w:r>
      <w:r>
        <w:rPr>
          <w:lang w:val="en-US"/>
        </w:rPr>
        <w:tab/>
      </w:r>
      <w:r>
        <w:t>Статья 11 (2) закона об усыновлении детей устанавливает, что "судебный приказ об усыновлении не может быть издан в случае, когда не состоящим в браке заявителем является мужчина, если только Суд не убежден, что имеют место особые обстоятельства, которые оправдывают такую исключительную меру, как издание приказа об усыновлении". В отношении семейной пары статья 11 (4) устанавливает следующее:</w:t>
      </w:r>
    </w:p>
    <w:p w:rsidR="00000000" w:rsidRDefault="00000000">
      <w:pPr>
        <w:ind w:left="680" w:right="680"/>
        <w:rPr>
          <w:i/>
        </w:rPr>
      </w:pPr>
      <w:r>
        <w:rPr>
          <w:i/>
        </w:rPr>
        <w:t>…судебный приказ не может быть издан по заявлению одного или двух супругов без согласия каждого из них; однако Суд может пренебречь согласием, требуемым этим пунктом статьи, если убежден, что лицо, чье согласие не получено, не может быть обнаружено, либо является недееспособным для дачи такого согласия, либо что супруги разлучены и живут отдельно и что их разлучение, вероятно, является постоянным.</w:t>
      </w:r>
    </w:p>
    <w:p w:rsidR="00000000" w:rsidRDefault="00000000">
      <w:r>
        <w:t>Помимо условий, описанных в данном положении, закон не устанавливает других ограничений или различий между мужчинами и женщинами в праве на усыновление детей либо для усыновления их детей.</w:t>
      </w:r>
    </w:p>
    <w:p w:rsidR="00000000" w:rsidRDefault="00000000">
      <w:r>
        <w:t>461.</w:t>
      </w:r>
      <w:r>
        <w:tab/>
        <w:t>Недавно новый закон об усыновлении детей № 67 2000 года был принят, заменив применяемый закон. Данная нормотворческая деятельность приводит законодательство в соответствие с развивающимися тенденциями в области прав ребенка. Целью закона является регулирование процессуальных норм, регламентирующих усыновление в Тринидаде и Тобаго, закон также отражает рекомендации по реформированию применяемого при усыновлении законодательства представляющих различные интересы групп. Закон требует, чтобы Комитет по вопросам усыновления сотрудничал с Управлением по делам детей и оказывал содействие в достижении его целей, а также наделяет суд по делам семьи юрисдикцией по изданию судебных приказов об усыновлении. Кроме того, Закон устраняет трудности проживающих за границей лиц, которые хотят усыновить детей в Тринидаде и Тобаго. Он также содержит положения, облекающие правом ребенка, который является резидентом Тринидада и Тобаго, быть усыновленным иностранными усыновителями, которые не являются резидентами Тринидада и Тобаго, таким образом устраняя национальные ограничения, установленные существующим законодательством в области усыновления. Вместе с тем в законе содержатся новые гарантии защиты детей, усыновленных иностранцами.</w:t>
      </w:r>
    </w:p>
    <w:p w:rsidR="00000000" w:rsidRDefault="00000000">
      <w:r>
        <w:t>462.</w:t>
      </w:r>
      <w:r>
        <w:tab/>
        <w:t>В то же время конкретные права суррогатных матерей не защищены законом. Нынешняя позиция правительства заключается в том, что данный вопрос должен быть изучен до принятия решения, есть ли необходимость вводить в действие внутреннее законодательство в этом отношении.</w:t>
      </w:r>
    </w:p>
    <w:p w:rsidR="00000000" w:rsidRDefault="00000000">
      <w:r>
        <w:t>463.</w:t>
      </w:r>
      <w:r>
        <w:tab/>
        <w:t>В статье 5 закона о семейном праве (опека над несовершеннолетними, постоянное проживание и содержание), глава</w:t>
      </w:r>
      <w:r>
        <w:rPr>
          <w:lang w:val="en-US"/>
        </w:rPr>
        <w:t> </w:t>
      </w:r>
      <w:r>
        <w:t>46:08, содержится ссылка на изменение имени несовершеннолетнего ребенка:</w:t>
      </w:r>
    </w:p>
    <w:p w:rsidR="00000000" w:rsidRDefault="00000000">
      <w:pPr>
        <w:tabs>
          <w:tab w:val="clear" w:pos="340"/>
          <w:tab w:val="left" w:pos="1021"/>
          <w:tab w:val="left" w:pos="1361"/>
        </w:tabs>
        <w:ind w:left="680" w:hanging="680"/>
        <w:rPr>
          <w:i/>
        </w:rPr>
      </w:pPr>
      <w:r>
        <w:rPr>
          <w:i/>
        </w:rPr>
        <w:tab/>
        <w:t>5. (1)</w:t>
      </w:r>
      <w:r>
        <w:rPr>
          <w:i/>
        </w:rPr>
        <w:tab/>
        <w:t>В соответствии с пунктами статей 2) и 3) отец или мать несовершеннолетнего либо третье лицо могут обратиться в Высокий суд с ходатайством об изменении данного несовершеннолетнему имени или фамилии.</w:t>
      </w:r>
    </w:p>
    <w:p w:rsidR="00000000" w:rsidRDefault="00000000">
      <w:pPr>
        <w:tabs>
          <w:tab w:val="clear" w:pos="340"/>
          <w:tab w:val="left" w:pos="1021"/>
          <w:tab w:val="left" w:pos="1361"/>
        </w:tabs>
        <w:spacing w:after="0"/>
        <w:rPr>
          <w:i/>
        </w:rPr>
      </w:pPr>
      <w:r>
        <w:rPr>
          <w:i/>
        </w:rPr>
        <w:tab/>
        <w:t>1)</w:t>
      </w:r>
      <w:r>
        <w:rPr>
          <w:i/>
        </w:rPr>
        <w:tab/>
        <w:t>Если ходатайство подано согласно пункту 1)</w:t>
      </w:r>
    </w:p>
    <w:p w:rsidR="00000000" w:rsidRDefault="00000000">
      <w:pPr>
        <w:tabs>
          <w:tab w:val="clear" w:pos="340"/>
          <w:tab w:val="left" w:pos="1021"/>
          <w:tab w:val="left" w:pos="1361"/>
        </w:tabs>
        <w:spacing w:after="0"/>
        <w:rPr>
          <w:i/>
        </w:rPr>
      </w:pPr>
      <w:r>
        <w:rPr>
          <w:i/>
        </w:rPr>
        <w:tab/>
      </w:r>
      <w:r>
        <w:rPr>
          <w:i/>
          <w:lang w:val="en-US"/>
        </w:rPr>
        <w:tab/>
      </w:r>
      <w:r>
        <w:rPr>
          <w:i/>
        </w:rPr>
        <w:t>а)</w:t>
      </w:r>
      <w:r>
        <w:rPr>
          <w:i/>
        </w:rPr>
        <w:tab/>
        <w:t>матерью или отцом, прежде всего должно быть получено согласие другого родителя; или</w:t>
      </w:r>
    </w:p>
    <w:p w:rsidR="00000000" w:rsidRDefault="00000000">
      <w:pPr>
        <w:tabs>
          <w:tab w:val="clear" w:pos="340"/>
          <w:tab w:val="left" w:pos="1021"/>
          <w:tab w:val="left" w:pos="1361"/>
        </w:tabs>
        <w:rPr>
          <w:i/>
        </w:rPr>
      </w:pPr>
      <w:r>
        <w:rPr>
          <w:i/>
        </w:rPr>
        <w:tab/>
      </w:r>
      <w:r>
        <w:rPr>
          <w:i/>
          <w:lang w:val="en-US"/>
        </w:rPr>
        <w:tab/>
        <w:t>b</w:t>
      </w:r>
      <w:r>
        <w:rPr>
          <w:i/>
        </w:rPr>
        <w:t>)</w:t>
      </w:r>
      <w:r>
        <w:rPr>
          <w:i/>
        </w:rPr>
        <w:tab/>
        <w:t>третьим лицом, прежде всего должно быть получено согласие обоих родителей.</w:t>
      </w:r>
    </w:p>
    <w:p w:rsidR="00000000" w:rsidRDefault="00000000">
      <w:pPr>
        <w:tabs>
          <w:tab w:val="clear" w:pos="340"/>
          <w:tab w:val="left" w:pos="1021"/>
          <w:tab w:val="left" w:pos="1361"/>
        </w:tabs>
        <w:ind w:left="680" w:hanging="680"/>
        <w:rPr>
          <w:i/>
        </w:rPr>
      </w:pPr>
      <w:r>
        <w:rPr>
          <w:i/>
        </w:rPr>
        <w:tab/>
        <w:t>3)</w:t>
      </w:r>
      <w:r>
        <w:rPr>
          <w:i/>
        </w:rPr>
        <w:tab/>
        <w:t>Несмотря на требования пункта 2), Суд может на основании ходатайства, поданного согласно пункту 1), пренебречь согласием отца или матери в случае, если мать или отец умерли или не могут быть обнаружены, или в любом другом случае, который сочтут соответствующим.</w:t>
      </w:r>
    </w:p>
    <w:p w:rsidR="00000000" w:rsidRDefault="00000000">
      <w:r>
        <w:t>464.</w:t>
      </w:r>
      <w:r>
        <w:tab/>
        <w:t>Положения уголовного законодательства, устанавливающие возраст согласия на вступление в половые сношения, содержались в законе о половых преступлениях № 27 1986 года (с поправками). Статья 6 определяет возраст для согласия на вступление в половые сношения с 14 лет для лиц женского пола, а статья 7 определяет такой возраст с 16 лет для лиц мужского пола.</w:t>
      </w:r>
    </w:p>
    <w:p w:rsidR="00000000" w:rsidRDefault="00000000">
      <w:r>
        <w:t>465.</w:t>
      </w:r>
      <w:r>
        <w:tab/>
        <w:t>Недавно нормы закона о половых преступлениях (с поправками), регулирующие половые преступления, сводничество и проституцию, а также родственные преступления, были заменены нормами закона о половых преступлениях № 31 2000 года. Данный закон теперь предусматривает, что муж может быть обвинен за изнасилование своей жены.</w:t>
      </w:r>
    </w:p>
    <w:p w:rsidR="00000000" w:rsidRDefault="00000000">
      <w:r>
        <w:t>466.</w:t>
      </w:r>
      <w:r>
        <w:tab/>
        <w:t>В Тринидаде и Тобаго мужчины и женщины имеют одинаковые права на свободное и ответственное принятие решения относительно числа своих детей и интервалов между их рождением, а также на доступ к информации, образование и средства для осуществления этих прав. Для женщин предусмотрена возможность получения информации, необходимой для принятия основанных на знаниях решений о безопасной и надежной контрацепции. Женщины имеют также доступ к половому образованию и службам планирования семьи с помощью ряда государственных и негосударственных агентств и организаций, Отдела национальной службы по делам семьи и Ассоциации планирования семьи.</w:t>
      </w:r>
    </w:p>
    <w:p w:rsidR="00000000" w:rsidRDefault="00000000">
      <w:r>
        <w:t>467.</w:t>
      </w:r>
      <w:r>
        <w:tab/>
        <w:t>Женщины имеют равные личные права в отношении выбора фамилии в замужестве, профессии и рода занятий. В действительности в Тринидаде и Тобаго многие женщины после замужества оставляют девичью фамилию вместе с фамилией мужа, хотя, насколько широко используется такая практика, неизвестно.</w:t>
      </w:r>
    </w:p>
    <w:p w:rsidR="00000000" w:rsidRDefault="00000000">
      <w:r>
        <w:t>468.</w:t>
      </w:r>
      <w:r>
        <w:tab/>
        <w:t xml:space="preserve">В законодательстве Тринидада и Тобаго отсутствует указание на защиту чести. </w:t>
      </w:r>
    </w:p>
    <w:p w:rsidR="00000000" w:rsidRDefault="00000000">
      <w:r>
        <w:t>469.</w:t>
      </w:r>
      <w:r>
        <w:tab/>
        <w:t>В статье 6 закона о насилии в семье № 27 1999 года изложены различные последствия охранного приказа, изданного судом. В некоторых случаях охранный судебный приказ служит приказом, запрещающим ответчику, в частности, предпринимать такие действия или попытку таких действий, которые составляют насилие в семье, в отношении заявителя; приближаться к местам, часто посещаемым заявителем, включая место проживания, объекты права собственности, фирму, школу либо место работы; вступать в прямую или косвенную связь с заявителем; причинять ущерб или иметь дело с собственностью, в которой заявитель может быть заинтересован, либо которая может быть использована заявителем, а также приближаться к заявителю ближе, чем на определенное расстояние.</w:t>
      </w:r>
    </w:p>
    <w:p w:rsidR="00000000" w:rsidRDefault="00000000">
      <w:r>
        <w:t>470.</w:t>
      </w:r>
      <w:r>
        <w:tab/>
        <w:t>В других случаях охранный судебный приказ может обязать ответчика выполнить определенную функцию или действие. В соответствии со статьей 6 (1) с) (</w:t>
      </w:r>
      <w:r>
        <w:rPr>
          <w:lang w:val="en-US"/>
        </w:rPr>
        <w:t>ii</w:t>
      </w:r>
      <w:r>
        <w:t>) закона о насилии в семье № 27 1999 года ответчику может быть приказано выплатить компенсацию понесенного заявителем денежного ущерба, явившегося прямым результатом действий ответчика, которые составляют насилие в семье.</w:t>
      </w:r>
    </w:p>
    <w:p w:rsidR="00000000" w:rsidRDefault="00000000">
      <w:r>
        <w:t>471.</w:t>
      </w:r>
      <w:r>
        <w:tab/>
        <w:t>Согласно статье 6 (1) с) (</w:t>
      </w:r>
      <w:r>
        <w:rPr>
          <w:lang w:val="en-US"/>
        </w:rPr>
        <w:t>ii</w:t>
      </w:r>
      <w:r>
        <w:t>) закона о насилии в семье № 27 1999 года суд также может приказать ответчику выплатить промежуточное денежное пособие на содержание заявителя либо ребенка, если отсутствует предписание относительно алиментов.</w:t>
      </w:r>
    </w:p>
    <w:p w:rsidR="00000000" w:rsidRDefault="00000000">
      <w:r>
        <w:t>472.</w:t>
      </w:r>
      <w:r>
        <w:tab/>
        <w:t>Статья 6 (4) закона о насилии в семье № 27 1999 года, кроме того, устанавливает, что судебный приказ о компенсации может предусматривать, среди прочего, потерю заработка, медицинские или зубоврачебные расходы, расходы по переезду или расквартированию, а также обоснованные судебные издержки, включая издержки, возникшие из подачи ходатайства об издании охранного судебного приказа. В соответствии со статьей 6 (5) закона о насилии в семье № 27 1999 года сумма присужденной компенсации не может превышать 15 000 долл. ТТ и подлежит получению судом от имени заявителя.</w:t>
      </w:r>
    </w:p>
    <w:p w:rsidR="00000000" w:rsidRDefault="00000000">
      <w:r>
        <w:t>473.</w:t>
      </w:r>
      <w:r>
        <w:tab/>
        <w:t>Уголовные санкции, возникающие вследствие нарушения охранного судебного приказа, изложены в статье 20 закона о насилии в семье № 27 1999 года. Подобное нарушение происходит, когда ответчик по получении охранного судебного приказа отказывается выполнять, не выполняет или ненадлежащим образом выполняет указания, содержащиеся в охранном судебном приказе. В этом случае, при первом осуждении, ответчик подлежит взысканию с него штрафа, не превышающего 9000 долл. ТТ, либо тюремному заключению на срок не более 3 месяцев. При втором осуждении ответчик подлежит взысканию с него штрафа, не превышающего 15 000 долл. ТТ, либо тюремному заключению на срок не более 2 лет. В случае последующих нарушений следствием осуждения будет тюремное заключение на срок, не превышающий 5 лет.</w:t>
      </w:r>
    </w:p>
    <w:p w:rsidR="00000000" w:rsidRDefault="00000000">
      <w:r>
        <w:t>474.</w:t>
      </w:r>
      <w:r>
        <w:tab/>
        <w:t>Кроме того, статья 6 (1) </w:t>
      </w:r>
      <w:r>
        <w:rPr>
          <w:lang w:val="en-US"/>
        </w:rPr>
        <w:t>c</w:t>
      </w:r>
      <w:r>
        <w:t>) (</w:t>
      </w:r>
      <w:r>
        <w:rPr>
          <w:lang w:val="en-US"/>
        </w:rPr>
        <w:t>viii</w:t>
      </w:r>
      <w:r>
        <w:t>) закона о насилии в семье № 27 1999 года предусматривает, что суд может приказать ответчику пройти консультацию у специалиста либо лечение. Если обнаружено, что распоряжение суда не было выполнено и причина для такого невыполнения была, по мнению суда, необоснованной, ответчик будет приговорен к штрафу, не превышающему 3000 долл. ТТ, согласно статье 20 (2) закона о насилии в семье № 27 1999 года.</w:t>
      </w:r>
    </w:p>
    <w:p w:rsidR="00000000" w:rsidRDefault="00000000">
      <w:pPr>
        <w:pStyle w:val="Heading1"/>
        <w:spacing w:after="240"/>
      </w:pPr>
      <w:r>
        <w:rPr>
          <w:b w:val="0"/>
        </w:rPr>
        <w:br w:type="page"/>
      </w:r>
      <w:r>
        <w:t xml:space="preserve">КОНВЕНЦИЯ О ЛИКВИДАЦИИ ВСЕХ ФОРМ ДИСКРИМИНАЦИИ </w:t>
      </w:r>
      <w:r>
        <w:br/>
        <w:t>В ОТНОШЕНИИ ЖЕНЩИН</w:t>
      </w:r>
    </w:p>
    <w:p w:rsidR="00000000" w:rsidRDefault="00000000">
      <w:pPr>
        <w:pStyle w:val="Heading3"/>
        <w:spacing w:before="0"/>
      </w:pPr>
      <w:r>
        <w:t>Принята и открыта для подписания, ратификации и присоединения резолюцией Генеральной Ассамблеи 34/180 от 18 декабря 1979 года</w:t>
      </w:r>
    </w:p>
    <w:p w:rsidR="00000000" w:rsidRDefault="00000000">
      <w:pPr>
        <w:pStyle w:val="Heading2"/>
        <w:spacing w:before="240"/>
        <w:jc w:val="center"/>
      </w:pPr>
      <w:r>
        <w:t>ВСТУПЛЕНИЕ В СИЛУ:  3 сентября 1981 года в соответствии со статьей 27 (1)</w:t>
      </w:r>
    </w:p>
    <w:p w:rsidR="00000000" w:rsidRDefault="00000000">
      <w:pPr>
        <w:ind w:left="680" w:right="680"/>
      </w:pPr>
      <w:r>
        <w:rPr>
          <w:i/>
        </w:rPr>
        <w:t>Государства – участники настоящей Конвенции</w:t>
      </w:r>
      <w:r>
        <w:t>,</w:t>
      </w:r>
    </w:p>
    <w:p w:rsidR="00000000" w:rsidRDefault="00000000">
      <w:pPr>
        <w:ind w:left="680" w:right="680"/>
      </w:pPr>
      <w:r>
        <w:rPr>
          <w:i/>
        </w:rPr>
        <w:t>учитывая</w:t>
      </w:r>
      <w:r>
        <w:t>, что Устав Организации Объединенных Наций вновь утвердил веру в основные права человека, в достоинство и ценность человеческой личности и в равноправие мужчин и женщин,</w:t>
      </w:r>
    </w:p>
    <w:p w:rsidR="00000000" w:rsidRDefault="00000000">
      <w:pPr>
        <w:ind w:left="680" w:right="680"/>
      </w:pPr>
      <w:r>
        <w:rPr>
          <w:i/>
        </w:rPr>
        <w:t>учитывая</w:t>
      </w:r>
      <w:r>
        <w:t>, что Всеобщая декларация прав человека подтверждает принцип недопущения дискриминации и провозглашает, что все люди рождаются свободными и равными в своем достоинстве и правах и что каждый человек должен обладать всеми правами и всеми свободами, провозглашенными в ней, без какого-либо различия, в том числе различия в отношении пола,</w:t>
      </w:r>
    </w:p>
    <w:p w:rsidR="00000000" w:rsidRDefault="00000000">
      <w:pPr>
        <w:ind w:left="680" w:right="680"/>
      </w:pPr>
      <w:r>
        <w:rPr>
          <w:i/>
        </w:rPr>
        <w:t>учитывая</w:t>
      </w:r>
      <w:r>
        <w:t>, что на государства – участники Международных пактов о правах человека возлагается обязанность обеспечить равное для мужчин и женщин право пользования всеми экономическими, социальными, культурными, гражданскими и политическими правами,</w:t>
      </w:r>
    </w:p>
    <w:p w:rsidR="00000000" w:rsidRDefault="00000000">
      <w:pPr>
        <w:ind w:left="680" w:right="680"/>
      </w:pPr>
      <w:r>
        <w:rPr>
          <w:i/>
        </w:rPr>
        <w:t>принимая во внимание</w:t>
      </w:r>
      <w:r>
        <w:t xml:space="preserve"> международные конвенции, заключенные под эгидой Организации Объединенных Наций и специализированных учреждений в целях содействия равноправию мужчин и женщин,</w:t>
      </w:r>
    </w:p>
    <w:p w:rsidR="00000000" w:rsidRDefault="00000000">
      <w:pPr>
        <w:ind w:left="680" w:right="680"/>
      </w:pPr>
      <w:r>
        <w:rPr>
          <w:i/>
        </w:rPr>
        <w:t>учитывая также</w:t>
      </w:r>
      <w:r>
        <w:t xml:space="preserve"> резолюции, декларации и рекомендации, принятые Организацией Объединенных Наций и специализированными учреждениями в целях содействия равноправию мужчин и женщин,</w:t>
      </w:r>
    </w:p>
    <w:p w:rsidR="00000000" w:rsidRDefault="00000000">
      <w:pPr>
        <w:ind w:left="680" w:right="680"/>
      </w:pPr>
      <w:r>
        <w:rPr>
          <w:i/>
        </w:rPr>
        <w:t>будучи озабочены</w:t>
      </w:r>
      <w:r>
        <w:t>, однако, тем, что, несмотря на эти различные документы, по-прежнему имеет место значительная дискриминация в отношении женщин,</w:t>
      </w:r>
    </w:p>
    <w:p w:rsidR="00000000" w:rsidRDefault="00000000">
      <w:pPr>
        <w:ind w:left="680" w:right="680"/>
      </w:pPr>
      <w:r>
        <w:rPr>
          <w:i/>
        </w:rPr>
        <w:t>напоминая</w:t>
      </w:r>
      <w:r>
        <w:t>, что дискриминация женщин нарушает принципы равноправия и уважения человеческого достоинства, препятствует участию женщин наравне с мужчиной в политической, социальной, экономической и культурной жизни своей страны, мешает росту благосостояния общества и семьи и еще больше затрудняет полное раскрытие возможностей женщин на благо своих стран и человечества,</w:t>
      </w:r>
    </w:p>
    <w:p w:rsidR="00000000" w:rsidRDefault="00000000">
      <w:pPr>
        <w:ind w:left="680" w:right="680"/>
      </w:pPr>
      <w:r>
        <w:rPr>
          <w:i/>
        </w:rPr>
        <w:t>будучи озабочены</w:t>
      </w:r>
      <w:r>
        <w:t xml:space="preserve"> тем, что в условиях нищеты женщины имеют наименьший доступ к продовольствию, здравоохранению, образованию, профессиональной подготовке и возможностям для трудоустройства, а также к другим потребностям,</w:t>
      </w:r>
    </w:p>
    <w:p w:rsidR="00000000" w:rsidRDefault="00000000">
      <w:pPr>
        <w:ind w:left="680" w:right="680"/>
      </w:pPr>
      <w:r>
        <w:rPr>
          <w:i/>
        </w:rPr>
        <w:t>будучи убеждены</w:t>
      </w:r>
      <w:r>
        <w:t>, что установление нового международного экономического порядка, основанного на равенстве и справедливости, будет значительно способствовать обеспечению равенства между мужчинами и женщинами,</w:t>
      </w:r>
    </w:p>
    <w:p w:rsidR="00000000" w:rsidRDefault="00000000">
      <w:pPr>
        <w:ind w:left="680" w:right="680"/>
      </w:pPr>
      <w:r>
        <w:rPr>
          <w:i/>
        </w:rPr>
        <w:t>подчеркивая</w:t>
      </w:r>
      <w:r>
        <w:t>, что ликвидация апартеида, всех форм расизма, расовой дискриминации, колониализма, неоколониализма, агрессии, иностранной оккупации и господства и вмешательства во внутренние дела государств является необходимой для полного осуществления прав мужчин и женщин,</w:t>
      </w:r>
    </w:p>
    <w:p w:rsidR="00000000" w:rsidRDefault="00000000">
      <w:pPr>
        <w:ind w:left="680" w:right="680"/>
      </w:pPr>
      <w:r>
        <w:rPr>
          <w:i/>
        </w:rPr>
        <w:t>подтверждая</w:t>
      </w:r>
      <w:r>
        <w:t>, что укрепление международного мира и безопасности, ослабление международной напряженности, взаимное сотрудничество между всеми государствами независимо от их социальных и экономических систем, всеобщее и полное разоружение, и в особенности ядерное разоружение, под строгим и эффективным международным контролем, утверждение принципов справедливости, равенства и взаимной выгоды в отношениях между странами и осуществление права народов, находящихся под иностранным и колониальным господством и иностранной оккупацией, на самоопределение и независимость, а также уважение национального суверенитета и территориальной целостности государств будут содействовать социальному прогрессу и развитию и, как следствие этого, будут способствовать достижению полного равенства между мужчинами и женщинами,</w:t>
      </w:r>
    </w:p>
    <w:p w:rsidR="00000000" w:rsidRDefault="00000000">
      <w:pPr>
        <w:ind w:left="680" w:right="680"/>
      </w:pPr>
      <w:r>
        <w:rPr>
          <w:i/>
        </w:rPr>
        <w:t>будучи убеждены</w:t>
      </w:r>
      <w:r>
        <w:t xml:space="preserve"> в том, что полное развитие стран, благосостояние всего мира и дело мира требуют максимального участия женщин наравне с мужчинами во всех областях,</w:t>
      </w:r>
    </w:p>
    <w:p w:rsidR="00000000" w:rsidRDefault="00000000">
      <w:pPr>
        <w:ind w:left="680" w:right="680"/>
      </w:pPr>
      <w:r>
        <w:rPr>
          <w:i/>
        </w:rPr>
        <w:t>учитывая</w:t>
      </w:r>
      <w:r>
        <w:t xml:space="preserve"> значение вклада женщин в благосостояние семьи и в развитие общества, до сих пор не получившего полного признания, социальное значение материнства и роли обоих родителей в семье и в воспитании детей и сознавая, что роль женщины в продолжении рода не должна быть причиной дискриминации, поскольку воспитание детей требует совместной ответственности мужчин и женщин и всего общества в целом,</w:t>
      </w:r>
    </w:p>
    <w:p w:rsidR="00000000" w:rsidRDefault="00000000">
      <w:pPr>
        <w:ind w:left="680" w:right="680"/>
      </w:pPr>
      <w:r>
        <w:rPr>
          <w:i/>
        </w:rPr>
        <w:t>памятуя</w:t>
      </w:r>
      <w:r>
        <w:t xml:space="preserve"> о том, что для достижения полного равенства между мужчинами и женщинами необходимо изменить традиционную роль как</w:t>
      </w:r>
      <w:r>
        <w:rPr>
          <w:b/>
        </w:rPr>
        <w:t xml:space="preserve"> </w:t>
      </w:r>
      <w:r>
        <w:t>мужчин, так и женщин в обществе и в семье,</w:t>
      </w:r>
    </w:p>
    <w:p w:rsidR="00000000" w:rsidRDefault="00000000">
      <w:pPr>
        <w:ind w:left="680" w:right="680"/>
      </w:pPr>
      <w:r>
        <w:rPr>
          <w:i/>
        </w:rPr>
        <w:t>преисполненные решимости</w:t>
      </w:r>
      <w:r>
        <w:t xml:space="preserve"> осуществить принципы, провозглашенные в Декларации о ликвидации дискриминации в отношении женщин, и для этой цели принять меры, необходимые для ликвидации такой дискриминации во всех ее формах и проявлениях,</w:t>
      </w:r>
    </w:p>
    <w:p w:rsidR="00000000" w:rsidRDefault="00000000">
      <w:pPr>
        <w:ind w:left="680" w:right="680"/>
      </w:pPr>
      <w:r>
        <w:rPr>
          <w:i/>
        </w:rPr>
        <w:t>согласились</w:t>
      </w:r>
      <w:r>
        <w:t xml:space="preserve"> о нижеследующем:</w:t>
      </w:r>
    </w:p>
    <w:p w:rsidR="00000000" w:rsidRDefault="00000000">
      <w:pPr>
        <w:pStyle w:val="Heading3"/>
        <w:jc w:val="left"/>
      </w:pPr>
      <w:r>
        <w:t xml:space="preserve">ЧАСТЬ I </w:t>
      </w:r>
    </w:p>
    <w:p w:rsidR="00000000" w:rsidRDefault="00000000">
      <w:pPr>
        <w:jc w:val="center"/>
        <w:rPr>
          <w:b/>
        </w:rPr>
      </w:pPr>
      <w:r>
        <w:rPr>
          <w:b/>
        </w:rPr>
        <w:t>Статья 1</w:t>
      </w:r>
    </w:p>
    <w:p w:rsidR="00000000" w:rsidRDefault="00000000">
      <w:pPr>
        <w:ind w:left="680" w:right="680"/>
      </w:pPr>
      <w: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ind w:left="680" w:right="680"/>
        <w:jc w:val="center"/>
        <w:rPr>
          <w:b/>
        </w:rPr>
      </w:pPr>
      <w:r>
        <w:rPr>
          <w:b/>
        </w:rPr>
        <w:t>Статья 2</w:t>
      </w:r>
    </w:p>
    <w:p w:rsidR="00000000" w:rsidRDefault="00000000">
      <w:pPr>
        <w:ind w:left="680" w:right="680"/>
      </w:pPr>
      <w: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tabs>
          <w:tab w:val="clear" w:pos="340"/>
          <w:tab w:val="clear" w:pos="680"/>
          <w:tab w:val="left" w:pos="1021"/>
          <w:tab w:val="left" w:pos="1361"/>
        </w:tabs>
        <w:ind w:left="1360" w:right="680" w:hanging="680"/>
      </w:pPr>
      <w:r>
        <w:tab/>
        <w:t>a)</w:t>
      </w:r>
      <w: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tabs>
          <w:tab w:val="clear" w:pos="340"/>
          <w:tab w:val="clear" w:pos="680"/>
          <w:tab w:val="left" w:pos="1021"/>
          <w:tab w:val="left" w:pos="1361"/>
        </w:tabs>
        <w:ind w:left="1360" w:right="680" w:hanging="680"/>
      </w:pPr>
      <w:r>
        <w:tab/>
        <w:t>b)</w:t>
      </w:r>
      <w: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tabs>
          <w:tab w:val="clear" w:pos="340"/>
          <w:tab w:val="clear" w:pos="680"/>
          <w:tab w:val="left" w:pos="1021"/>
          <w:tab w:val="left" w:pos="1361"/>
        </w:tabs>
        <w:ind w:left="1360" w:right="680" w:hanging="680"/>
      </w:pPr>
      <w:r>
        <w:tab/>
        <w:t>c)</w:t>
      </w:r>
      <w: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clear" w:pos="340"/>
          <w:tab w:val="clear" w:pos="680"/>
          <w:tab w:val="left" w:pos="1021"/>
          <w:tab w:val="left" w:pos="1361"/>
        </w:tabs>
        <w:ind w:left="1360" w:right="680" w:hanging="680"/>
      </w:pPr>
      <w:r>
        <w:tab/>
        <w:t>d)</w:t>
      </w:r>
      <w: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tabs>
          <w:tab w:val="clear" w:pos="340"/>
          <w:tab w:val="clear" w:pos="680"/>
          <w:tab w:val="left" w:pos="1021"/>
          <w:tab w:val="left" w:pos="1361"/>
        </w:tabs>
        <w:ind w:left="1360" w:right="680" w:hanging="680"/>
      </w:pPr>
      <w:r>
        <w:tab/>
        <w:t>e)</w:t>
      </w:r>
      <w: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clear" w:pos="340"/>
          <w:tab w:val="clear" w:pos="680"/>
          <w:tab w:val="left" w:pos="1021"/>
          <w:tab w:val="left" w:pos="1361"/>
        </w:tabs>
        <w:ind w:left="1360" w:right="680" w:hanging="680"/>
      </w:pPr>
      <w:r>
        <w:tab/>
        <w:t>f)</w:t>
      </w:r>
      <w: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clear" w:pos="340"/>
          <w:tab w:val="clear" w:pos="680"/>
          <w:tab w:val="left" w:pos="1021"/>
          <w:tab w:val="left" w:pos="1361"/>
        </w:tabs>
        <w:ind w:left="1360" w:right="680" w:hanging="680"/>
      </w:pPr>
      <w:r>
        <w:tab/>
        <w:t>g)</w:t>
      </w:r>
      <w: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ind w:left="680" w:right="680"/>
        <w:jc w:val="center"/>
        <w:rPr>
          <w:b/>
        </w:rPr>
      </w:pPr>
      <w:r>
        <w:rPr>
          <w:b/>
        </w:rPr>
        <w:t>Статья 3</w:t>
      </w:r>
    </w:p>
    <w:p w:rsidR="00000000" w:rsidRDefault="00000000">
      <w:pPr>
        <w:ind w:left="680" w:right="680"/>
      </w:pPr>
      <w: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jc w:val="center"/>
        <w:rPr>
          <w:b/>
        </w:rPr>
      </w:pPr>
      <w:r>
        <w:rPr>
          <w:b/>
        </w:rPr>
        <w:t>Статья 4</w:t>
      </w:r>
    </w:p>
    <w:p w:rsidR="00000000" w:rsidRDefault="00000000">
      <w:pPr>
        <w:tabs>
          <w:tab w:val="clear" w:pos="340"/>
        </w:tabs>
        <w:ind w:left="680" w:right="680" w:hanging="680"/>
      </w:pPr>
      <w:r>
        <w:t>1.</w:t>
      </w:r>
      <w: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tabs>
          <w:tab w:val="clear" w:pos="340"/>
        </w:tabs>
        <w:ind w:left="680" w:right="680" w:hanging="680"/>
      </w:pPr>
      <w:r>
        <w:t>2.</w:t>
      </w:r>
      <w:r>
        <w:tab/>
        <w:t>Принятие государствами-участниками специальных мер,</w:t>
      </w:r>
      <w:r>
        <w:rPr>
          <w:b/>
        </w:rPr>
        <w:t xml:space="preserve"> </w:t>
      </w:r>
      <w:r>
        <w:t>направленных на охрану материнства, включая меры, содержащиеся в настоящей Конвенции, не считается дискриминационным.</w:t>
      </w:r>
    </w:p>
    <w:p w:rsidR="00000000" w:rsidRDefault="00000000">
      <w:pPr>
        <w:jc w:val="center"/>
        <w:rPr>
          <w:b/>
        </w:rPr>
      </w:pPr>
      <w:r>
        <w:rPr>
          <w:b/>
        </w:rPr>
        <w:t>Статья 5</w:t>
      </w:r>
    </w:p>
    <w:p w:rsidR="00000000" w:rsidRDefault="00000000">
      <w:pPr>
        <w:tabs>
          <w:tab w:val="clear" w:pos="340"/>
          <w:tab w:val="left" w:pos="680"/>
          <w:tab w:val="left" w:pos="1021"/>
          <w:tab w:val="left" w:pos="1361"/>
        </w:tabs>
      </w:pPr>
      <w:r>
        <w:tab/>
        <w:t>Государства-участники принимают все соответствующие меры с целью:</w:t>
      </w:r>
    </w:p>
    <w:p w:rsidR="00000000" w:rsidRDefault="00000000">
      <w:pPr>
        <w:tabs>
          <w:tab w:val="clear" w:pos="340"/>
          <w:tab w:val="left" w:pos="680"/>
          <w:tab w:val="left" w:pos="1021"/>
          <w:tab w:val="left" w:pos="1361"/>
        </w:tabs>
        <w:ind w:left="1360" w:right="680" w:hanging="680"/>
      </w:pPr>
      <w:r>
        <w:tab/>
        <w:t>a)</w:t>
      </w:r>
      <w: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tabs>
          <w:tab w:val="clear" w:pos="340"/>
          <w:tab w:val="left" w:pos="680"/>
          <w:tab w:val="left" w:pos="1021"/>
          <w:tab w:val="left" w:pos="1361"/>
        </w:tabs>
        <w:ind w:left="1360" w:right="680" w:hanging="680"/>
      </w:pPr>
      <w:r>
        <w:tab/>
        <w:t>b)</w:t>
      </w:r>
      <w: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tabs>
          <w:tab w:val="clear" w:pos="340"/>
          <w:tab w:val="left" w:pos="680"/>
          <w:tab w:val="left" w:pos="1021"/>
          <w:tab w:val="left" w:pos="1361"/>
        </w:tabs>
        <w:ind w:left="680" w:right="680"/>
        <w:jc w:val="center"/>
        <w:rPr>
          <w:b/>
        </w:rPr>
      </w:pPr>
      <w:r>
        <w:br w:type="page"/>
      </w:r>
      <w:r>
        <w:rPr>
          <w:b/>
        </w:rPr>
        <w:t>Статья 6</w:t>
      </w:r>
    </w:p>
    <w:p w:rsidR="00000000" w:rsidRDefault="00000000">
      <w:pPr>
        <w:tabs>
          <w:tab w:val="clear" w:pos="340"/>
          <w:tab w:val="left" w:pos="680"/>
          <w:tab w:val="left" w:pos="1021"/>
          <w:tab w:val="left" w:pos="1361"/>
        </w:tabs>
        <w:ind w:left="680" w:right="680"/>
      </w:pPr>
      <w: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tabs>
          <w:tab w:val="clear" w:pos="340"/>
          <w:tab w:val="left" w:pos="680"/>
          <w:tab w:val="left" w:pos="1021"/>
          <w:tab w:val="left" w:pos="1361"/>
        </w:tabs>
        <w:spacing w:before="240"/>
        <w:ind w:right="680"/>
        <w:jc w:val="left"/>
        <w:rPr>
          <w:b/>
        </w:rPr>
      </w:pPr>
      <w:r>
        <w:rPr>
          <w:b/>
        </w:rPr>
        <w:t xml:space="preserve">ЧАСТЬ II </w:t>
      </w:r>
    </w:p>
    <w:p w:rsidR="00000000" w:rsidRDefault="00000000">
      <w:pPr>
        <w:tabs>
          <w:tab w:val="clear" w:pos="340"/>
          <w:tab w:val="left" w:pos="680"/>
          <w:tab w:val="left" w:pos="1021"/>
          <w:tab w:val="left" w:pos="1361"/>
        </w:tabs>
        <w:ind w:left="680" w:right="680"/>
        <w:jc w:val="center"/>
        <w:rPr>
          <w:b/>
        </w:rPr>
      </w:pPr>
      <w:r>
        <w:rPr>
          <w:b/>
        </w:rPr>
        <w:t>Статья 7</w:t>
      </w:r>
    </w:p>
    <w:p w:rsidR="00000000" w:rsidRDefault="00000000">
      <w:pPr>
        <w:tabs>
          <w:tab w:val="clear" w:pos="340"/>
          <w:tab w:val="left" w:pos="680"/>
          <w:tab w:val="left" w:pos="1021"/>
          <w:tab w:val="left" w:pos="1361"/>
        </w:tabs>
        <w:ind w:left="680" w:right="680"/>
      </w:pPr>
      <w: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clear" w:pos="340"/>
          <w:tab w:val="left" w:pos="680"/>
          <w:tab w:val="left" w:pos="1021"/>
          <w:tab w:val="left" w:pos="1361"/>
        </w:tabs>
        <w:ind w:left="1360" w:right="680" w:hanging="680"/>
      </w:pPr>
      <w:r>
        <w:tab/>
        <w:t>a)</w:t>
      </w:r>
      <w:r>
        <w:tab/>
        <w:t>голосовать на всех выборах и публичных референдумах и избираться во все публично избираемые органы;</w:t>
      </w:r>
    </w:p>
    <w:p w:rsidR="00000000" w:rsidRDefault="00000000">
      <w:pPr>
        <w:tabs>
          <w:tab w:val="clear" w:pos="340"/>
          <w:tab w:val="left" w:pos="680"/>
          <w:tab w:val="left" w:pos="1021"/>
          <w:tab w:val="left" w:pos="1361"/>
        </w:tabs>
        <w:ind w:left="1360" w:right="680" w:hanging="680"/>
      </w:pPr>
      <w:r>
        <w:tab/>
        <w:t>b)</w:t>
      </w:r>
      <w: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clear" w:pos="340"/>
          <w:tab w:val="left" w:pos="680"/>
          <w:tab w:val="left" w:pos="1021"/>
          <w:tab w:val="left" w:pos="1361"/>
        </w:tabs>
        <w:ind w:left="1360" w:right="680" w:hanging="680"/>
      </w:pPr>
      <w:r>
        <w:tab/>
        <w:t>c)</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clear" w:pos="340"/>
          <w:tab w:val="left" w:pos="680"/>
          <w:tab w:val="left" w:pos="1021"/>
          <w:tab w:val="left" w:pos="1361"/>
        </w:tabs>
        <w:ind w:left="680" w:right="680"/>
        <w:jc w:val="center"/>
        <w:rPr>
          <w:b/>
        </w:rPr>
      </w:pPr>
      <w:r>
        <w:rPr>
          <w:b/>
        </w:rPr>
        <w:t>Статья 8</w:t>
      </w:r>
    </w:p>
    <w:p w:rsidR="00000000" w:rsidRDefault="00000000">
      <w:pPr>
        <w:tabs>
          <w:tab w:val="clear" w:pos="340"/>
          <w:tab w:val="left" w:pos="680"/>
          <w:tab w:val="left" w:pos="1021"/>
          <w:tab w:val="left" w:pos="1361"/>
        </w:tabs>
        <w:ind w:left="680" w:right="680"/>
      </w:pPr>
      <w: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tabs>
          <w:tab w:val="clear" w:pos="340"/>
          <w:tab w:val="left" w:pos="680"/>
          <w:tab w:val="left" w:pos="1021"/>
          <w:tab w:val="left" w:pos="1361"/>
        </w:tabs>
        <w:ind w:left="680" w:right="680"/>
        <w:jc w:val="center"/>
        <w:rPr>
          <w:b/>
        </w:rPr>
      </w:pPr>
      <w:r>
        <w:rPr>
          <w:b/>
        </w:rPr>
        <w:t>Статья 9</w:t>
      </w:r>
    </w:p>
    <w:p w:rsidR="00000000" w:rsidRDefault="00000000">
      <w:pPr>
        <w:tabs>
          <w:tab w:val="clear" w:pos="340"/>
          <w:tab w:val="left" w:pos="680"/>
          <w:tab w:val="left" w:pos="1021"/>
          <w:tab w:val="left" w:pos="1361"/>
        </w:tabs>
        <w:ind w:left="680" w:right="680" w:hanging="680"/>
      </w:pPr>
      <w:r>
        <w:t>1.</w:t>
      </w:r>
      <w:r>
        <w:tab/>
        <w:t>Государства-участники представляют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clear" w:pos="340"/>
          <w:tab w:val="left" w:pos="680"/>
          <w:tab w:val="left" w:pos="1021"/>
          <w:tab w:val="left" w:pos="1361"/>
        </w:tabs>
        <w:ind w:left="680" w:right="680" w:hanging="680"/>
      </w:pPr>
      <w:r>
        <w:t>2.</w:t>
      </w:r>
      <w:r>
        <w:tab/>
        <w:t>Государства-участники предоставляют женщинам равные с мужчинами права в отношении гражданства их детей.</w:t>
      </w:r>
    </w:p>
    <w:p w:rsidR="00000000" w:rsidRDefault="00000000">
      <w:pPr>
        <w:tabs>
          <w:tab w:val="clear" w:pos="340"/>
          <w:tab w:val="left" w:pos="680"/>
          <w:tab w:val="left" w:pos="1021"/>
          <w:tab w:val="left" w:pos="1361"/>
        </w:tabs>
        <w:spacing w:before="240"/>
        <w:ind w:right="680"/>
        <w:rPr>
          <w:b/>
        </w:rPr>
      </w:pPr>
      <w:r>
        <w:rPr>
          <w:b/>
        </w:rPr>
        <w:t xml:space="preserve">ЧАСТЬ III </w:t>
      </w:r>
    </w:p>
    <w:p w:rsidR="00000000" w:rsidRDefault="00000000">
      <w:pPr>
        <w:tabs>
          <w:tab w:val="clear" w:pos="340"/>
          <w:tab w:val="left" w:pos="680"/>
          <w:tab w:val="left" w:pos="1021"/>
          <w:tab w:val="left" w:pos="1361"/>
        </w:tabs>
        <w:ind w:left="680" w:right="680"/>
        <w:jc w:val="center"/>
        <w:rPr>
          <w:b/>
        </w:rPr>
      </w:pPr>
      <w:r>
        <w:rPr>
          <w:b/>
        </w:rPr>
        <w:t>Статья 10</w:t>
      </w:r>
    </w:p>
    <w:p w:rsidR="00000000" w:rsidRDefault="00000000">
      <w:pPr>
        <w:tabs>
          <w:tab w:val="clear" w:pos="340"/>
          <w:tab w:val="left" w:pos="680"/>
          <w:tab w:val="left" w:pos="1021"/>
          <w:tab w:val="left" w:pos="1361"/>
        </w:tabs>
        <w:ind w:left="680" w:right="680"/>
      </w:pPr>
      <w: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tabs>
          <w:tab w:val="clear" w:pos="340"/>
          <w:tab w:val="left" w:pos="680"/>
          <w:tab w:val="left" w:pos="1021"/>
          <w:tab w:val="left" w:pos="1361"/>
        </w:tabs>
        <w:ind w:left="1360" w:right="680" w:hanging="680"/>
      </w:pPr>
      <w:r>
        <w:tab/>
        <w:t>а)</w:t>
      </w:r>
      <w: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clear" w:pos="340"/>
          <w:tab w:val="left" w:pos="680"/>
          <w:tab w:val="left" w:pos="1021"/>
          <w:tab w:val="left" w:pos="1361"/>
        </w:tabs>
        <w:ind w:left="1360" w:right="680" w:hanging="680"/>
      </w:pPr>
      <w:r>
        <w:tab/>
        <w:t>b)</w:t>
      </w:r>
      <w: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tabs>
          <w:tab w:val="clear" w:pos="340"/>
          <w:tab w:val="left" w:pos="680"/>
          <w:tab w:val="left" w:pos="1021"/>
          <w:tab w:val="left" w:pos="1361"/>
        </w:tabs>
        <w:ind w:left="1360" w:right="680" w:hanging="680"/>
      </w:pPr>
      <w:r>
        <w:tab/>
        <w:t>c)</w:t>
      </w:r>
      <w: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clear" w:pos="340"/>
          <w:tab w:val="left" w:pos="680"/>
          <w:tab w:val="left" w:pos="1021"/>
          <w:tab w:val="left" w:pos="1361"/>
        </w:tabs>
        <w:ind w:left="1360" w:right="680" w:hanging="680"/>
      </w:pPr>
      <w:r>
        <w:tab/>
        <w:t>d)</w:t>
      </w:r>
      <w:r>
        <w:tab/>
        <w:t>одинаковые возможности получения стипендий и других пособий на образование;</w:t>
      </w:r>
    </w:p>
    <w:p w:rsidR="00000000" w:rsidRDefault="00000000">
      <w:pPr>
        <w:tabs>
          <w:tab w:val="clear" w:pos="340"/>
          <w:tab w:val="left" w:pos="680"/>
          <w:tab w:val="left" w:pos="1021"/>
          <w:tab w:val="left" w:pos="1361"/>
        </w:tabs>
        <w:ind w:left="1360" w:right="680" w:hanging="680"/>
      </w:pPr>
      <w:r>
        <w:tab/>
        <w:t>e)</w:t>
      </w:r>
      <w: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tabs>
          <w:tab w:val="clear" w:pos="340"/>
          <w:tab w:val="left" w:pos="680"/>
          <w:tab w:val="left" w:pos="1021"/>
          <w:tab w:val="left" w:pos="1361"/>
        </w:tabs>
        <w:ind w:left="1360" w:right="680" w:hanging="680"/>
      </w:pPr>
      <w:r>
        <w:tab/>
        <w:t>f)</w:t>
      </w:r>
      <w: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tabs>
          <w:tab w:val="clear" w:pos="340"/>
          <w:tab w:val="left" w:pos="680"/>
          <w:tab w:val="left" w:pos="1021"/>
          <w:tab w:val="left" w:pos="1361"/>
        </w:tabs>
        <w:ind w:left="1360" w:right="680" w:hanging="680"/>
      </w:pPr>
      <w:r>
        <w:tab/>
        <w:t>g)</w:t>
      </w:r>
      <w:r>
        <w:tab/>
        <w:t>одинаковые возможности активно участвовать в занятиях спортом и физической подготовкой;</w:t>
      </w:r>
    </w:p>
    <w:p w:rsidR="00000000" w:rsidRDefault="00000000">
      <w:pPr>
        <w:tabs>
          <w:tab w:val="clear" w:pos="340"/>
          <w:tab w:val="left" w:pos="680"/>
          <w:tab w:val="left" w:pos="1021"/>
          <w:tab w:val="left" w:pos="1361"/>
        </w:tabs>
        <w:ind w:left="1360" w:right="680" w:hanging="680"/>
      </w:pPr>
      <w:r>
        <w:tab/>
        <w:t>h)</w:t>
      </w:r>
      <w: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tabs>
          <w:tab w:val="clear" w:pos="340"/>
          <w:tab w:val="left" w:pos="680"/>
          <w:tab w:val="left" w:pos="1021"/>
          <w:tab w:val="left" w:pos="1361"/>
        </w:tabs>
        <w:ind w:left="680" w:right="680"/>
        <w:jc w:val="center"/>
        <w:rPr>
          <w:b/>
        </w:rPr>
      </w:pPr>
      <w:r>
        <w:rPr>
          <w:b/>
        </w:rPr>
        <w:t>Статья 11</w:t>
      </w:r>
    </w:p>
    <w:p w:rsidR="00000000" w:rsidRDefault="00000000">
      <w:pPr>
        <w:tabs>
          <w:tab w:val="clear" w:pos="340"/>
          <w:tab w:val="left" w:pos="680"/>
          <w:tab w:val="left" w:pos="1021"/>
          <w:tab w:val="left" w:pos="1361"/>
        </w:tabs>
        <w:ind w:left="680" w:right="680" w:hanging="680"/>
      </w:pPr>
      <w:r>
        <w:t>1.</w:t>
      </w:r>
      <w: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clear" w:pos="340"/>
          <w:tab w:val="left" w:pos="680"/>
          <w:tab w:val="left" w:pos="1021"/>
          <w:tab w:val="left" w:pos="1361"/>
        </w:tabs>
        <w:ind w:left="1360" w:right="680" w:hanging="680"/>
      </w:pPr>
      <w:r>
        <w:tab/>
        <w:t>а)</w:t>
      </w:r>
      <w:r>
        <w:tab/>
        <w:t>право на труд как неотъемлемое право всех людей;</w:t>
      </w:r>
    </w:p>
    <w:p w:rsidR="00000000" w:rsidRDefault="00000000">
      <w:pPr>
        <w:tabs>
          <w:tab w:val="clear" w:pos="340"/>
          <w:tab w:val="left" w:pos="680"/>
          <w:tab w:val="left" w:pos="1021"/>
          <w:tab w:val="left" w:pos="1361"/>
        </w:tabs>
        <w:ind w:left="1360" w:right="680" w:hanging="680"/>
      </w:pPr>
      <w:r>
        <w:tab/>
        <w:t>b)</w:t>
      </w:r>
      <w: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clear" w:pos="340"/>
          <w:tab w:val="left" w:pos="680"/>
          <w:tab w:val="left" w:pos="1021"/>
          <w:tab w:val="left" w:pos="1361"/>
        </w:tabs>
        <w:ind w:left="1360" w:right="680" w:hanging="680"/>
      </w:pPr>
      <w:r>
        <w:tab/>
        <w:t>c)</w:t>
      </w:r>
      <w: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clear" w:pos="340"/>
          <w:tab w:val="left" w:pos="680"/>
          <w:tab w:val="left" w:pos="1021"/>
          <w:tab w:val="left" w:pos="1361"/>
        </w:tabs>
        <w:ind w:left="1360" w:right="680" w:hanging="680"/>
      </w:pPr>
      <w:r>
        <w:tab/>
        <w:t>d)</w:t>
      </w:r>
      <w: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clear" w:pos="340"/>
          <w:tab w:val="left" w:pos="680"/>
          <w:tab w:val="left" w:pos="1021"/>
          <w:tab w:val="left" w:pos="1361"/>
        </w:tabs>
        <w:ind w:left="1360" w:right="680" w:hanging="680"/>
      </w:pPr>
      <w:r>
        <w:tab/>
        <w:t>e)</w:t>
      </w:r>
      <w: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clear" w:pos="340"/>
          <w:tab w:val="left" w:pos="680"/>
          <w:tab w:val="left" w:pos="1021"/>
          <w:tab w:val="left" w:pos="1361"/>
        </w:tabs>
        <w:ind w:left="1360" w:right="680" w:hanging="680"/>
      </w:pPr>
      <w:r>
        <w:tab/>
        <w:t>f)</w:t>
      </w:r>
      <w:r>
        <w:tab/>
        <w:t>право на охрану здоровья и безопасные условия труда, в том числе по сохранению функции продолжения рода.</w:t>
      </w:r>
    </w:p>
    <w:p w:rsidR="00000000" w:rsidRDefault="00000000">
      <w:pPr>
        <w:tabs>
          <w:tab w:val="clear" w:pos="340"/>
          <w:tab w:val="left" w:pos="680"/>
          <w:tab w:val="left" w:pos="1021"/>
          <w:tab w:val="left" w:pos="1361"/>
        </w:tabs>
        <w:ind w:left="680" w:right="680" w:hanging="680"/>
      </w:pPr>
      <w:r>
        <w:t>2.</w:t>
      </w:r>
      <w: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tabs>
          <w:tab w:val="clear" w:pos="340"/>
          <w:tab w:val="left" w:pos="680"/>
          <w:tab w:val="left" w:pos="1021"/>
          <w:tab w:val="left" w:pos="1361"/>
        </w:tabs>
        <w:ind w:left="1360" w:right="680" w:hanging="680"/>
      </w:pPr>
      <w:r>
        <w:tab/>
        <w:t>a)</w:t>
      </w:r>
      <w: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tabs>
          <w:tab w:val="clear" w:pos="340"/>
          <w:tab w:val="left" w:pos="680"/>
          <w:tab w:val="left" w:pos="1021"/>
          <w:tab w:val="left" w:pos="1361"/>
        </w:tabs>
        <w:ind w:left="1360" w:right="680" w:hanging="680"/>
      </w:pPr>
      <w:r>
        <w:tab/>
        <w:t>b)</w:t>
      </w:r>
      <w: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clear" w:pos="340"/>
          <w:tab w:val="left" w:pos="680"/>
          <w:tab w:val="left" w:pos="1021"/>
          <w:tab w:val="left" w:pos="1361"/>
        </w:tabs>
        <w:ind w:left="1360" w:right="680" w:hanging="680"/>
      </w:pPr>
      <w:r>
        <w:tab/>
        <w:t>c)</w:t>
      </w:r>
      <w: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clear" w:pos="340"/>
          <w:tab w:val="left" w:pos="680"/>
          <w:tab w:val="left" w:pos="1021"/>
          <w:tab w:val="left" w:pos="1361"/>
        </w:tabs>
        <w:ind w:left="1360" w:right="680" w:hanging="680"/>
      </w:pPr>
      <w:r>
        <w:tab/>
        <w:t>d)</w:t>
      </w:r>
      <w: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clear" w:pos="340"/>
          <w:tab w:val="left" w:pos="680"/>
          <w:tab w:val="left" w:pos="1021"/>
          <w:tab w:val="left" w:pos="1361"/>
        </w:tabs>
        <w:ind w:left="680" w:right="680" w:hanging="680"/>
      </w:pPr>
      <w:r>
        <w:t>3.</w:t>
      </w:r>
      <w: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tabs>
          <w:tab w:val="clear" w:pos="340"/>
          <w:tab w:val="left" w:pos="680"/>
          <w:tab w:val="left" w:pos="1021"/>
          <w:tab w:val="left" w:pos="1361"/>
        </w:tabs>
        <w:ind w:left="680" w:right="680"/>
        <w:jc w:val="center"/>
        <w:rPr>
          <w:b/>
        </w:rPr>
      </w:pPr>
      <w:r>
        <w:rPr>
          <w:b/>
        </w:rPr>
        <w:t>Статья 12</w:t>
      </w:r>
    </w:p>
    <w:p w:rsidR="00000000" w:rsidRDefault="00000000">
      <w:pPr>
        <w:tabs>
          <w:tab w:val="clear" w:pos="340"/>
          <w:tab w:val="left" w:pos="680"/>
          <w:tab w:val="left" w:pos="1021"/>
          <w:tab w:val="left" w:pos="1361"/>
        </w:tabs>
        <w:ind w:left="680" w:right="680" w:hanging="680"/>
      </w:pPr>
      <w:r>
        <w:t>1.</w:t>
      </w:r>
      <w: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clear" w:pos="340"/>
          <w:tab w:val="left" w:pos="680"/>
          <w:tab w:val="left" w:pos="1021"/>
          <w:tab w:val="left" w:pos="1361"/>
        </w:tabs>
        <w:ind w:left="680" w:right="680" w:hanging="680"/>
      </w:pPr>
      <w:r>
        <w:t>2.</w:t>
      </w:r>
      <w: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clear" w:pos="340"/>
          <w:tab w:val="left" w:pos="680"/>
          <w:tab w:val="left" w:pos="1021"/>
          <w:tab w:val="left" w:pos="1361"/>
        </w:tabs>
        <w:ind w:left="680" w:right="680"/>
        <w:jc w:val="center"/>
        <w:rPr>
          <w:b/>
        </w:rPr>
      </w:pPr>
      <w:r>
        <w:rPr>
          <w:b/>
        </w:rPr>
        <w:t>Статья 13</w:t>
      </w:r>
    </w:p>
    <w:p w:rsidR="00000000" w:rsidRDefault="00000000">
      <w:pPr>
        <w:tabs>
          <w:tab w:val="clear" w:pos="340"/>
          <w:tab w:val="left" w:pos="680"/>
          <w:tab w:val="left" w:pos="1021"/>
          <w:tab w:val="left" w:pos="1361"/>
        </w:tabs>
        <w:ind w:left="680" w:right="680"/>
      </w:pPr>
      <w: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tabs>
          <w:tab w:val="clear" w:pos="340"/>
          <w:tab w:val="left" w:pos="680"/>
          <w:tab w:val="left" w:pos="1021"/>
          <w:tab w:val="left" w:pos="1361"/>
        </w:tabs>
        <w:ind w:left="1360" w:right="680" w:hanging="680"/>
      </w:pPr>
      <w:r>
        <w:tab/>
        <w:t>a)</w:t>
      </w:r>
      <w:r>
        <w:tab/>
        <w:t>право на семейные пособия;</w:t>
      </w:r>
    </w:p>
    <w:p w:rsidR="00000000" w:rsidRDefault="00000000">
      <w:pPr>
        <w:tabs>
          <w:tab w:val="clear" w:pos="340"/>
          <w:tab w:val="left" w:pos="680"/>
          <w:tab w:val="left" w:pos="1021"/>
          <w:tab w:val="left" w:pos="1361"/>
        </w:tabs>
        <w:ind w:left="1360" w:right="680" w:hanging="680"/>
      </w:pPr>
      <w:r>
        <w:tab/>
        <w:t>b)</w:t>
      </w:r>
      <w:r>
        <w:tab/>
        <w:t>право на получение займов, ссуд под недвижимость и других форм финансового кредита;</w:t>
      </w:r>
    </w:p>
    <w:p w:rsidR="00000000" w:rsidRDefault="00000000">
      <w:pPr>
        <w:tabs>
          <w:tab w:val="clear" w:pos="340"/>
          <w:tab w:val="left" w:pos="680"/>
          <w:tab w:val="left" w:pos="1021"/>
          <w:tab w:val="left" w:pos="1361"/>
        </w:tabs>
        <w:ind w:left="1360" w:right="680" w:hanging="680"/>
      </w:pPr>
      <w:r>
        <w:tab/>
        <w:t>c)</w:t>
      </w:r>
      <w:r>
        <w:tab/>
        <w:t>право участвовать в мероприятиях, связанных с отдыхом, занятиях спортом и во всех областях культурной жизни.</w:t>
      </w:r>
    </w:p>
    <w:p w:rsidR="00000000" w:rsidRDefault="00000000">
      <w:pPr>
        <w:tabs>
          <w:tab w:val="clear" w:pos="340"/>
          <w:tab w:val="left" w:pos="680"/>
          <w:tab w:val="left" w:pos="1021"/>
          <w:tab w:val="left" w:pos="1361"/>
        </w:tabs>
        <w:ind w:left="680" w:right="680"/>
        <w:jc w:val="center"/>
        <w:rPr>
          <w:b/>
        </w:rPr>
      </w:pPr>
      <w:r>
        <w:rPr>
          <w:b/>
        </w:rPr>
        <w:br w:type="page"/>
        <w:t>Статья 14</w:t>
      </w:r>
    </w:p>
    <w:p w:rsidR="00000000" w:rsidRDefault="00000000">
      <w:pPr>
        <w:tabs>
          <w:tab w:val="clear" w:pos="340"/>
          <w:tab w:val="left" w:pos="680"/>
          <w:tab w:val="left" w:pos="1021"/>
          <w:tab w:val="left" w:pos="1361"/>
        </w:tabs>
        <w:ind w:left="680" w:right="680" w:hanging="680"/>
      </w:pPr>
      <w:r>
        <w:t>1.</w:t>
      </w:r>
      <w: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tabs>
          <w:tab w:val="clear" w:pos="340"/>
          <w:tab w:val="left" w:pos="680"/>
          <w:tab w:val="left" w:pos="1021"/>
          <w:tab w:val="left" w:pos="1361"/>
        </w:tabs>
        <w:ind w:left="680" w:right="680" w:hanging="680"/>
      </w:pPr>
      <w:r>
        <w:t>2.</w:t>
      </w:r>
      <w: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tabs>
          <w:tab w:val="clear" w:pos="340"/>
          <w:tab w:val="left" w:pos="680"/>
          <w:tab w:val="left" w:pos="1021"/>
          <w:tab w:val="left" w:pos="1361"/>
        </w:tabs>
        <w:ind w:left="1360" w:right="680" w:hanging="680"/>
      </w:pPr>
      <w:r>
        <w:tab/>
        <w:t>a)</w:t>
      </w:r>
      <w:r>
        <w:tab/>
        <w:t>участвовать в разработке и осуществлении планов развития на всех уровнях;</w:t>
      </w:r>
    </w:p>
    <w:p w:rsidR="00000000" w:rsidRDefault="00000000">
      <w:pPr>
        <w:tabs>
          <w:tab w:val="clear" w:pos="340"/>
          <w:tab w:val="left" w:pos="680"/>
          <w:tab w:val="left" w:pos="1021"/>
          <w:tab w:val="left" w:pos="1361"/>
        </w:tabs>
        <w:ind w:left="1360" w:right="680" w:hanging="680"/>
      </w:pPr>
      <w:r>
        <w:tab/>
        <w:t>b)</w:t>
      </w:r>
      <w: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clear" w:pos="340"/>
          <w:tab w:val="left" w:pos="680"/>
          <w:tab w:val="left" w:pos="1021"/>
          <w:tab w:val="left" w:pos="1361"/>
        </w:tabs>
        <w:ind w:left="1360" w:right="680" w:hanging="680"/>
      </w:pPr>
      <w:r>
        <w:tab/>
        <w:t>c)</w:t>
      </w:r>
      <w:r>
        <w:tab/>
        <w:t>непосредственно пользоваться благами программ социального страхования;</w:t>
      </w:r>
    </w:p>
    <w:p w:rsidR="00000000" w:rsidRDefault="00000000">
      <w:pPr>
        <w:tabs>
          <w:tab w:val="clear" w:pos="340"/>
          <w:tab w:val="left" w:pos="680"/>
          <w:tab w:val="left" w:pos="1021"/>
          <w:tab w:val="left" w:pos="1361"/>
        </w:tabs>
        <w:ind w:left="1360" w:right="680" w:hanging="680"/>
      </w:pPr>
      <w:r>
        <w:tab/>
        <w:t>d)</w:t>
      </w:r>
      <w: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tabs>
          <w:tab w:val="clear" w:pos="340"/>
          <w:tab w:val="left" w:pos="680"/>
          <w:tab w:val="left" w:pos="1021"/>
          <w:tab w:val="left" w:pos="1361"/>
        </w:tabs>
        <w:ind w:left="1360" w:right="680" w:hanging="680"/>
      </w:pPr>
      <w:r>
        <w:tab/>
        <w:t>e)</w:t>
      </w:r>
      <w: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tabs>
          <w:tab w:val="clear" w:pos="340"/>
          <w:tab w:val="left" w:pos="680"/>
          <w:tab w:val="left" w:pos="1021"/>
          <w:tab w:val="left" w:pos="1361"/>
        </w:tabs>
        <w:ind w:left="1360" w:right="680" w:hanging="680"/>
      </w:pPr>
      <w:r>
        <w:tab/>
        <w:t>f)</w:t>
      </w:r>
      <w:r>
        <w:tab/>
        <w:t>участвовать во всех видах коллективной деятельности;</w:t>
      </w:r>
    </w:p>
    <w:p w:rsidR="00000000" w:rsidRDefault="00000000">
      <w:pPr>
        <w:tabs>
          <w:tab w:val="clear" w:pos="340"/>
          <w:tab w:val="left" w:pos="680"/>
          <w:tab w:val="left" w:pos="1021"/>
          <w:tab w:val="left" w:pos="1361"/>
        </w:tabs>
        <w:ind w:left="1360" w:right="680" w:hanging="680"/>
      </w:pPr>
      <w:r>
        <w:tab/>
        <w:t>g)</w:t>
      </w:r>
      <w: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clear" w:pos="340"/>
          <w:tab w:val="left" w:pos="680"/>
          <w:tab w:val="left" w:pos="1021"/>
          <w:tab w:val="left" w:pos="1361"/>
        </w:tabs>
        <w:ind w:left="1360" w:right="680" w:hanging="680"/>
      </w:pPr>
      <w:r>
        <w:tab/>
        <w:t>h)</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tabs>
          <w:tab w:val="clear" w:pos="340"/>
          <w:tab w:val="left" w:pos="680"/>
          <w:tab w:val="left" w:pos="1021"/>
          <w:tab w:val="left" w:pos="1361"/>
        </w:tabs>
        <w:spacing w:before="240"/>
        <w:ind w:right="680"/>
        <w:rPr>
          <w:b/>
        </w:rPr>
      </w:pPr>
      <w:r>
        <w:rPr>
          <w:b/>
        </w:rPr>
        <w:t xml:space="preserve">ЧАСТЬ IV </w:t>
      </w:r>
    </w:p>
    <w:p w:rsidR="00000000" w:rsidRDefault="00000000">
      <w:pPr>
        <w:tabs>
          <w:tab w:val="clear" w:pos="340"/>
          <w:tab w:val="left" w:pos="680"/>
          <w:tab w:val="left" w:pos="1021"/>
          <w:tab w:val="left" w:pos="1361"/>
        </w:tabs>
        <w:ind w:left="680" w:right="680"/>
        <w:jc w:val="center"/>
        <w:rPr>
          <w:b/>
        </w:rPr>
      </w:pPr>
      <w:r>
        <w:rPr>
          <w:b/>
        </w:rPr>
        <w:t>Статья 15</w:t>
      </w:r>
    </w:p>
    <w:p w:rsidR="00000000" w:rsidRDefault="00000000">
      <w:pPr>
        <w:tabs>
          <w:tab w:val="clear" w:pos="340"/>
          <w:tab w:val="left" w:pos="680"/>
          <w:tab w:val="left" w:pos="1021"/>
          <w:tab w:val="left" w:pos="1361"/>
        </w:tabs>
        <w:ind w:left="680" w:right="680" w:hanging="680"/>
      </w:pPr>
      <w:r>
        <w:t>1.</w:t>
      </w:r>
      <w:r>
        <w:tab/>
        <w:t>Государства-участники признают за женщинами равенство с мужчинами перед законом.</w:t>
      </w:r>
    </w:p>
    <w:p w:rsidR="00000000" w:rsidRDefault="00000000">
      <w:pPr>
        <w:tabs>
          <w:tab w:val="clear" w:pos="340"/>
          <w:tab w:val="left" w:pos="680"/>
          <w:tab w:val="left" w:pos="1021"/>
          <w:tab w:val="left" w:pos="1361"/>
        </w:tabs>
        <w:ind w:left="680" w:right="680" w:hanging="680"/>
      </w:pPr>
      <w:r>
        <w:t>2.</w:t>
      </w:r>
      <w: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clear" w:pos="340"/>
          <w:tab w:val="left" w:pos="680"/>
          <w:tab w:val="left" w:pos="1021"/>
          <w:tab w:val="left" w:pos="1361"/>
        </w:tabs>
        <w:ind w:left="680" w:right="680" w:hanging="680"/>
      </w:pPr>
      <w:r>
        <w:t>3.</w:t>
      </w:r>
      <w: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clear" w:pos="340"/>
          <w:tab w:val="left" w:pos="680"/>
          <w:tab w:val="left" w:pos="1021"/>
          <w:tab w:val="left" w:pos="1361"/>
        </w:tabs>
        <w:ind w:left="680" w:right="680" w:hanging="680"/>
      </w:pPr>
      <w:r>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clear" w:pos="340"/>
          <w:tab w:val="left" w:pos="680"/>
          <w:tab w:val="left" w:pos="1021"/>
          <w:tab w:val="left" w:pos="1361"/>
        </w:tabs>
        <w:ind w:left="680" w:right="680"/>
        <w:jc w:val="center"/>
        <w:rPr>
          <w:b/>
        </w:rPr>
      </w:pPr>
      <w:r>
        <w:rPr>
          <w:b/>
        </w:rPr>
        <w:t>Статья 16</w:t>
      </w:r>
    </w:p>
    <w:p w:rsidR="00000000" w:rsidRDefault="00000000">
      <w:pPr>
        <w:tabs>
          <w:tab w:val="clear" w:pos="340"/>
          <w:tab w:val="left" w:pos="680"/>
          <w:tab w:val="left" w:pos="1021"/>
          <w:tab w:val="left" w:pos="1361"/>
        </w:tabs>
        <w:ind w:left="680" w:right="680" w:hanging="680"/>
      </w:pPr>
      <w:r>
        <w:t>1.</w:t>
      </w:r>
      <w: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clear" w:pos="340"/>
          <w:tab w:val="left" w:pos="680"/>
          <w:tab w:val="left" w:pos="1021"/>
          <w:tab w:val="left" w:pos="1361"/>
        </w:tabs>
        <w:ind w:left="1360" w:right="680" w:hanging="680"/>
      </w:pPr>
      <w:r>
        <w:tab/>
        <w:t>a)</w:t>
      </w:r>
      <w:r>
        <w:tab/>
        <w:t>одинаковые права на вступление в брак;</w:t>
      </w:r>
    </w:p>
    <w:p w:rsidR="00000000" w:rsidRDefault="00000000">
      <w:pPr>
        <w:tabs>
          <w:tab w:val="clear" w:pos="340"/>
          <w:tab w:val="left" w:pos="680"/>
          <w:tab w:val="left" w:pos="1021"/>
          <w:tab w:val="left" w:pos="1361"/>
        </w:tabs>
        <w:ind w:left="1360" w:right="680" w:hanging="680"/>
      </w:pPr>
      <w:r>
        <w:tab/>
        <w:t>b)</w:t>
      </w:r>
      <w: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clear" w:pos="340"/>
          <w:tab w:val="left" w:pos="680"/>
          <w:tab w:val="left" w:pos="1021"/>
          <w:tab w:val="left" w:pos="1361"/>
        </w:tabs>
        <w:ind w:left="1360" w:right="680" w:hanging="680"/>
      </w:pPr>
      <w:r>
        <w:tab/>
        <w:t>c)</w:t>
      </w:r>
      <w:r>
        <w:tab/>
        <w:t>одинаковые права и обязанности в период брака и при его расторжении;</w:t>
      </w:r>
    </w:p>
    <w:p w:rsidR="00000000" w:rsidRDefault="00000000">
      <w:pPr>
        <w:tabs>
          <w:tab w:val="clear" w:pos="340"/>
          <w:tab w:val="left" w:pos="680"/>
          <w:tab w:val="left" w:pos="1021"/>
          <w:tab w:val="left" w:pos="1361"/>
        </w:tabs>
        <w:ind w:left="1360" w:right="680" w:hanging="680"/>
      </w:pPr>
      <w:r>
        <w:tab/>
        <w:t>d)</w:t>
      </w:r>
      <w: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clear" w:pos="340"/>
          <w:tab w:val="left" w:pos="680"/>
          <w:tab w:val="left" w:pos="1021"/>
          <w:tab w:val="left" w:pos="1361"/>
        </w:tabs>
        <w:ind w:left="1360" w:right="680" w:hanging="680"/>
      </w:pPr>
      <w:r>
        <w:tab/>
        <w:t>e)</w:t>
      </w:r>
      <w: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clear" w:pos="340"/>
          <w:tab w:val="left" w:pos="680"/>
          <w:tab w:val="left" w:pos="1021"/>
          <w:tab w:val="left" w:pos="1361"/>
        </w:tabs>
        <w:ind w:left="1360" w:right="680" w:hanging="680"/>
      </w:pPr>
      <w:r>
        <w:tab/>
        <w:t>f)</w:t>
      </w:r>
      <w: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clear" w:pos="340"/>
          <w:tab w:val="left" w:pos="680"/>
          <w:tab w:val="left" w:pos="1021"/>
          <w:tab w:val="left" w:pos="1361"/>
        </w:tabs>
        <w:ind w:left="1360" w:right="680" w:hanging="680"/>
      </w:pPr>
      <w:r>
        <w:tab/>
        <w:t>g)</w:t>
      </w:r>
      <w:r>
        <w:tab/>
        <w:t>одинаковые личные права мужа и жены, в том числе право выбора фамилии, профессии и занятия;</w:t>
      </w:r>
    </w:p>
    <w:p w:rsidR="00000000" w:rsidRDefault="00000000">
      <w:pPr>
        <w:tabs>
          <w:tab w:val="clear" w:pos="340"/>
          <w:tab w:val="left" w:pos="680"/>
          <w:tab w:val="left" w:pos="1021"/>
          <w:tab w:val="left" w:pos="1361"/>
        </w:tabs>
        <w:ind w:left="1360" w:right="680" w:hanging="680"/>
      </w:pPr>
      <w:r>
        <w:tab/>
        <w:t>h)</w:t>
      </w:r>
      <w: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clear" w:pos="340"/>
          <w:tab w:val="left" w:pos="680"/>
          <w:tab w:val="left" w:pos="1021"/>
          <w:tab w:val="left" w:pos="1361"/>
        </w:tabs>
        <w:ind w:left="680" w:right="680" w:hanging="680"/>
      </w:pPr>
      <w:r>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clear" w:pos="340"/>
          <w:tab w:val="left" w:pos="680"/>
          <w:tab w:val="left" w:pos="1021"/>
          <w:tab w:val="left" w:pos="1361"/>
        </w:tabs>
        <w:spacing w:before="240"/>
        <w:ind w:right="680"/>
        <w:rPr>
          <w:b/>
        </w:rPr>
      </w:pPr>
      <w:r>
        <w:rPr>
          <w:b/>
        </w:rPr>
        <w:t xml:space="preserve">ЧАСТЬ V </w:t>
      </w:r>
    </w:p>
    <w:p w:rsidR="00000000" w:rsidRDefault="00000000">
      <w:pPr>
        <w:tabs>
          <w:tab w:val="clear" w:pos="340"/>
          <w:tab w:val="left" w:pos="680"/>
          <w:tab w:val="left" w:pos="1021"/>
          <w:tab w:val="left" w:pos="1361"/>
        </w:tabs>
        <w:ind w:left="680" w:right="680"/>
        <w:jc w:val="center"/>
        <w:rPr>
          <w:b/>
        </w:rPr>
      </w:pPr>
      <w:r>
        <w:rPr>
          <w:b/>
        </w:rPr>
        <w:t>Статья 17</w:t>
      </w:r>
    </w:p>
    <w:p w:rsidR="00000000" w:rsidRDefault="00000000">
      <w:pPr>
        <w:tabs>
          <w:tab w:val="clear" w:pos="340"/>
          <w:tab w:val="left" w:pos="680"/>
          <w:tab w:val="left" w:pos="1021"/>
          <w:tab w:val="left" w:pos="1361"/>
        </w:tabs>
        <w:ind w:left="680" w:right="680" w:hanging="680"/>
      </w:pPr>
      <w:r>
        <w:t>1.</w:t>
      </w:r>
      <w:r>
        <w:tab/>
        <w:t>Для рассмотрения хода осуществления настоящей Конвенции учреждается Комитет по ликвидации дискриминации в отношении женщин (далее именуемый Комитет), состоящий в момент вступления Конвенции в силу из восемнадцати, а после ее ратификации или присоединения к ней тридцать пятого государства-участника – из двадцати трех экспертов, обладающих высокими моральными качествами и компетентностью в области, охватываемой настоящей Конвенцией.  Эти эксперты избираются государствами-участниками из числа своих граждан и выступают в своем личном качестве, при этом учитывается справедливое географическое распределение и представительство различных форм цивилизации, а также основных правовых систем.</w:t>
      </w:r>
    </w:p>
    <w:p w:rsidR="00000000" w:rsidRDefault="00000000">
      <w:pPr>
        <w:tabs>
          <w:tab w:val="clear" w:pos="340"/>
          <w:tab w:val="left" w:pos="680"/>
          <w:tab w:val="left" w:pos="1021"/>
          <w:tab w:val="left" w:pos="1361"/>
        </w:tabs>
        <w:ind w:left="680" w:right="680" w:hanging="680"/>
      </w:pPr>
      <w:r>
        <w:t>2.</w:t>
      </w:r>
      <w:r>
        <w:tab/>
        <w:t>Члены Комитета избираются тайным голосованием из числа внесенных в список кандидатов, выдвинутых государствами-участниками. Каждое государство-участник может выдвинуть одно лицо из числа своих граждан.</w:t>
      </w:r>
    </w:p>
    <w:p w:rsidR="00000000" w:rsidRDefault="00000000">
      <w:pPr>
        <w:tabs>
          <w:tab w:val="clear" w:pos="340"/>
          <w:tab w:val="left" w:pos="680"/>
          <w:tab w:val="left" w:pos="1021"/>
          <w:tab w:val="left" w:pos="1361"/>
        </w:tabs>
        <w:ind w:left="680" w:right="680" w:hanging="680"/>
      </w:pPr>
      <w:r>
        <w:t>3.</w:t>
      </w:r>
      <w:r>
        <w:tab/>
        <w:t>Первоначальные выборы проводятся через шесть месяцев со дня вступления в силу настоящей Конвенции. По меньшей мере за три месяца до срока проведения каждых выборов Генеральный секретарь Организации Объединенных Наций направляет государствам-участникам письмо с предложением представить свои кандидатуры в течение двух месяцев.  Генеральный секретарь готовит список, в который в алфавитном порядке внесены все выдвинутые таким образом лица с указанием государств-участников, которые выдвинули их, и представляет этот список государствам-участникам.</w:t>
      </w:r>
    </w:p>
    <w:p w:rsidR="00000000" w:rsidRDefault="00000000">
      <w:pPr>
        <w:tabs>
          <w:tab w:val="clear" w:pos="340"/>
          <w:tab w:val="left" w:pos="680"/>
          <w:tab w:val="left" w:pos="1021"/>
          <w:tab w:val="left" w:pos="1361"/>
        </w:tabs>
        <w:ind w:left="680" w:right="680" w:hanging="680"/>
      </w:pPr>
      <w:r>
        <w:t>4.</w:t>
      </w:r>
      <w:r>
        <w:tab/>
        <w:t>Выборы членов Комитета проводятся на заседании государств-участников, созываемом Генеральным секретарем в Центральных учреждениях Организации Объединенных Наций.  На этом заседании, на котором две трети государств-участников составляют кворум, лицами, выбранными в Комитет, считаются те кандидаты, которые получают наибольшее число голосов и абсолютное большинство голосов представителей государств-участников, присутствующих и принимающих участие в голосовании.</w:t>
      </w:r>
    </w:p>
    <w:p w:rsidR="00000000" w:rsidRDefault="00000000">
      <w:pPr>
        <w:tabs>
          <w:tab w:val="clear" w:pos="340"/>
          <w:tab w:val="left" w:pos="680"/>
          <w:tab w:val="left" w:pos="1021"/>
          <w:tab w:val="left" w:pos="1361"/>
        </w:tabs>
        <w:ind w:left="680" w:right="680" w:hanging="680"/>
      </w:pPr>
      <w:r>
        <w:t>5.</w:t>
      </w:r>
      <w:r>
        <w:tab/>
        <w:t>Члены Комитета избираются на четырехлетний срок. Однако срок полномочий девяти членов, избранных на первых выборах, истекает по прошествии двух лет;  сразу же после проведения первых выборов фамилии этих девяти членов выбираются по жребию Председателем Комитета.</w:t>
      </w:r>
    </w:p>
    <w:p w:rsidR="00000000" w:rsidRDefault="00000000">
      <w:pPr>
        <w:tabs>
          <w:tab w:val="clear" w:pos="340"/>
          <w:tab w:val="left" w:pos="680"/>
          <w:tab w:val="left" w:pos="1021"/>
          <w:tab w:val="left" w:pos="1361"/>
        </w:tabs>
        <w:ind w:left="680" w:right="680" w:hanging="680"/>
      </w:pPr>
      <w:r>
        <w:t>6.</w:t>
      </w:r>
      <w:r>
        <w:tab/>
        <w:t>Избрание пяти дополнительных членов Комитета проводится в соответствии с положениями пунктов 2, 3 и 4 настоящей статьи после ратификации или присоединения к Конвенции тридцать пятого государства.  Срок полномочий двух дополнительных членов, избранных таким образом, истекает по прошествии двух лет;  фамилии этих двух членов выбираются по жребию Председателем Комитета.</w:t>
      </w:r>
    </w:p>
    <w:p w:rsidR="00000000" w:rsidRDefault="00000000">
      <w:pPr>
        <w:tabs>
          <w:tab w:val="clear" w:pos="340"/>
          <w:tab w:val="left" w:pos="680"/>
          <w:tab w:val="left" w:pos="1021"/>
          <w:tab w:val="left" w:pos="1361"/>
        </w:tabs>
        <w:ind w:left="680" w:right="680" w:hanging="680"/>
      </w:pPr>
      <w:r>
        <w:t>7.</w:t>
      </w:r>
      <w:r>
        <w:tab/>
        <w:t>Для заполнения непредвиденных вакансий государство-участник, эксперт которого прекратил функционировать в качестве члена Комитета, назначает другого эксперта из числа своих граждан при условии одобрения Комитетом.</w:t>
      </w:r>
    </w:p>
    <w:p w:rsidR="00000000" w:rsidRDefault="00000000">
      <w:pPr>
        <w:tabs>
          <w:tab w:val="clear" w:pos="340"/>
          <w:tab w:val="left" w:pos="680"/>
          <w:tab w:val="left" w:pos="1021"/>
          <w:tab w:val="left" w:pos="1361"/>
        </w:tabs>
        <w:ind w:left="680" w:right="680" w:hanging="680"/>
      </w:pPr>
      <w:r>
        <w:t>8.</w:t>
      </w:r>
      <w:r>
        <w:tab/>
        <w:t>Члены Комитета получают утверждаемое Генеральной Ассамблеей вознаграждение из средств Организации Объединенных Наций в порядке и на условиях, устанавливаемых Ассамблеей с учетом важности обязанностей Комитета.</w:t>
      </w:r>
    </w:p>
    <w:p w:rsidR="00000000" w:rsidRDefault="00000000">
      <w:pPr>
        <w:tabs>
          <w:tab w:val="clear" w:pos="340"/>
          <w:tab w:val="left" w:pos="680"/>
          <w:tab w:val="left" w:pos="1021"/>
          <w:tab w:val="left" w:pos="1361"/>
        </w:tabs>
        <w:ind w:left="680" w:right="680" w:hanging="680"/>
      </w:pPr>
      <w:r>
        <w:t>9.</w:t>
      </w:r>
      <w:r>
        <w:tab/>
        <w:t>Генеральный секретарь Организации Объединенных Наций предоставляет необходимый персонал и материальные средства для эффективного осуществления функций Комитета в соответствии с настоящей Конвенцией.</w:t>
      </w:r>
    </w:p>
    <w:p w:rsidR="00000000" w:rsidRDefault="00000000">
      <w:pPr>
        <w:tabs>
          <w:tab w:val="clear" w:pos="340"/>
          <w:tab w:val="left" w:pos="680"/>
          <w:tab w:val="left" w:pos="1021"/>
          <w:tab w:val="left" w:pos="1361"/>
        </w:tabs>
        <w:ind w:left="680" w:right="680"/>
        <w:jc w:val="center"/>
        <w:rPr>
          <w:b/>
        </w:rPr>
      </w:pPr>
      <w:r>
        <w:rPr>
          <w:b/>
        </w:rPr>
        <w:t>Статья 18</w:t>
      </w:r>
    </w:p>
    <w:p w:rsidR="00000000" w:rsidRDefault="00000000">
      <w:pPr>
        <w:tabs>
          <w:tab w:val="clear" w:pos="340"/>
          <w:tab w:val="left" w:pos="680"/>
          <w:tab w:val="left" w:pos="1021"/>
          <w:tab w:val="left" w:pos="1361"/>
        </w:tabs>
        <w:ind w:left="680" w:right="680" w:hanging="680"/>
      </w:pPr>
      <w:r>
        <w:t>1.</w:t>
      </w:r>
      <w:r>
        <w:tab/>
        <w:t>Государства-участники обязуются представлять Генеральному секретарю Организации Объединенных Наций для рассмотрения Комитетом доклады о законодательных, судебных, административных или других мерах, принятых ими для выполнения положений настоящей Конвенции, и о прогрессе, достигнутом в этой связи:</w:t>
      </w:r>
    </w:p>
    <w:p w:rsidR="00000000" w:rsidRDefault="00000000">
      <w:pPr>
        <w:tabs>
          <w:tab w:val="clear" w:pos="340"/>
          <w:tab w:val="left" w:pos="680"/>
          <w:tab w:val="left" w:pos="1021"/>
          <w:tab w:val="left" w:pos="1361"/>
        </w:tabs>
        <w:ind w:left="1360" w:right="680" w:hanging="680"/>
      </w:pPr>
      <w:r>
        <w:tab/>
        <w:t>a)</w:t>
      </w:r>
      <w:r>
        <w:tab/>
        <w:t>в течение одного года со дня вступления настоящей Конвенции в силу для заинтересованного государства;</w:t>
      </w:r>
    </w:p>
    <w:p w:rsidR="00000000" w:rsidRDefault="00000000">
      <w:pPr>
        <w:tabs>
          <w:tab w:val="clear" w:pos="340"/>
          <w:tab w:val="left" w:pos="680"/>
          <w:tab w:val="left" w:pos="1021"/>
          <w:tab w:val="left" w:pos="1361"/>
        </w:tabs>
        <w:ind w:left="1360" w:right="680" w:hanging="680"/>
      </w:pPr>
      <w:r>
        <w:tab/>
        <w:t>b)</w:t>
      </w:r>
      <w:r>
        <w:tab/>
        <w:t>после этого, по крайней мере, через каждые четыре года и далее тогда, когда об этом запросит Комитет.</w:t>
      </w:r>
    </w:p>
    <w:p w:rsidR="00000000" w:rsidRDefault="00000000">
      <w:pPr>
        <w:tabs>
          <w:tab w:val="clear" w:pos="340"/>
          <w:tab w:val="left" w:pos="680"/>
          <w:tab w:val="left" w:pos="1021"/>
          <w:tab w:val="left" w:pos="1361"/>
        </w:tabs>
        <w:ind w:left="680" w:right="680" w:hanging="680"/>
      </w:pPr>
      <w:r>
        <w:t>2.</w:t>
      </w:r>
      <w:r>
        <w:tab/>
        <w:t>В докладах могут указываться факторы и трудности, влияющие на степень выполнения обязательств по настоящей Конвенции.</w:t>
      </w:r>
    </w:p>
    <w:p w:rsidR="00000000" w:rsidRDefault="00000000">
      <w:pPr>
        <w:tabs>
          <w:tab w:val="clear" w:pos="340"/>
          <w:tab w:val="left" w:pos="680"/>
          <w:tab w:val="left" w:pos="1021"/>
          <w:tab w:val="left" w:pos="1361"/>
        </w:tabs>
        <w:ind w:left="680" w:right="680"/>
        <w:jc w:val="center"/>
        <w:rPr>
          <w:b/>
        </w:rPr>
      </w:pPr>
      <w:r>
        <w:rPr>
          <w:b/>
        </w:rPr>
        <w:t>Статья 19</w:t>
      </w:r>
    </w:p>
    <w:p w:rsidR="00000000" w:rsidRDefault="00000000">
      <w:pPr>
        <w:tabs>
          <w:tab w:val="clear" w:pos="340"/>
          <w:tab w:val="left" w:pos="680"/>
          <w:tab w:val="left" w:pos="1021"/>
          <w:tab w:val="left" w:pos="1361"/>
        </w:tabs>
        <w:ind w:right="680"/>
      </w:pPr>
      <w:r>
        <w:t>1.</w:t>
      </w:r>
      <w:r>
        <w:tab/>
        <w:t>Комитет утверждает свои собственные правила процедуры.</w:t>
      </w:r>
    </w:p>
    <w:p w:rsidR="00000000" w:rsidRDefault="00000000">
      <w:pPr>
        <w:tabs>
          <w:tab w:val="clear" w:pos="340"/>
          <w:tab w:val="left" w:pos="680"/>
          <w:tab w:val="left" w:pos="1021"/>
          <w:tab w:val="left" w:pos="1361"/>
        </w:tabs>
        <w:ind w:right="680"/>
      </w:pPr>
      <w:r>
        <w:t>2.</w:t>
      </w:r>
      <w:r>
        <w:tab/>
        <w:t>Комитет избирает своих должностных лиц на двухлетний срок.</w:t>
      </w:r>
    </w:p>
    <w:p w:rsidR="00000000" w:rsidRDefault="00000000">
      <w:pPr>
        <w:tabs>
          <w:tab w:val="clear" w:pos="340"/>
          <w:tab w:val="left" w:pos="680"/>
          <w:tab w:val="left" w:pos="1021"/>
          <w:tab w:val="left" w:pos="1361"/>
        </w:tabs>
        <w:ind w:left="680" w:right="680"/>
        <w:jc w:val="center"/>
        <w:rPr>
          <w:b/>
        </w:rPr>
      </w:pPr>
      <w:r>
        <w:rPr>
          <w:b/>
        </w:rPr>
        <w:t>Статья 20</w:t>
      </w:r>
    </w:p>
    <w:p w:rsidR="00000000" w:rsidRDefault="00000000">
      <w:pPr>
        <w:tabs>
          <w:tab w:val="clear" w:pos="340"/>
          <w:tab w:val="left" w:pos="680"/>
          <w:tab w:val="left" w:pos="1021"/>
          <w:tab w:val="left" w:pos="1361"/>
        </w:tabs>
        <w:ind w:left="680" w:right="680" w:hanging="680"/>
      </w:pPr>
      <w:r>
        <w:t>1.</w:t>
      </w:r>
      <w:r>
        <w:tab/>
        <w:t>Комитет ежегодно проводит заседания, как правило, в течение периода, не превышающего двух недель, с целью рассмотрения докладов, представленных в соответствии со статьей 18 настоящей Конвенции.</w:t>
      </w:r>
    </w:p>
    <w:p w:rsidR="00000000" w:rsidRDefault="00000000">
      <w:pPr>
        <w:tabs>
          <w:tab w:val="clear" w:pos="340"/>
          <w:tab w:val="left" w:pos="680"/>
          <w:tab w:val="left" w:pos="1021"/>
          <w:tab w:val="left" w:pos="1361"/>
        </w:tabs>
        <w:ind w:left="680" w:right="680" w:hanging="680"/>
      </w:pPr>
      <w:r>
        <w:t>2.</w:t>
      </w:r>
      <w:r>
        <w:tab/>
        <w:t>Заседания Комитета, как правило, проводятся в Центральных учреждениях Организации Объединенных Наций или в любом ином подходящем месте, определенном Комитетом.</w:t>
      </w:r>
    </w:p>
    <w:p w:rsidR="00000000" w:rsidRDefault="00000000">
      <w:pPr>
        <w:tabs>
          <w:tab w:val="clear" w:pos="340"/>
          <w:tab w:val="left" w:pos="680"/>
          <w:tab w:val="left" w:pos="1021"/>
          <w:tab w:val="left" w:pos="1361"/>
        </w:tabs>
        <w:ind w:left="680" w:right="680"/>
        <w:jc w:val="center"/>
        <w:rPr>
          <w:b/>
        </w:rPr>
      </w:pPr>
      <w:r>
        <w:rPr>
          <w:b/>
        </w:rPr>
        <w:t>Статья 21</w:t>
      </w:r>
    </w:p>
    <w:p w:rsidR="00000000" w:rsidRDefault="00000000">
      <w:pPr>
        <w:tabs>
          <w:tab w:val="clear" w:pos="340"/>
          <w:tab w:val="left" w:pos="680"/>
          <w:tab w:val="left" w:pos="1021"/>
          <w:tab w:val="left" w:pos="1361"/>
        </w:tabs>
        <w:ind w:left="680" w:right="680" w:hanging="680"/>
      </w:pPr>
      <w:r>
        <w:t>1.</w:t>
      </w:r>
      <w:r>
        <w:tab/>
        <w:t>Комитет ежегодно через Экономический и Социальный Совет представляет доклад Генеральной Ассамблее Организации Объединенных Наций о своей деятельности и может вносить предложения и рекомендации общего характера, основанные на изучении докладов и информации, полученных от государств-участников. Такие предложения и рекомендации общего характера включаются в доклад Комитета наряду с замечаниями государств-участников, если таковые имеются.</w:t>
      </w:r>
    </w:p>
    <w:p w:rsidR="00000000" w:rsidRDefault="00000000">
      <w:pPr>
        <w:tabs>
          <w:tab w:val="clear" w:pos="340"/>
          <w:tab w:val="left" w:pos="680"/>
          <w:tab w:val="left" w:pos="1021"/>
          <w:tab w:val="left" w:pos="1361"/>
        </w:tabs>
        <w:ind w:left="680" w:right="680" w:hanging="680"/>
      </w:pPr>
      <w:r>
        <w:t>2.</w:t>
      </w:r>
      <w:r>
        <w:tab/>
        <w:t>Генеральный секретарь Организации Объединенных Наций препровождает доклады Комитета Комиссии по положению женщин для ее информации.</w:t>
      </w:r>
    </w:p>
    <w:p w:rsidR="00000000" w:rsidRDefault="00000000">
      <w:pPr>
        <w:tabs>
          <w:tab w:val="clear" w:pos="340"/>
          <w:tab w:val="left" w:pos="680"/>
          <w:tab w:val="left" w:pos="1021"/>
          <w:tab w:val="left" w:pos="1361"/>
        </w:tabs>
        <w:ind w:left="680" w:right="680"/>
        <w:jc w:val="center"/>
        <w:rPr>
          <w:b/>
        </w:rPr>
      </w:pPr>
      <w:r>
        <w:rPr>
          <w:b/>
        </w:rPr>
        <w:t>Статья 22</w:t>
      </w:r>
    </w:p>
    <w:p w:rsidR="00000000" w:rsidRDefault="00000000">
      <w:pPr>
        <w:tabs>
          <w:tab w:val="clear" w:pos="340"/>
          <w:tab w:val="left" w:pos="680"/>
          <w:tab w:val="left" w:pos="1021"/>
          <w:tab w:val="left" w:pos="1361"/>
        </w:tabs>
        <w:ind w:left="680" w:right="680"/>
      </w:pPr>
      <w:r>
        <w:t>Специализированные учреждения имеют право быть представленными при рассмотрении вопросов об осуществлении таких положений настоящей Конвенции, которые входят в сферу их деятельности. Комитет может предложить специализированным учреждениям представить доклады об осуществлении Конвенции в областях, входящих в сферу их деятельности.</w:t>
      </w:r>
    </w:p>
    <w:p w:rsidR="00000000" w:rsidRDefault="00000000">
      <w:pPr>
        <w:tabs>
          <w:tab w:val="clear" w:pos="340"/>
          <w:tab w:val="left" w:pos="680"/>
          <w:tab w:val="left" w:pos="1021"/>
          <w:tab w:val="left" w:pos="1361"/>
        </w:tabs>
        <w:spacing w:before="200"/>
        <w:ind w:right="680"/>
        <w:rPr>
          <w:b/>
        </w:rPr>
      </w:pPr>
      <w:r>
        <w:rPr>
          <w:b/>
        </w:rPr>
        <w:t xml:space="preserve">ЧАСТЬ VI </w:t>
      </w:r>
    </w:p>
    <w:p w:rsidR="00000000" w:rsidRDefault="00000000">
      <w:pPr>
        <w:tabs>
          <w:tab w:val="clear" w:pos="340"/>
          <w:tab w:val="left" w:pos="680"/>
          <w:tab w:val="left" w:pos="1021"/>
          <w:tab w:val="left" w:pos="1361"/>
        </w:tabs>
        <w:ind w:left="680" w:right="680"/>
        <w:jc w:val="center"/>
        <w:rPr>
          <w:b/>
        </w:rPr>
      </w:pPr>
      <w:r>
        <w:rPr>
          <w:b/>
        </w:rPr>
        <w:t>Статья 23</w:t>
      </w:r>
    </w:p>
    <w:p w:rsidR="00000000" w:rsidRDefault="00000000">
      <w:pPr>
        <w:tabs>
          <w:tab w:val="clear" w:pos="340"/>
          <w:tab w:val="left" w:pos="680"/>
          <w:tab w:val="left" w:pos="1021"/>
          <w:tab w:val="left" w:pos="1361"/>
        </w:tabs>
        <w:spacing w:after="200"/>
        <w:ind w:left="680" w:right="680"/>
      </w:pPr>
      <w:r>
        <w:t>Ничто в настоящей Конвенции не затрагивает какие-либо более способствующие достижению равноправия между мужчинами и женщинами положения, которые могут содержаться:</w:t>
      </w:r>
    </w:p>
    <w:p w:rsidR="00000000" w:rsidRDefault="00000000">
      <w:pPr>
        <w:tabs>
          <w:tab w:val="clear" w:pos="340"/>
          <w:tab w:val="left" w:pos="680"/>
          <w:tab w:val="left" w:pos="1021"/>
          <w:tab w:val="left" w:pos="1361"/>
        </w:tabs>
        <w:spacing w:after="120"/>
        <w:ind w:left="680" w:right="680"/>
      </w:pPr>
      <w:r>
        <w:tab/>
        <w:t>a)</w:t>
      </w:r>
      <w:r>
        <w:tab/>
        <w:t>в законодательстве государства-участника; или</w:t>
      </w:r>
    </w:p>
    <w:p w:rsidR="00000000" w:rsidRDefault="00000000">
      <w:pPr>
        <w:tabs>
          <w:tab w:val="clear" w:pos="340"/>
          <w:tab w:val="left" w:pos="680"/>
          <w:tab w:val="left" w:pos="1021"/>
          <w:tab w:val="left" w:pos="1361"/>
        </w:tabs>
        <w:ind w:left="1360" w:right="680" w:hanging="680"/>
      </w:pPr>
      <w:r>
        <w:tab/>
        <w:t>b)</w:t>
      </w:r>
      <w:r>
        <w:tab/>
        <w:t>в какой-либо другой международной конвенции, договоре или соглашении, имеющих силу в этом государстве.</w:t>
      </w:r>
    </w:p>
    <w:p w:rsidR="00000000" w:rsidRDefault="00000000">
      <w:pPr>
        <w:tabs>
          <w:tab w:val="clear" w:pos="340"/>
          <w:tab w:val="left" w:pos="680"/>
          <w:tab w:val="left" w:pos="1021"/>
          <w:tab w:val="left" w:pos="1361"/>
        </w:tabs>
        <w:ind w:left="680" w:right="680"/>
        <w:jc w:val="center"/>
        <w:rPr>
          <w:b/>
        </w:rPr>
      </w:pPr>
      <w:r>
        <w:rPr>
          <w:b/>
        </w:rPr>
        <w:t>Статья 24</w:t>
      </w:r>
    </w:p>
    <w:p w:rsidR="00000000" w:rsidRDefault="00000000">
      <w:pPr>
        <w:tabs>
          <w:tab w:val="clear" w:pos="340"/>
          <w:tab w:val="left" w:pos="680"/>
          <w:tab w:val="left" w:pos="1021"/>
          <w:tab w:val="left" w:pos="1361"/>
        </w:tabs>
        <w:ind w:left="680" w:right="680"/>
      </w:pPr>
      <w:r>
        <w:t>Государства-участники обязуются принимать все необходимые меры на национальном уровне для достижения полной реализации прав, признанных в настоящей Конвенции.</w:t>
      </w:r>
    </w:p>
    <w:p w:rsidR="00000000" w:rsidRDefault="00000000">
      <w:pPr>
        <w:tabs>
          <w:tab w:val="clear" w:pos="340"/>
          <w:tab w:val="left" w:pos="680"/>
          <w:tab w:val="left" w:pos="1021"/>
          <w:tab w:val="left" w:pos="1361"/>
        </w:tabs>
        <w:ind w:left="680" w:right="680"/>
        <w:jc w:val="center"/>
        <w:rPr>
          <w:b/>
        </w:rPr>
      </w:pPr>
      <w:r>
        <w:rPr>
          <w:b/>
        </w:rPr>
        <w:t>Статья 25</w:t>
      </w:r>
    </w:p>
    <w:p w:rsidR="00000000" w:rsidRDefault="00000000">
      <w:pPr>
        <w:tabs>
          <w:tab w:val="clear" w:pos="340"/>
          <w:tab w:val="left" w:pos="680"/>
          <w:tab w:val="left" w:pos="1021"/>
          <w:tab w:val="left" w:pos="1361"/>
        </w:tabs>
        <w:ind w:left="680" w:right="680" w:hanging="680"/>
      </w:pPr>
      <w:r>
        <w:t>1.</w:t>
      </w:r>
      <w:r>
        <w:tab/>
        <w:t>Настоящая Конвенция открыта для подписания ее всеми государствами.</w:t>
      </w:r>
    </w:p>
    <w:p w:rsidR="00000000" w:rsidRDefault="00000000">
      <w:pPr>
        <w:tabs>
          <w:tab w:val="clear" w:pos="340"/>
          <w:tab w:val="left" w:pos="680"/>
          <w:tab w:val="left" w:pos="1021"/>
          <w:tab w:val="left" w:pos="1361"/>
        </w:tabs>
        <w:ind w:left="680" w:right="680" w:hanging="680"/>
      </w:pPr>
      <w:r>
        <w:t>2.</w:t>
      </w:r>
      <w:r>
        <w:tab/>
        <w:t>Генеральный секретарь Организации Объединенных Наций назначается депозитарием настоящей Конвенции.</w:t>
      </w:r>
    </w:p>
    <w:p w:rsidR="00000000" w:rsidRDefault="00000000">
      <w:pPr>
        <w:tabs>
          <w:tab w:val="clear" w:pos="340"/>
          <w:tab w:val="left" w:pos="680"/>
          <w:tab w:val="left" w:pos="1021"/>
          <w:tab w:val="left" w:pos="1361"/>
        </w:tabs>
        <w:ind w:left="680" w:right="680" w:hanging="680"/>
      </w:pPr>
      <w:r>
        <w:t>3.</w:t>
      </w:r>
      <w:r>
        <w:tab/>
        <w:t>Настоящая Конвенция подлежит ратификации. Ратификационные грамоты сдаются на хранение Генеральному секретарю Организации Объединенных Наций.</w:t>
      </w:r>
    </w:p>
    <w:p w:rsidR="00000000" w:rsidRDefault="00000000">
      <w:pPr>
        <w:tabs>
          <w:tab w:val="clear" w:pos="340"/>
          <w:tab w:val="left" w:pos="680"/>
          <w:tab w:val="left" w:pos="1021"/>
          <w:tab w:val="left" w:pos="1361"/>
        </w:tabs>
        <w:ind w:left="680" w:right="680" w:hanging="680"/>
      </w:pPr>
      <w:r>
        <w:t>4.</w:t>
      </w:r>
      <w:r>
        <w:tab/>
        <w:t>Настоящая Конвенция открыта для присоединения к ней всех государств. Присоединение осуществляется путем сдачи документа о присоединении на хранение Генеральному секретарю Организации Объединенных Наций.</w:t>
      </w:r>
    </w:p>
    <w:p w:rsidR="00000000" w:rsidRDefault="00000000">
      <w:pPr>
        <w:tabs>
          <w:tab w:val="clear" w:pos="340"/>
          <w:tab w:val="left" w:pos="680"/>
          <w:tab w:val="left" w:pos="1021"/>
          <w:tab w:val="left" w:pos="1361"/>
        </w:tabs>
        <w:ind w:left="680" w:right="680"/>
        <w:jc w:val="center"/>
        <w:rPr>
          <w:b/>
        </w:rPr>
      </w:pPr>
      <w:r>
        <w:rPr>
          <w:b/>
        </w:rPr>
        <w:t>Статья 26</w:t>
      </w:r>
    </w:p>
    <w:p w:rsidR="00000000" w:rsidRDefault="00000000">
      <w:pPr>
        <w:tabs>
          <w:tab w:val="clear" w:pos="340"/>
          <w:tab w:val="left" w:pos="680"/>
          <w:tab w:val="left" w:pos="1021"/>
          <w:tab w:val="left" w:pos="1361"/>
        </w:tabs>
        <w:ind w:left="680" w:right="680" w:hanging="680"/>
      </w:pPr>
      <w:r>
        <w:t>1.</w:t>
      </w:r>
      <w:r>
        <w:tab/>
        <w:t>Просьба о пересмотре настоящей Конвенции может быть представлена в любое время любым из государств-участников путем письменного сообщения на имя Генерального секретаря Организации Объединенных Наций.</w:t>
      </w:r>
    </w:p>
    <w:p w:rsidR="00000000" w:rsidRDefault="00000000">
      <w:pPr>
        <w:tabs>
          <w:tab w:val="clear" w:pos="340"/>
          <w:tab w:val="left" w:pos="680"/>
          <w:tab w:val="left" w:pos="1021"/>
          <w:tab w:val="left" w:pos="1361"/>
        </w:tabs>
        <w:ind w:left="680" w:right="680" w:hanging="680"/>
      </w:pPr>
      <w:r>
        <w:t>2.</w:t>
      </w:r>
      <w:r>
        <w:tab/>
        <w:t>Генеральная Ассамблея Организации Объединенных Наций, если она признает необходимым принятие каких-либо мер, принимает решение о том, какие именно меры необходимо принять в отношении такой просьбы.</w:t>
      </w:r>
    </w:p>
    <w:p w:rsidR="00000000" w:rsidRDefault="00000000">
      <w:pPr>
        <w:tabs>
          <w:tab w:val="clear" w:pos="340"/>
          <w:tab w:val="left" w:pos="680"/>
          <w:tab w:val="left" w:pos="1021"/>
          <w:tab w:val="left" w:pos="1361"/>
        </w:tabs>
        <w:ind w:left="680" w:right="680"/>
        <w:jc w:val="center"/>
        <w:rPr>
          <w:b/>
        </w:rPr>
      </w:pPr>
      <w:r>
        <w:rPr>
          <w:b/>
        </w:rPr>
        <w:t>Статья 27</w:t>
      </w:r>
    </w:p>
    <w:p w:rsidR="00000000" w:rsidRDefault="00000000">
      <w:pPr>
        <w:tabs>
          <w:tab w:val="clear" w:pos="340"/>
          <w:tab w:val="left" w:pos="680"/>
          <w:tab w:val="left" w:pos="1021"/>
          <w:tab w:val="left" w:pos="1361"/>
        </w:tabs>
        <w:ind w:left="680" w:right="680" w:hanging="680"/>
      </w:pPr>
      <w:r>
        <w:t>1.</w:t>
      </w:r>
      <w:r>
        <w:tab/>
        <w:t>Настоящая Конвенция вступает в силу на тридцатый день после сдачи на хранение Генеральному секретарю Организации Объединенных Наций двадцатой ратификационной грамоты или документа о присоединении.</w:t>
      </w:r>
    </w:p>
    <w:p w:rsidR="00000000" w:rsidRDefault="00000000">
      <w:pPr>
        <w:tabs>
          <w:tab w:val="clear" w:pos="340"/>
          <w:tab w:val="left" w:pos="680"/>
          <w:tab w:val="left" w:pos="1021"/>
          <w:tab w:val="left" w:pos="1361"/>
        </w:tabs>
        <w:ind w:left="680" w:right="680" w:hanging="680"/>
      </w:pPr>
      <w:r>
        <w:t>2.</w:t>
      </w:r>
      <w:r>
        <w:tab/>
        <w:t>Для каждого государства, которое ратифицирует настоящую Конвенцию или присоединяется к ней после сдачи на хранение двадцатой ратификационной грамоты или документа о присоединении, настоящая Конвенция вступает в силу на тридцатый день после сдачи на хранение его ратификационной грамоты или документа о присоединении.</w:t>
      </w:r>
    </w:p>
    <w:p w:rsidR="00000000" w:rsidRDefault="00000000">
      <w:pPr>
        <w:tabs>
          <w:tab w:val="clear" w:pos="340"/>
          <w:tab w:val="left" w:pos="680"/>
          <w:tab w:val="left" w:pos="1021"/>
          <w:tab w:val="left" w:pos="1361"/>
        </w:tabs>
        <w:ind w:left="680" w:right="680"/>
        <w:jc w:val="center"/>
        <w:rPr>
          <w:b/>
        </w:rPr>
      </w:pPr>
      <w:r>
        <w:rPr>
          <w:b/>
        </w:rPr>
        <w:t>Статья 28</w:t>
      </w:r>
    </w:p>
    <w:p w:rsidR="00000000" w:rsidRDefault="00000000">
      <w:pPr>
        <w:tabs>
          <w:tab w:val="clear" w:pos="340"/>
          <w:tab w:val="left" w:pos="680"/>
          <w:tab w:val="left" w:pos="1021"/>
          <w:tab w:val="left" w:pos="1361"/>
        </w:tabs>
        <w:ind w:left="680" w:right="680" w:hanging="680"/>
      </w:pPr>
      <w:r>
        <w:t>1.</w:t>
      </w:r>
      <w:r>
        <w:tab/>
        <w:t>Генеральный секретарь Организации Объединенных Наций получает и рассылает всем государствам текст оговорок, сделанных государствами в момент ратификации или присоединения.</w:t>
      </w:r>
    </w:p>
    <w:p w:rsidR="00000000" w:rsidRDefault="00000000">
      <w:pPr>
        <w:tabs>
          <w:tab w:val="clear" w:pos="340"/>
          <w:tab w:val="left" w:pos="680"/>
          <w:tab w:val="left" w:pos="1021"/>
          <w:tab w:val="left" w:pos="1361"/>
        </w:tabs>
        <w:ind w:left="680" w:right="680" w:hanging="680"/>
      </w:pPr>
      <w:r>
        <w:t>2.</w:t>
      </w:r>
      <w:r>
        <w:tab/>
        <w:t>Оговорка, не совместимая с целями и задачами настоящей Конвенции, не допускается.</w:t>
      </w:r>
    </w:p>
    <w:p w:rsidR="00000000" w:rsidRDefault="00000000">
      <w:pPr>
        <w:tabs>
          <w:tab w:val="clear" w:pos="340"/>
          <w:tab w:val="left" w:pos="680"/>
          <w:tab w:val="left" w:pos="1021"/>
          <w:tab w:val="left" w:pos="1361"/>
        </w:tabs>
        <w:ind w:left="680" w:right="680" w:hanging="680"/>
      </w:pPr>
      <w:r>
        <w:t>3.</w:t>
      </w:r>
      <w:r>
        <w:tab/>
        <w:t>Оговорки могут быть сняты в любое время путем соответствующего уведомления, направленного на имя Генерального секретаря, который затем сообщает об этом всем государствам-участникам. Такое уведомление вступает в силу со дня его получения.</w:t>
      </w:r>
    </w:p>
    <w:p w:rsidR="00000000" w:rsidRDefault="00000000">
      <w:pPr>
        <w:tabs>
          <w:tab w:val="clear" w:pos="340"/>
          <w:tab w:val="left" w:pos="680"/>
          <w:tab w:val="left" w:pos="1021"/>
          <w:tab w:val="left" w:pos="1361"/>
        </w:tabs>
        <w:ind w:left="680" w:right="680"/>
        <w:jc w:val="center"/>
        <w:rPr>
          <w:b/>
        </w:rPr>
      </w:pPr>
      <w:r>
        <w:br w:type="page"/>
      </w:r>
      <w:r>
        <w:rPr>
          <w:b/>
        </w:rPr>
        <w:t>Статья 29</w:t>
      </w:r>
    </w:p>
    <w:p w:rsidR="00000000" w:rsidRDefault="00000000">
      <w:pPr>
        <w:tabs>
          <w:tab w:val="clear" w:pos="340"/>
          <w:tab w:val="left" w:pos="680"/>
          <w:tab w:val="left" w:pos="1021"/>
          <w:tab w:val="left" w:pos="1361"/>
        </w:tabs>
        <w:ind w:left="680" w:right="680" w:hanging="680"/>
      </w:pPr>
      <w:r>
        <w:t>1.</w:t>
      </w:r>
      <w:r>
        <w:tab/>
        <w:t>Любой спор между двумя или несколькими государствами-участниками относительно толкования или применения настоящей Конвенции, не решенный путем переговоров, передается по просьбе одной из сторон на арбитражное разбирательство. Если в течение шести месяцев с момента подачи заявления об арбитражном разбирательстве сторонам не удалось прийти к согласию относительно организации арбитражного разбирательства, любая из этих сторон может передать данный спор в Международный Суд путем подачи заявления в соответствии со Статутом Суда.</w:t>
      </w:r>
    </w:p>
    <w:p w:rsidR="00000000" w:rsidRDefault="00000000">
      <w:pPr>
        <w:tabs>
          <w:tab w:val="clear" w:pos="340"/>
          <w:tab w:val="left" w:pos="680"/>
          <w:tab w:val="left" w:pos="1021"/>
          <w:tab w:val="left" w:pos="1361"/>
        </w:tabs>
        <w:ind w:left="680" w:right="680" w:hanging="680"/>
      </w:pPr>
      <w:r>
        <w:t>2.</w:t>
      </w:r>
      <w:r>
        <w:tab/>
        <w:t>Каждое государство-участник может во время подписания или ратификации настоящей Конвенции или присоединения к ней заявить о том, что оно не считает себя связанным обязательствами, содержащимися в пункте 1 этой статьи.  Другие государства-участники не несут обязательств, вытекающих из указанного пункта данной статьи, в отношении какого-либо государства-участника, сделавшего подобную оговорку.</w:t>
      </w:r>
    </w:p>
    <w:p w:rsidR="00000000" w:rsidRDefault="00000000">
      <w:pPr>
        <w:tabs>
          <w:tab w:val="clear" w:pos="340"/>
          <w:tab w:val="left" w:pos="680"/>
          <w:tab w:val="left" w:pos="1021"/>
          <w:tab w:val="left" w:pos="1361"/>
        </w:tabs>
        <w:ind w:left="680" w:right="680" w:hanging="680"/>
      </w:pPr>
      <w:r>
        <w:t>3.</w:t>
      </w:r>
      <w:r>
        <w:tab/>
        <w:t>Любое государство-участник, сделавшее оговорку в соответствии с пунктом 2 настоящей статьи, может в любое время снять свою оговорку путем уведомления Генерального секретаря Организации Объединенных Наций.</w:t>
      </w:r>
    </w:p>
    <w:p w:rsidR="00000000" w:rsidRDefault="00000000">
      <w:pPr>
        <w:tabs>
          <w:tab w:val="clear" w:pos="340"/>
          <w:tab w:val="left" w:pos="680"/>
          <w:tab w:val="left" w:pos="1021"/>
          <w:tab w:val="left" w:pos="1361"/>
        </w:tabs>
        <w:ind w:left="680" w:right="680"/>
        <w:jc w:val="center"/>
        <w:rPr>
          <w:b/>
        </w:rPr>
      </w:pPr>
      <w:r>
        <w:rPr>
          <w:b/>
        </w:rPr>
        <w:t>Статья 30</w:t>
      </w:r>
    </w:p>
    <w:p w:rsidR="00000000" w:rsidRDefault="00000000">
      <w:pPr>
        <w:tabs>
          <w:tab w:val="clear" w:pos="340"/>
          <w:tab w:val="clear" w:pos="680"/>
          <w:tab w:val="left" w:pos="1361"/>
        </w:tabs>
        <w:spacing w:after="720"/>
        <w:ind w:left="680" w:right="680"/>
      </w:pPr>
      <w:r>
        <w:rPr>
          <w:lang w:val="en-US"/>
        </w:rPr>
        <w:tab/>
      </w:r>
      <w:r>
        <w:t>Настоящая Конвенция, тексты которой на русском, английском, арабском, испанском, китайском и французском языках являются равно аутентичными, сдается на хранение Генеральному секретарю Организации Объединенных Наций.</w:t>
      </w:r>
    </w:p>
    <w:p w:rsidR="00000000" w:rsidRDefault="00000000">
      <w:pPr>
        <w:tabs>
          <w:tab w:val="clear" w:pos="340"/>
          <w:tab w:val="clear" w:pos="680"/>
          <w:tab w:val="left" w:pos="1361"/>
        </w:tabs>
        <w:ind w:left="680" w:right="680"/>
      </w:pPr>
      <w:r>
        <w:tab/>
        <w:t>В УДОСТОВЕРЕНИЕ ЧЕГО нижеподписавшиеся, должным образом на то уполномоченные, подписали настоящую Конвенцию.</w:t>
      </w:r>
    </w:p>
    <w:p w:rsidR="00000000" w:rsidRDefault="00000000">
      <w:pPr>
        <w:tabs>
          <w:tab w:val="clear" w:pos="340"/>
          <w:tab w:val="left" w:pos="680"/>
          <w:tab w:val="left" w:pos="1021"/>
          <w:tab w:val="left" w:pos="1361"/>
        </w:tabs>
        <w:ind w:left="680" w:right="680"/>
      </w:pPr>
    </w:p>
    <w:sectPr w:rsidR="00000000">
      <w:headerReference w:type="default" r:id="rId23"/>
      <w:headerReference w:type="first" r:id="rId24"/>
      <w:footerReference w:type="first" r:id="rId25"/>
      <w:pgSz w:w="12242" w:h="15842" w:code="1"/>
      <w:pgMar w:top="1247" w:right="1298" w:bottom="1531" w:left="1298" w:header="720" w:footer="851" w:gutter="0"/>
      <w:pgNumType w:start="1"/>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0124903R</w:t>
      </w:r>
      <w:r>
        <w:t>&lt;&lt;ODS JOB NO&gt;&gt;</w:t>
      </w:r>
    </w:p>
    <w:p w:rsidR="00000000" w:rsidRDefault="00000000">
      <w:pPr>
        <w:pStyle w:val="CommentText"/>
      </w:pPr>
      <w:r>
        <w:t>&lt;&lt;ODS DOC SYMBOL1&gt;&gt;</w:t>
      </w:r>
      <w:r>
        <w:rPr>
          <w:lang w:val="en-US"/>
        </w:rPr>
        <w:t>CEDAW/C/TTO/1-3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r>
      <w:t>01-24903(</w:t>
    </w:r>
    <w:r>
      <w:rPr>
        <w:lang w:val="en-US"/>
      </w:rPr>
      <w:t>R</w:t>
    </w:r>
    <w: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40"/>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spacing w:after="0" w:line="240" w:lineRule="auto"/>
        <w:rPr>
          <w:lang w:val="ru-RU"/>
        </w:rPr>
      </w:pPr>
      <w:r>
        <w:rPr>
          <w:rStyle w:val="FootnoteReference"/>
        </w:rPr>
        <w:t>*</w:t>
      </w:r>
      <w:r>
        <w:t xml:space="preserve">  </w:t>
      </w:r>
      <w:r>
        <w:rPr>
          <w:sz w:val="18"/>
        </w:rPr>
        <w:t>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i/>
        <w:u w:val="single"/>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16776E"/>
    <w:multiLevelType w:val="singleLevel"/>
    <w:tmpl w:val="2A4CE884"/>
    <w:lvl w:ilvl="0">
      <w:start w:val="3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
    <w:nsid w:val="00294F07"/>
    <w:multiLevelType w:val="singleLevel"/>
    <w:tmpl w:val="DE948AC4"/>
    <w:lvl w:ilvl="0">
      <w:start w:val="459"/>
      <w:numFmt w:val="decimal"/>
      <w:lvlText w:val="%1."/>
      <w:lvlJc w:val="left"/>
      <w:pPr>
        <w:tabs>
          <w:tab w:val="num" w:pos="360"/>
        </w:tabs>
        <w:ind w:left="360" w:hanging="360"/>
      </w:pPr>
    </w:lvl>
  </w:abstractNum>
  <w:abstractNum w:abstractNumId="3">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4">
    <w:nsid w:val="004F7F28"/>
    <w:multiLevelType w:val="singleLevel"/>
    <w:tmpl w:val="C7B26F60"/>
    <w:lvl w:ilvl="0">
      <w:start w:val="33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
    <w:nsid w:val="008221F2"/>
    <w:multiLevelType w:val="singleLevel"/>
    <w:tmpl w:val="2850F2E6"/>
    <w:lvl w:ilvl="0">
      <w:start w:val="471"/>
      <w:numFmt w:val="decimal"/>
      <w:lvlText w:val="%1."/>
      <w:lvlJc w:val="left"/>
      <w:pPr>
        <w:tabs>
          <w:tab w:val="num" w:pos="360"/>
        </w:tabs>
        <w:ind w:left="360" w:hanging="360"/>
      </w:pPr>
    </w:lvl>
  </w:abstractNum>
  <w:abstractNum w:abstractNumId="6">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
    <w:nsid w:val="00BD7053"/>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8">
    <w:nsid w:val="00C65848"/>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9">
    <w:nsid w:val="00C82AD9"/>
    <w:multiLevelType w:val="singleLevel"/>
    <w:tmpl w:val="0BE6CEB4"/>
    <w:lvl w:ilvl="0">
      <w:start w:val="4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
    <w:nsid w:val="00E1644A"/>
    <w:multiLevelType w:val="singleLevel"/>
    <w:tmpl w:val="755E186A"/>
    <w:lvl w:ilvl="0">
      <w:start w:val="110"/>
      <w:numFmt w:val="decimal"/>
      <w:lvlText w:val="%1."/>
      <w:lvlJc w:val="left"/>
      <w:pPr>
        <w:tabs>
          <w:tab w:val="num" w:pos="360"/>
        </w:tabs>
        <w:ind w:left="360" w:hanging="360"/>
      </w:pPr>
    </w:lvl>
  </w:abstractNum>
  <w:abstractNum w:abstractNumId="11">
    <w:nsid w:val="01024F8D"/>
    <w:multiLevelType w:val="multilevel"/>
    <w:tmpl w:val="2DBE57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1216E17"/>
    <w:multiLevelType w:val="singleLevel"/>
    <w:tmpl w:val="BC9AD2DC"/>
    <w:lvl w:ilvl="0">
      <w:start w:val="425"/>
      <w:numFmt w:val="decimal"/>
      <w:lvlText w:val="%1."/>
      <w:lvlJc w:val="left"/>
      <w:pPr>
        <w:tabs>
          <w:tab w:val="num" w:pos="360"/>
        </w:tabs>
        <w:ind w:left="360" w:hanging="360"/>
      </w:pPr>
    </w:lvl>
  </w:abstractNum>
  <w:abstractNum w:abstractNumId="13">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nsid w:val="014E4299"/>
    <w:multiLevelType w:val="singleLevel"/>
    <w:tmpl w:val="2B3E4394"/>
    <w:lvl w:ilvl="0">
      <w:start w:val="42"/>
      <w:numFmt w:val="decimal"/>
      <w:lvlText w:val="%1."/>
      <w:lvlJc w:val="left"/>
      <w:pPr>
        <w:tabs>
          <w:tab w:val="num" w:pos="360"/>
        </w:tabs>
        <w:ind w:left="360" w:hanging="360"/>
      </w:pPr>
    </w:lvl>
  </w:abstractNum>
  <w:abstractNum w:abstractNumId="15">
    <w:nsid w:val="015F41E9"/>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16">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
    <w:nsid w:val="01DC7C88"/>
    <w:multiLevelType w:val="singleLevel"/>
    <w:tmpl w:val="D98C7C6A"/>
    <w:lvl w:ilvl="0">
      <w:numFmt w:val="bullet"/>
      <w:lvlText w:val="-"/>
      <w:lvlJc w:val="left"/>
      <w:pPr>
        <w:tabs>
          <w:tab w:val="num" w:pos="360"/>
        </w:tabs>
        <w:ind w:left="360" w:hanging="360"/>
      </w:pPr>
      <w:rPr>
        <w:rFonts w:hint="default"/>
      </w:rPr>
    </w:lvl>
  </w:abstractNum>
  <w:abstractNum w:abstractNumId="18">
    <w:nsid w:val="021E59F9"/>
    <w:multiLevelType w:val="singleLevel"/>
    <w:tmpl w:val="DB029670"/>
    <w:lvl w:ilvl="0">
      <w:start w:val="40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24C5DA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0">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027D3174"/>
    <w:multiLevelType w:val="singleLevel"/>
    <w:tmpl w:val="C30A042A"/>
    <w:lvl w:ilvl="0">
      <w:start w:val="3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
    <w:nsid w:val="02A64978"/>
    <w:multiLevelType w:val="singleLevel"/>
    <w:tmpl w:val="9D288DE8"/>
    <w:lvl w:ilvl="0">
      <w:start w:val="37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2AE7818"/>
    <w:multiLevelType w:val="singleLevel"/>
    <w:tmpl w:val="1F741294"/>
    <w:lvl w:ilvl="0">
      <w:start w:val="3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
    <w:nsid w:val="02C3333D"/>
    <w:multiLevelType w:val="singleLevel"/>
    <w:tmpl w:val="E82A3746"/>
    <w:lvl w:ilvl="0">
      <w:start w:val="4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
    <w:nsid w:val="02E4095A"/>
    <w:multiLevelType w:val="singleLevel"/>
    <w:tmpl w:val="0C8471B8"/>
    <w:lvl w:ilvl="0">
      <w:start w:val="60"/>
      <w:numFmt w:val="decimal"/>
      <w:lvlText w:val="%1."/>
      <w:lvlJc w:val="left"/>
      <w:pPr>
        <w:tabs>
          <w:tab w:val="num" w:pos="360"/>
        </w:tabs>
        <w:ind w:left="340" w:hanging="340"/>
      </w:pPr>
    </w:lvl>
  </w:abstractNum>
  <w:abstractNum w:abstractNumId="26">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7">
    <w:nsid w:val="03020784"/>
    <w:multiLevelType w:val="singleLevel"/>
    <w:tmpl w:val="0419000F"/>
    <w:lvl w:ilvl="0">
      <w:start w:val="1"/>
      <w:numFmt w:val="decimal"/>
      <w:lvlText w:val="%1."/>
      <w:lvlJc w:val="left"/>
      <w:pPr>
        <w:tabs>
          <w:tab w:val="num" w:pos="360"/>
        </w:tabs>
        <w:ind w:left="360" w:hanging="360"/>
      </w:pPr>
    </w:lvl>
  </w:abstractNum>
  <w:abstractNum w:abstractNumId="28">
    <w:nsid w:val="03131E5D"/>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9">
    <w:nsid w:val="03285792"/>
    <w:multiLevelType w:val="singleLevel"/>
    <w:tmpl w:val="83583980"/>
    <w:lvl w:ilvl="0">
      <w:start w:val="40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
    <w:nsid w:val="032A04BB"/>
    <w:multiLevelType w:val="singleLevel"/>
    <w:tmpl w:val="544C3BFA"/>
    <w:lvl w:ilvl="0">
      <w:start w:val="4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
    <w:nsid w:val="03300648"/>
    <w:multiLevelType w:val="singleLevel"/>
    <w:tmpl w:val="B45CB0C8"/>
    <w:lvl w:ilvl="0">
      <w:start w:val="220"/>
      <w:numFmt w:val="decimal"/>
      <w:lvlText w:val="%1."/>
      <w:lvlJc w:val="left"/>
      <w:pPr>
        <w:tabs>
          <w:tab w:val="num" w:pos="360"/>
        </w:tabs>
        <w:ind w:left="360" w:hanging="360"/>
      </w:pPr>
    </w:lvl>
  </w:abstractNum>
  <w:abstractNum w:abstractNumId="32">
    <w:nsid w:val="033953E4"/>
    <w:multiLevelType w:val="singleLevel"/>
    <w:tmpl w:val="7DEAE99E"/>
    <w:lvl w:ilvl="0">
      <w:start w:val="424"/>
      <w:numFmt w:val="decimal"/>
      <w:lvlText w:val="%1."/>
      <w:lvlJc w:val="left"/>
      <w:pPr>
        <w:tabs>
          <w:tab w:val="num" w:pos="360"/>
        </w:tabs>
        <w:ind w:left="360" w:hanging="360"/>
      </w:pPr>
    </w:lvl>
  </w:abstractNum>
  <w:abstractNum w:abstractNumId="33">
    <w:nsid w:val="03712975"/>
    <w:multiLevelType w:val="singleLevel"/>
    <w:tmpl w:val="8B12959E"/>
    <w:lvl w:ilvl="0">
      <w:start w:val="101"/>
      <w:numFmt w:val="decimal"/>
      <w:lvlText w:val="%1."/>
      <w:lvlJc w:val="left"/>
      <w:pPr>
        <w:tabs>
          <w:tab w:val="num" w:pos="624"/>
        </w:tabs>
        <w:ind w:left="624" w:hanging="624"/>
      </w:pPr>
    </w:lvl>
  </w:abstractNum>
  <w:abstractNum w:abstractNumId="34">
    <w:nsid w:val="039A58AF"/>
    <w:multiLevelType w:val="singleLevel"/>
    <w:tmpl w:val="B1C45F64"/>
    <w:lvl w:ilvl="0">
      <w:start w:val="41"/>
      <w:numFmt w:val="decimal"/>
      <w:lvlText w:val="%1."/>
      <w:lvlJc w:val="left"/>
      <w:pPr>
        <w:tabs>
          <w:tab w:val="num" w:pos="360"/>
        </w:tabs>
        <w:ind w:left="360" w:hanging="360"/>
      </w:pPr>
    </w:lvl>
  </w:abstractNum>
  <w:abstractNum w:abstractNumId="35">
    <w:nsid w:val="03AA362D"/>
    <w:multiLevelType w:val="singleLevel"/>
    <w:tmpl w:val="D98C7C6A"/>
    <w:lvl w:ilvl="0">
      <w:numFmt w:val="bullet"/>
      <w:lvlText w:val="-"/>
      <w:lvlJc w:val="left"/>
      <w:pPr>
        <w:tabs>
          <w:tab w:val="num" w:pos="360"/>
        </w:tabs>
        <w:ind w:left="360" w:hanging="360"/>
      </w:pPr>
      <w:rPr>
        <w:rFonts w:hint="default"/>
      </w:rPr>
    </w:lvl>
  </w:abstractNum>
  <w:abstractNum w:abstractNumId="36">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37">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38">
    <w:nsid w:val="040E2964"/>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9">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nsid w:val="04777D89"/>
    <w:multiLevelType w:val="singleLevel"/>
    <w:tmpl w:val="98464852"/>
    <w:lvl w:ilvl="0">
      <w:start w:val="186"/>
      <w:numFmt w:val="decimal"/>
      <w:lvlText w:val="%1."/>
      <w:lvlJc w:val="left"/>
      <w:pPr>
        <w:tabs>
          <w:tab w:val="num" w:pos="360"/>
        </w:tabs>
        <w:ind w:left="360" w:hanging="360"/>
      </w:pPr>
    </w:lvl>
  </w:abstractNum>
  <w:abstractNum w:abstractNumId="41">
    <w:nsid w:val="04BC58F0"/>
    <w:multiLevelType w:val="singleLevel"/>
    <w:tmpl w:val="D98C7C6A"/>
    <w:lvl w:ilvl="0">
      <w:numFmt w:val="bullet"/>
      <w:lvlText w:val="-"/>
      <w:lvlJc w:val="left"/>
      <w:pPr>
        <w:tabs>
          <w:tab w:val="num" w:pos="360"/>
        </w:tabs>
        <w:ind w:left="360" w:hanging="360"/>
      </w:pPr>
      <w:rPr>
        <w:rFonts w:hint="default"/>
      </w:rPr>
    </w:lvl>
  </w:abstractNum>
  <w:abstractNum w:abstractNumId="42">
    <w:nsid w:val="04CA7BB4"/>
    <w:multiLevelType w:val="singleLevel"/>
    <w:tmpl w:val="13502F1A"/>
    <w:lvl w:ilvl="0">
      <w:start w:val="37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
    <w:nsid w:val="052B6A66"/>
    <w:multiLevelType w:val="multilevel"/>
    <w:tmpl w:val="404CFE2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053A4145"/>
    <w:multiLevelType w:val="singleLevel"/>
    <w:tmpl w:val="45EE22BC"/>
    <w:lvl w:ilvl="0">
      <w:start w:val="465"/>
      <w:numFmt w:val="decimal"/>
      <w:lvlText w:val="%1."/>
      <w:lvlJc w:val="left"/>
      <w:pPr>
        <w:tabs>
          <w:tab w:val="num" w:pos="360"/>
        </w:tabs>
        <w:ind w:left="360" w:hanging="360"/>
      </w:pPr>
    </w:lvl>
  </w:abstractNum>
  <w:abstractNum w:abstractNumId="45">
    <w:nsid w:val="0550711B"/>
    <w:multiLevelType w:val="singleLevel"/>
    <w:tmpl w:val="D71AA760"/>
    <w:lvl w:ilvl="0">
      <w:start w:val="36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
    <w:nsid w:val="05750455"/>
    <w:multiLevelType w:val="singleLevel"/>
    <w:tmpl w:val="6CD0C1CA"/>
    <w:lvl w:ilvl="0">
      <w:start w:val="301"/>
      <w:numFmt w:val="decimal"/>
      <w:lvlText w:val="%1."/>
      <w:lvlJc w:val="left"/>
      <w:pPr>
        <w:tabs>
          <w:tab w:val="num" w:pos="360"/>
        </w:tabs>
        <w:ind w:left="360" w:hanging="360"/>
      </w:pPr>
    </w:lvl>
  </w:abstractNum>
  <w:abstractNum w:abstractNumId="47">
    <w:nsid w:val="05B75FE2"/>
    <w:multiLevelType w:val="singleLevel"/>
    <w:tmpl w:val="3242695C"/>
    <w:lvl w:ilvl="0">
      <w:start w:val="35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
    <w:nsid w:val="05C17620"/>
    <w:multiLevelType w:val="singleLevel"/>
    <w:tmpl w:val="83F6E720"/>
    <w:lvl w:ilvl="0">
      <w:start w:val="276"/>
      <w:numFmt w:val="decimal"/>
      <w:lvlText w:val="%1."/>
      <w:lvlJc w:val="left"/>
      <w:pPr>
        <w:tabs>
          <w:tab w:val="num" w:pos="360"/>
        </w:tabs>
        <w:ind w:left="360" w:hanging="360"/>
      </w:pPr>
    </w:lvl>
  </w:abstractNum>
  <w:abstractNum w:abstractNumId="49">
    <w:nsid w:val="05CC15EF"/>
    <w:multiLevelType w:val="singleLevel"/>
    <w:tmpl w:val="0E60C820"/>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05D8710C"/>
    <w:multiLevelType w:val="singleLevel"/>
    <w:tmpl w:val="11624234"/>
    <w:lvl w:ilvl="0">
      <w:start w:val="99"/>
      <w:numFmt w:val="decimal"/>
      <w:lvlText w:val="%1."/>
      <w:lvlJc w:val="left"/>
      <w:pPr>
        <w:tabs>
          <w:tab w:val="num" w:pos="360"/>
        </w:tabs>
        <w:ind w:left="360" w:hanging="360"/>
      </w:pPr>
    </w:lvl>
  </w:abstractNum>
  <w:abstractNum w:abstractNumId="51">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52">
    <w:nsid w:val="06452878"/>
    <w:multiLevelType w:val="multilevel"/>
    <w:tmpl w:val="8126142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3">
    <w:nsid w:val="064C372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4">
    <w:nsid w:val="067577CA"/>
    <w:multiLevelType w:val="singleLevel"/>
    <w:tmpl w:val="CA6E90D0"/>
    <w:lvl w:ilvl="0">
      <w:start w:val="40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067979A9"/>
    <w:multiLevelType w:val="singleLevel"/>
    <w:tmpl w:val="3A88F0B2"/>
    <w:lvl w:ilvl="0">
      <w:start w:val="34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
    <w:nsid w:val="06CB3F11"/>
    <w:multiLevelType w:val="singleLevel"/>
    <w:tmpl w:val="E28A6A80"/>
    <w:lvl w:ilvl="0">
      <w:start w:val="11"/>
      <w:numFmt w:val="decimal"/>
      <w:lvlText w:val="%1."/>
      <w:lvlJc w:val="left"/>
      <w:pPr>
        <w:tabs>
          <w:tab w:val="num" w:pos="360"/>
        </w:tabs>
        <w:ind w:left="360" w:hanging="360"/>
      </w:pPr>
    </w:lvl>
  </w:abstractNum>
  <w:abstractNum w:abstractNumId="57">
    <w:nsid w:val="06D429BE"/>
    <w:multiLevelType w:val="singleLevel"/>
    <w:tmpl w:val="1BE68F96"/>
    <w:lvl w:ilvl="0">
      <w:start w:val="3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
    <w:nsid w:val="070D381E"/>
    <w:multiLevelType w:val="multilevel"/>
    <w:tmpl w:val="202EE0C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9">
    <w:nsid w:val="075E5170"/>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60">
    <w:nsid w:val="07684032"/>
    <w:multiLevelType w:val="singleLevel"/>
    <w:tmpl w:val="12A80AC6"/>
    <w:lvl w:ilvl="0">
      <w:start w:val="3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077117B2"/>
    <w:multiLevelType w:val="singleLevel"/>
    <w:tmpl w:val="5AC81632"/>
    <w:lvl w:ilvl="0">
      <w:start w:val="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2">
    <w:nsid w:val="07C1231B"/>
    <w:multiLevelType w:val="singleLevel"/>
    <w:tmpl w:val="D98C7C6A"/>
    <w:lvl w:ilvl="0">
      <w:numFmt w:val="bullet"/>
      <w:lvlText w:val="-"/>
      <w:lvlJc w:val="left"/>
      <w:pPr>
        <w:tabs>
          <w:tab w:val="num" w:pos="360"/>
        </w:tabs>
        <w:ind w:left="360" w:hanging="360"/>
      </w:pPr>
      <w:rPr>
        <w:rFonts w:hint="default"/>
      </w:rPr>
    </w:lvl>
  </w:abstractNum>
  <w:abstractNum w:abstractNumId="63">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4">
    <w:nsid w:val="07E62FD3"/>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65">
    <w:nsid w:val="07F3193D"/>
    <w:multiLevelType w:val="singleLevel"/>
    <w:tmpl w:val="876A867E"/>
    <w:lvl w:ilvl="0">
      <w:start w:val="67"/>
      <w:numFmt w:val="decimal"/>
      <w:lvlText w:val="%1."/>
      <w:lvlJc w:val="left"/>
      <w:pPr>
        <w:tabs>
          <w:tab w:val="num" w:pos="360"/>
        </w:tabs>
        <w:ind w:left="360" w:hanging="360"/>
      </w:pPr>
    </w:lvl>
  </w:abstractNum>
  <w:abstractNum w:abstractNumId="66">
    <w:nsid w:val="07F56F86"/>
    <w:multiLevelType w:val="singleLevel"/>
    <w:tmpl w:val="DB5627B8"/>
    <w:lvl w:ilvl="0">
      <w:start w:val="1"/>
      <w:numFmt w:val="bullet"/>
      <w:lvlText w:val=""/>
      <w:lvlJc w:val="left"/>
      <w:pPr>
        <w:tabs>
          <w:tab w:val="num" w:pos="700"/>
        </w:tabs>
        <w:ind w:left="680" w:hanging="340"/>
      </w:pPr>
      <w:rPr>
        <w:rFonts w:ascii="Symbol" w:hAnsi="Symbol" w:hint="default"/>
        <w:sz w:val="22"/>
      </w:rPr>
    </w:lvl>
  </w:abstractNum>
  <w:abstractNum w:abstractNumId="67">
    <w:nsid w:val="081A042B"/>
    <w:multiLevelType w:val="singleLevel"/>
    <w:tmpl w:val="D98C7C6A"/>
    <w:lvl w:ilvl="0">
      <w:numFmt w:val="bullet"/>
      <w:lvlText w:val="-"/>
      <w:lvlJc w:val="left"/>
      <w:pPr>
        <w:tabs>
          <w:tab w:val="num" w:pos="360"/>
        </w:tabs>
        <w:ind w:left="360" w:hanging="360"/>
      </w:pPr>
      <w:rPr>
        <w:rFonts w:hint="default"/>
      </w:rPr>
    </w:lvl>
  </w:abstractNum>
  <w:abstractNum w:abstractNumId="68">
    <w:nsid w:val="08C23819"/>
    <w:multiLevelType w:val="singleLevel"/>
    <w:tmpl w:val="B8EE2D88"/>
    <w:lvl w:ilvl="0">
      <w:start w:val="4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
    <w:nsid w:val="0901104C"/>
    <w:multiLevelType w:val="singleLevel"/>
    <w:tmpl w:val="4DDC6CAE"/>
    <w:lvl w:ilvl="0">
      <w:start w:val="396"/>
      <w:numFmt w:val="decimal"/>
      <w:lvlText w:val="%1."/>
      <w:lvlJc w:val="left"/>
      <w:pPr>
        <w:tabs>
          <w:tab w:val="num" w:pos="360"/>
        </w:tabs>
        <w:ind w:left="360" w:hanging="360"/>
      </w:pPr>
    </w:lvl>
  </w:abstractNum>
  <w:abstractNum w:abstractNumId="70">
    <w:nsid w:val="09036564"/>
    <w:multiLevelType w:val="singleLevel"/>
    <w:tmpl w:val="0419000F"/>
    <w:lvl w:ilvl="0">
      <w:start w:val="1"/>
      <w:numFmt w:val="decimal"/>
      <w:lvlText w:val="%1."/>
      <w:lvlJc w:val="left"/>
      <w:pPr>
        <w:tabs>
          <w:tab w:val="num" w:pos="360"/>
        </w:tabs>
        <w:ind w:left="360" w:hanging="360"/>
      </w:pPr>
    </w:lvl>
  </w:abstractNum>
  <w:abstractNum w:abstractNumId="71">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72">
    <w:nsid w:val="093B4F20"/>
    <w:multiLevelType w:val="singleLevel"/>
    <w:tmpl w:val="9CD03EE6"/>
    <w:lvl w:ilvl="0">
      <w:start w:val="3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094E1965"/>
    <w:multiLevelType w:val="multilevel"/>
    <w:tmpl w:val="404CFE2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097F78B9"/>
    <w:multiLevelType w:val="multilevel"/>
    <w:tmpl w:val="A5006B4E"/>
    <w:lvl w:ilvl="0">
      <w:start w:val="1"/>
      <w:numFmt w:val="decimal"/>
      <w:lvlText w:val="%1."/>
      <w:lvlJc w:val="left"/>
      <w:pPr>
        <w:tabs>
          <w:tab w:val="num" w:pos="720"/>
        </w:tabs>
        <w:ind w:left="720" w:hanging="360"/>
      </w:p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099078E2"/>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6">
    <w:nsid w:val="09F9506F"/>
    <w:multiLevelType w:val="singleLevel"/>
    <w:tmpl w:val="DE948AC4"/>
    <w:lvl w:ilvl="0">
      <w:start w:val="459"/>
      <w:numFmt w:val="decimal"/>
      <w:lvlText w:val="%1."/>
      <w:lvlJc w:val="left"/>
      <w:pPr>
        <w:tabs>
          <w:tab w:val="num" w:pos="360"/>
        </w:tabs>
        <w:ind w:left="360" w:hanging="360"/>
      </w:pPr>
    </w:lvl>
  </w:abstractNum>
  <w:abstractNum w:abstractNumId="77">
    <w:nsid w:val="0A1B5EA2"/>
    <w:multiLevelType w:val="multilevel"/>
    <w:tmpl w:val="A3C2C2C2"/>
    <w:lvl w:ilvl="0">
      <w:start w:val="1"/>
      <w:numFmt w:val="decimal"/>
      <w:lvlText w:val="%1."/>
      <w:lvlJc w:val="left"/>
      <w:pPr>
        <w:tabs>
          <w:tab w:val="num" w:pos="720"/>
        </w:tabs>
        <w:ind w:left="720" w:hanging="360"/>
      </w:p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78">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9">
    <w:nsid w:val="0AA05498"/>
    <w:multiLevelType w:val="singleLevel"/>
    <w:tmpl w:val="D98C7C6A"/>
    <w:lvl w:ilvl="0">
      <w:numFmt w:val="bullet"/>
      <w:lvlText w:val="-"/>
      <w:lvlJc w:val="left"/>
      <w:pPr>
        <w:tabs>
          <w:tab w:val="num" w:pos="360"/>
        </w:tabs>
        <w:ind w:left="360" w:hanging="360"/>
      </w:pPr>
      <w:rPr>
        <w:rFonts w:hint="default"/>
      </w:rPr>
    </w:lvl>
  </w:abstractNum>
  <w:abstractNum w:abstractNumId="80">
    <w:nsid w:val="0AAD310A"/>
    <w:multiLevelType w:val="singleLevel"/>
    <w:tmpl w:val="5EC4F830"/>
    <w:lvl w:ilvl="0">
      <w:start w:val="476"/>
      <w:numFmt w:val="decimal"/>
      <w:lvlText w:val="%1."/>
      <w:lvlJc w:val="left"/>
      <w:pPr>
        <w:tabs>
          <w:tab w:val="num" w:pos="360"/>
        </w:tabs>
        <w:ind w:left="360" w:hanging="360"/>
      </w:pPr>
    </w:lvl>
  </w:abstractNum>
  <w:abstractNum w:abstractNumId="81">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2">
    <w:nsid w:val="0B520A42"/>
    <w:multiLevelType w:val="singleLevel"/>
    <w:tmpl w:val="11624234"/>
    <w:lvl w:ilvl="0">
      <w:start w:val="99"/>
      <w:numFmt w:val="decimal"/>
      <w:lvlText w:val="%1."/>
      <w:lvlJc w:val="left"/>
      <w:pPr>
        <w:tabs>
          <w:tab w:val="num" w:pos="360"/>
        </w:tabs>
        <w:ind w:left="360" w:hanging="360"/>
      </w:pPr>
    </w:lvl>
  </w:abstractNum>
  <w:abstractNum w:abstractNumId="83">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84">
    <w:nsid w:val="0B573CC6"/>
    <w:multiLevelType w:val="multilevel"/>
    <w:tmpl w:val="6F3259B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0B8942B1"/>
    <w:multiLevelType w:val="singleLevel"/>
    <w:tmpl w:val="2F0E929C"/>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6">
    <w:nsid w:val="0BA31606"/>
    <w:multiLevelType w:val="singleLevel"/>
    <w:tmpl w:val="7DEAE99E"/>
    <w:lvl w:ilvl="0">
      <w:start w:val="424"/>
      <w:numFmt w:val="decimal"/>
      <w:lvlText w:val="%1."/>
      <w:lvlJc w:val="left"/>
      <w:pPr>
        <w:tabs>
          <w:tab w:val="num" w:pos="360"/>
        </w:tabs>
        <w:ind w:left="360" w:hanging="360"/>
      </w:pPr>
    </w:lvl>
  </w:abstractNum>
  <w:abstractNum w:abstractNumId="87">
    <w:nsid w:val="0BDC3695"/>
    <w:multiLevelType w:val="singleLevel"/>
    <w:tmpl w:val="3B082418"/>
    <w:lvl w:ilvl="0">
      <w:start w:val="1"/>
      <w:numFmt w:val="decimal"/>
      <w:lvlText w:val="%1."/>
      <w:lvlJc w:val="left"/>
      <w:pPr>
        <w:tabs>
          <w:tab w:val="num" w:pos="360"/>
        </w:tabs>
      </w:pPr>
    </w:lvl>
  </w:abstractNum>
  <w:abstractNum w:abstractNumId="88">
    <w:nsid w:val="0BE15808"/>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89">
    <w:nsid w:val="0C204D6B"/>
    <w:multiLevelType w:val="singleLevel"/>
    <w:tmpl w:val="AF140A9C"/>
    <w:lvl w:ilvl="0">
      <w:start w:val="3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0">
    <w:nsid w:val="0C36145B"/>
    <w:multiLevelType w:val="singleLevel"/>
    <w:tmpl w:val="4D9EFC24"/>
    <w:lvl w:ilvl="0">
      <w:start w:val="3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92">
    <w:nsid w:val="0CD86D9F"/>
    <w:multiLevelType w:val="singleLevel"/>
    <w:tmpl w:val="90F0BBA2"/>
    <w:lvl w:ilvl="0">
      <w:start w:val="3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0CF55740"/>
    <w:multiLevelType w:val="singleLevel"/>
    <w:tmpl w:val="F87E9B96"/>
    <w:lvl w:ilvl="0">
      <w:start w:val="4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4">
    <w:nsid w:val="0D064241"/>
    <w:multiLevelType w:val="singleLevel"/>
    <w:tmpl w:val="0652F8F0"/>
    <w:lvl w:ilvl="0">
      <w:start w:val="197"/>
      <w:numFmt w:val="decimal"/>
      <w:lvlText w:val="%1."/>
      <w:lvlJc w:val="left"/>
      <w:pPr>
        <w:tabs>
          <w:tab w:val="num" w:pos="360"/>
        </w:tabs>
        <w:ind w:left="360" w:hanging="360"/>
      </w:pPr>
    </w:lvl>
  </w:abstractNum>
  <w:abstractNum w:abstractNumId="95">
    <w:nsid w:val="0D174D09"/>
    <w:multiLevelType w:val="singleLevel"/>
    <w:tmpl w:val="DA50B50C"/>
    <w:lvl w:ilvl="0">
      <w:start w:val="474"/>
      <w:numFmt w:val="decimal"/>
      <w:lvlText w:val="%1."/>
      <w:lvlJc w:val="left"/>
      <w:pPr>
        <w:tabs>
          <w:tab w:val="num" w:pos="360"/>
        </w:tabs>
        <w:ind w:left="360" w:hanging="360"/>
      </w:pPr>
    </w:lvl>
  </w:abstractNum>
  <w:abstractNum w:abstractNumId="96">
    <w:nsid w:val="0D62211F"/>
    <w:multiLevelType w:val="singleLevel"/>
    <w:tmpl w:val="B6E647CC"/>
    <w:lvl w:ilvl="0">
      <w:start w:val="233"/>
      <w:numFmt w:val="decimal"/>
      <w:lvlText w:val="%1."/>
      <w:lvlJc w:val="left"/>
      <w:pPr>
        <w:tabs>
          <w:tab w:val="num" w:pos="360"/>
        </w:tabs>
        <w:ind w:left="360" w:hanging="360"/>
      </w:pPr>
    </w:lvl>
  </w:abstractNum>
  <w:abstractNum w:abstractNumId="97">
    <w:nsid w:val="0D802714"/>
    <w:multiLevelType w:val="singleLevel"/>
    <w:tmpl w:val="83F6E720"/>
    <w:lvl w:ilvl="0">
      <w:start w:val="276"/>
      <w:numFmt w:val="decimal"/>
      <w:lvlText w:val="%1."/>
      <w:lvlJc w:val="left"/>
      <w:pPr>
        <w:tabs>
          <w:tab w:val="num" w:pos="360"/>
        </w:tabs>
        <w:ind w:left="360" w:hanging="360"/>
      </w:pPr>
    </w:lvl>
  </w:abstractNum>
  <w:abstractNum w:abstractNumId="98">
    <w:nsid w:val="0D965701"/>
    <w:multiLevelType w:val="singleLevel"/>
    <w:tmpl w:val="F8660E36"/>
    <w:lvl w:ilvl="0">
      <w:start w:val="4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9">
    <w:nsid w:val="0D9B18BC"/>
    <w:multiLevelType w:val="singleLevel"/>
    <w:tmpl w:val="876A867E"/>
    <w:lvl w:ilvl="0">
      <w:start w:val="67"/>
      <w:numFmt w:val="decimal"/>
      <w:lvlText w:val="%1."/>
      <w:lvlJc w:val="left"/>
      <w:pPr>
        <w:tabs>
          <w:tab w:val="num" w:pos="360"/>
        </w:tabs>
        <w:ind w:left="360" w:hanging="360"/>
      </w:pPr>
    </w:lvl>
  </w:abstractNum>
  <w:abstractNum w:abstractNumId="100">
    <w:nsid w:val="0DAF195A"/>
    <w:multiLevelType w:val="singleLevel"/>
    <w:tmpl w:val="54222EEE"/>
    <w:lvl w:ilvl="0">
      <w:start w:val="133"/>
      <w:numFmt w:val="decimal"/>
      <w:lvlText w:val="%1."/>
      <w:lvlJc w:val="left"/>
      <w:pPr>
        <w:tabs>
          <w:tab w:val="num" w:pos="360"/>
        </w:tabs>
        <w:ind w:left="360" w:hanging="360"/>
      </w:pPr>
    </w:lvl>
  </w:abstractNum>
  <w:abstractNum w:abstractNumId="101">
    <w:nsid w:val="0DC26FD2"/>
    <w:multiLevelType w:val="multilevel"/>
    <w:tmpl w:val="2BD609B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2">
    <w:nsid w:val="0DD272A5"/>
    <w:multiLevelType w:val="singleLevel"/>
    <w:tmpl w:val="E10C2138"/>
    <w:lvl w:ilvl="0">
      <w:start w:val="38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3">
    <w:nsid w:val="0DFB0688"/>
    <w:multiLevelType w:val="singleLevel"/>
    <w:tmpl w:val="D98C7C6A"/>
    <w:lvl w:ilvl="0">
      <w:numFmt w:val="bullet"/>
      <w:lvlText w:val="-"/>
      <w:lvlJc w:val="left"/>
      <w:pPr>
        <w:tabs>
          <w:tab w:val="num" w:pos="360"/>
        </w:tabs>
        <w:ind w:left="360" w:hanging="360"/>
      </w:pPr>
      <w:rPr>
        <w:rFonts w:hint="default"/>
      </w:rPr>
    </w:lvl>
  </w:abstractNum>
  <w:abstractNum w:abstractNumId="104">
    <w:nsid w:val="0E09180B"/>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105">
    <w:nsid w:val="0E0A4E80"/>
    <w:multiLevelType w:val="singleLevel"/>
    <w:tmpl w:val="20E6903C"/>
    <w:lvl w:ilvl="0">
      <w:start w:val="183"/>
      <w:numFmt w:val="decimal"/>
      <w:lvlText w:val="%1."/>
      <w:lvlJc w:val="left"/>
      <w:pPr>
        <w:tabs>
          <w:tab w:val="num" w:pos="360"/>
        </w:tabs>
        <w:ind w:left="360" w:hanging="360"/>
      </w:pPr>
    </w:lvl>
  </w:abstractNum>
  <w:abstractNum w:abstractNumId="106">
    <w:nsid w:val="0E2C5939"/>
    <w:multiLevelType w:val="singleLevel"/>
    <w:tmpl w:val="4B6CC44C"/>
    <w:lvl w:ilvl="0">
      <w:start w:val="151"/>
      <w:numFmt w:val="decimal"/>
      <w:lvlText w:val="%1."/>
      <w:lvlJc w:val="left"/>
      <w:pPr>
        <w:tabs>
          <w:tab w:val="num" w:pos="360"/>
        </w:tabs>
        <w:ind w:left="360" w:hanging="360"/>
      </w:pPr>
    </w:lvl>
  </w:abstractNum>
  <w:abstractNum w:abstractNumId="107">
    <w:nsid w:val="0E766E67"/>
    <w:multiLevelType w:val="singleLevel"/>
    <w:tmpl w:val="2B082170"/>
    <w:lvl w:ilvl="0">
      <w:start w:val="420"/>
      <w:numFmt w:val="decimal"/>
      <w:lvlText w:val="%1."/>
      <w:lvlJc w:val="left"/>
      <w:pPr>
        <w:tabs>
          <w:tab w:val="num" w:pos="360"/>
        </w:tabs>
        <w:ind w:left="360" w:hanging="360"/>
      </w:pPr>
    </w:lvl>
  </w:abstractNum>
  <w:abstractNum w:abstractNumId="108">
    <w:nsid w:val="0E9464C9"/>
    <w:multiLevelType w:val="singleLevel"/>
    <w:tmpl w:val="89924232"/>
    <w:lvl w:ilvl="0">
      <w:start w:val="34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9">
    <w:nsid w:val="0EA74C45"/>
    <w:multiLevelType w:val="singleLevel"/>
    <w:tmpl w:val="4F5E4278"/>
    <w:lvl w:ilvl="0">
      <w:start w:val="3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0">
    <w:nsid w:val="0F0436FA"/>
    <w:multiLevelType w:val="singleLevel"/>
    <w:tmpl w:val="0419000F"/>
    <w:lvl w:ilvl="0">
      <w:start w:val="1"/>
      <w:numFmt w:val="decimal"/>
      <w:lvlText w:val="%1."/>
      <w:lvlJc w:val="left"/>
      <w:pPr>
        <w:tabs>
          <w:tab w:val="num" w:pos="360"/>
        </w:tabs>
        <w:ind w:left="360" w:hanging="360"/>
      </w:pPr>
    </w:lvl>
  </w:abstractNum>
  <w:abstractNum w:abstractNumId="111">
    <w:nsid w:val="0F0E2D57"/>
    <w:multiLevelType w:val="singleLevel"/>
    <w:tmpl w:val="51349E1C"/>
    <w:lvl w:ilvl="0">
      <w:start w:val="92"/>
      <w:numFmt w:val="decimal"/>
      <w:lvlText w:val="%1."/>
      <w:lvlJc w:val="left"/>
      <w:pPr>
        <w:tabs>
          <w:tab w:val="num" w:pos="360"/>
        </w:tabs>
        <w:ind w:left="360" w:hanging="360"/>
      </w:pPr>
    </w:lvl>
  </w:abstractNum>
  <w:abstractNum w:abstractNumId="112">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3">
    <w:nsid w:val="0F572BF5"/>
    <w:multiLevelType w:val="multilevel"/>
    <w:tmpl w:val="4566DD6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4">
    <w:nsid w:val="0F5B4813"/>
    <w:multiLevelType w:val="multilevel"/>
    <w:tmpl w:val="6F3259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0F6F494C"/>
    <w:multiLevelType w:val="singleLevel"/>
    <w:tmpl w:val="8B084C4A"/>
    <w:lvl w:ilvl="0">
      <w:start w:val="346"/>
      <w:numFmt w:val="decimal"/>
      <w:lvlText w:val="%1."/>
      <w:lvlJc w:val="left"/>
      <w:pPr>
        <w:tabs>
          <w:tab w:val="num" w:pos="360"/>
        </w:tabs>
        <w:ind w:left="360" w:hanging="360"/>
      </w:pPr>
    </w:lvl>
  </w:abstractNum>
  <w:abstractNum w:abstractNumId="116">
    <w:nsid w:val="0F7773EF"/>
    <w:multiLevelType w:val="singleLevel"/>
    <w:tmpl w:val="F37EEF30"/>
    <w:lvl w:ilvl="0">
      <w:start w:val="38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0FB95C9C"/>
    <w:multiLevelType w:val="singleLevel"/>
    <w:tmpl w:val="14BA6DEA"/>
    <w:lvl w:ilvl="0">
      <w:start w:val="39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0FD10723"/>
    <w:multiLevelType w:val="singleLevel"/>
    <w:tmpl w:val="B0FA0884"/>
    <w:lvl w:ilvl="0">
      <w:start w:val="401"/>
      <w:numFmt w:val="decimal"/>
      <w:lvlText w:val="%1."/>
      <w:lvlJc w:val="left"/>
      <w:pPr>
        <w:tabs>
          <w:tab w:val="num" w:pos="360"/>
        </w:tabs>
        <w:ind w:left="360" w:hanging="360"/>
      </w:pPr>
    </w:lvl>
  </w:abstractNum>
  <w:abstractNum w:abstractNumId="119">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120">
    <w:nsid w:val="10040A90"/>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121">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122">
    <w:nsid w:val="10606A04"/>
    <w:multiLevelType w:val="singleLevel"/>
    <w:tmpl w:val="F04055D0"/>
    <w:lvl w:ilvl="0">
      <w:start w:val="3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3">
    <w:nsid w:val="10653772"/>
    <w:multiLevelType w:val="singleLevel"/>
    <w:tmpl w:val="BCA2439E"/>
    <w:lvl w:ilvl="0">
      <w:numFmt w:val="bullet"/>
      <w:lvlText w:val="-"/>
      <w:lvlJc w:val="left"/>
      <w:pPr>
        <w:tabs>
          <w:tab w:val="num" w:pos="360"/>
        </w:tabs>
        <w:ind w:left="360" w:hanging="360"/>
      </w:pPr>
      <w:rPr>
        <w:rFonts w:hint="default"/>
      </w:rPr>
    </w:lvl>
  </w:abstractNum>
  <w:abstractNum w:abstractNumId="124">
    <w:nsid w:val="108E53AF"/>
    <w:multiLevelType w:val="singleLevel"/>
    <w:tmpl w:val="67D01C16"/>
    <w:lvl w:ilvl="0">
      <w:start w:val="293"/>
      <w:numFmt w:val="decimal"/>
      <w:lvlText w:val="%1."/>
      <w:lvlJc w:val="left"/>
      <w:pPr>
        <w:tabs>
          <w:tab w:val="num" w:pos="360"/>
        </w:tabs>
        <w:ind w:left="360" w:hanging="360"/>
      </w:pPr>
    </w:lvl>
  </w:abstractNum>
  <w:abstractNum w:abstractNumId="125">
    <w:nsid w:val="10B640E4"/>
    <w:multiLevelType w:val="singleLevel"/>
    <w:tmpl w:val="163E87CC"/>
    <w:lvl w:ilvl="0">
      <w:start w:val="344"/>
      <w:numFmt w:val="decimal"/>
      <w:lvlText w:val="%1."/>
      <w:lvlJc w:val="left"/>
      <w:pPr>
        <w:tabs>
          <w:tab w:val="num" w:pos="360"/>
        </w:tabs>
        <w:ind w:left="360" w:hanging="360"/>
      </w:pPr>
    </w:lvl>
  </w:abstractNum>
  <w:abstractNum w:abstractNumId="126">
    <w:nsid w:val="10C51853"/>
    <w:multiLevelType w:val="singleLevel"/>
    <w:tmpl w:val="325E9D5C"/>
    <w:lvl w:ilvl="0">
      <w:start w:val="431"/>
      <w:numFmt w:val="decimal"/>
      <w:lvlText w:val="%1."/>
      <w:lvlJc w:val="left"/>
      <w:pPr>
        <w:tabs>
          <w:tab w:val="num" w:pos="360"/>
        </w:tabs>
        <w:ind w:left="360" w:hanging="360"/>
      </w:pPr>
    </w:lvl>
  </w:abstractNum>
  <w:abstractNum w:abstractNumId="127">
    <w:nsid w:val="10C765FE"/>
    <w:multiLevelType w:val="singleLevel"/>
    <w:tmpl w:val="B45CB0C8"/>
    <w:lvl w:ilvl="0">
      <w:start w:val="220"/>
      <w:numFmt w:val="decimal"/>
      <w:lvlText w:val="%1."/>
      <w:lvlJc w:val="left"/>
      <w:pPr>
        <w:tabs>
          <w:tab w:val="num" w:pos="360"/>
        </w:tabs>
        <w:ind w:left="360" w:hanging="360"/>
      </w:pPr>
    </w:lvl>
  </w:abstractNum>
  <w:abstractNum w:abstractNumId="128">
    <w:nsid w:val="10FF458A"/>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29">
    <w:nsid w:val="112F6926"/>
    <w:multiLevelType w:val="singleLevel"/>
    <w:tmpl w:val="0419000F"/>
    <w:lvl w:ilvl="0">
      <w:start w:val="1"/>
      <w:numFmt w:val="decimal"/>
      <w:lvlText w:val="%1."/>
      <w:lvlJc w:val="left"/>
      <w:pPr>
        <w:tabs>
          <w:tab w:val="num" w:pos="360"/>
        </w:tabs>
        <w:ind w:left="360" w:hanging="360"/>
      </w:pPr>
    </w:lvl>
  </w:abstractNum>
  <w:abstractNum w:abstractNumId="130">
    <w:nsid w:val="11662A1D"/>
    <w:multiLevelType w:val="singleLevel"/>
    <w:tmpl w:val="9654B976"/>
    <w:lvl w:ilvl="0">
      <w:start w:val="154"/>
      <w:numFmt w:val="decimal"/>
      <w:lvlText w:val="%1."/>
      <w:lvlJc w:val="left"/>
      <w:pPr>
        <w:tabs>
          <w:tab w:val="num" w:pos="624"/>
        </w:tabs>
        <w:ind w:left="624" w:hanging="624"/>
      </w:pPr>
    </w:lvl>
  </w:abstractNum>
  <w:abstractNum w:abstractNumId="131">
    <w:nsid w:val="11732A7B"/>
    <w:multiLevelType w:val="singleLevel"/>
    <w:tmpl w:val="BC0CA9DA"/>
    <w:lvl w:ilvl="0">
      <w:start w:val="3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2">
    <w:nsid w:val="117E332E"/>
    <w:multiLevelType w:val="multilevel"/>
    <w:tmpl w:val="568A88C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3">
    <w:nsid w:val="11DC62FD"/>
    <w:multiLevelType w:val="singleLevel"/>
    <w:tmpl w:val="28603432"/>
    <w:lvl w:ilvl="0">
      <w:start w:val="363"/>
      <w:numFmt w:val="decimal"/>
      <w:lvlText w:val="%1."/>
      <w:lvlJc w:val="left"/>
      <w:pPr>
        <w:tabs>
          <w:tab w:val="num" w:pos="360"/>
        </w:tabs>
        <w:ind w:left="360" w:hanging="360"/>
      </w:pPr>
    </w:lvl>
  </w:abstractNum>
  <w:abstractNum w:abstractNumId="134">
    <w:nsid w:val="11FB7B1A"/>
    <w:multiLevelType w:val="singleLevel"/>
    <w:tmpl w:val="EE1EB2E2"/>
    <w:lvl w:ilvl="0">
      <w:start w:val="3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5">
    <w:nsid w:val="12184540"/>
    <w:multiLevelType w:val="singleLevel"/>
    <w:tmpl w:val="940AB8B2"/>
    <w:lvl w:ilvl="0">
      <w:start w:val="94"/>
      <w:numFmt w:val="decimal"/>
      <w:lvlText w:val="%1."/>
      <w:lvlJc w:val="left"/>
      <w:pPr>
        <w:tabs>
          <w:tab w:val="num" w:pos="360"/>
        </w:tabs>
        <w:ind w:left="360" w:hanging="360"/>
      </w:pPr>
    </w:lvl>
  </w:abstractNum>
  <w:abstractNum w:abstractNumId="136">
    <w:nsid w:val="122B324D"/>
    <w:multiLevelType w:val="singleLevel"/>
    <w:tmpl w:val="CFD0E38E"/>
    <w:lvl w:ilvl="0">
      <w:start w:val="3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7">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124E7954"/>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139">
    <w:nsid w:val="124E7E75"/>
    <w:multiLevelType w:val="singleLevel"/>
    <w:tmpl w:val="2D6AC558"/>
    <w:lvl w:ilvl="0">
      <w:start w:val="3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0">
    <w:nsid w:val="128A76E3"/>
    <w:multiLevelType w:val="singleLevel"/>
    <w:tmpl w:val="2850F2E6"/>
    <w:lvl w:ilvl="0">
      <w:start w:val="471"/>
      <w:numFmt w:val="decimal"/>
      <w:lvlText w:val="%1."/>
      <w:lvlJc w:val="left"/>
      <w:pPr>
        <w:tabs>
          <w:tab w:val="num" w:pos="360"/>
        </w:tabs>
        <w:ind w:left="360" w:hanging="360"/>
      </w:pPr>
    </w:lvl>
  </w:abstractNum>
  <w:abstractNum w:abstractNumId="141">
    <w:nsid w:val="13962072"/>
    <w:multiLevelType w:val="singleLevel"/>
    <w:tmpl w:val="D98C7C6A"/>
    <w:lvl w:ilvl="0">
      <w:numFmt w:val="bullet"/>
      <w:lvlText w:val="-"/>
      <w:lvlJc w:val="left"/>
      <w:pPr>
        <w:tabs>
          <w:tab w:val="num" w:pos="360"/>
        </w:tabs>
        <w:ind w:left="360" w:hanging="360"/>
      </w:pPr>
      <w:rPr>
        <w:rFonts w:hint="default"/>
      </w:rPr>
    </w:lvl>
  </w:abstractNum>
  <w:abstractNum w:abstractNumId="142">
    <w:nsid w:val="139B45D1"/>
    <w:multiLevelType w:val="singleLevel"/>
    <w:tmpl w:val="6E1A4434"/>
    <w:lvl w:ilvl="0">
      <w:start w:val="345"/>
      <w:numFmt w:val="decimal"/>
      <w:lvlText w:val="%1."/>
      <w:lvlJc w:val="left"/>
      <w:pPr>
        <w:tabs>
          <w:tab w:val="num" w:pos="720"/>
        </w:tabs>
        <w:ind w:left="720" w:hanging="720"/>
      </w:pPr>
      <w:rPr>
        <w:rFonts w:hint="default"/>
      </w:rPr>
    </w:lvl>
  </w:abstractNum>
  <w:abstractNum w:abstractNumId="143">
    <w:nsid w:val="13BA741B"/>
    <w:multiLevelType w:val="singleLevel"/>
    <w:tmpl w:val="F8DA60B4"/>
    <w:lvl w:ilvl="0">
      <w:start w:val="39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4">
    <w:nsid w:val="13D752B5"/>
    <w:multiLevelType w:val="singleLevel"/>
    <w:tmpl w:val="0419000F"/>
    <w:lvl w:ilvl="0">
      <w:start w:val="1"/>
      <w:numFmt w:val="decimal"/>
      <w:lvlText w:val="%1."/>
      <w:lvlJc w:val="left"/>
      <w:pPr>
        <w:tabs>
          <w:tab w:val="num" w:pos="360"/>
        </w:tabs>
        <w:ind w:left="360" w:hanging="360"/>
      </w:pPr>
    </w:lvl>
  </w:abstractNum>
  <w:abstractNum w:abstractNumId="145">
    <w:nsid w:val="14023BCB"/>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146">
    <w:nsid w:val="14C87F4D"/>
    <w:multiLevelType w:val="singleLevel"/>
    <w:tmpl w:val="0D6AE728"/>
    <w:lvl w:ilvl="0">
      <w:start w:val="72"/>
      <w:numFmt w:val="decimal"/>
      <w:lvlText w:val="%1."/>
      <w:lvlJc w:val="left"/>
      <w:pPr>
        <w:tabs>
          <w:tab w:val="num" w:pos="360"/>
        </w:tabs>
        <w:ind w:left="360" w:hanging="360"/>
      </w:pPr>
    </w:lvl>
  </w:abstractNum>
  <w:abstractNum w:abstractNumId="147">
    <w:nsid w:val="14DA3638"/>
    <w:multiLevelType w:val="singleLevel"/>
    <w:tmpl w:val="C91A934A"/>
    <w:lvl w:ilvl="0">
      <w:start w:val="88"/>
      <w:numFmt w:val="decimal"/>
      <w:lvlText w:val="%1."/>
      <w:lvlJc w:val="left"/>
      <w:pPr>
        <w:tabs>
          <w:tab w:val="num" w:pos="360"/>
        </w:tabs>
        <w:ind w:left="360" w:hanging="360"/>
      </w:pPr>
    </w:lvl>
  </w:abstractNum>
  <w:abstractNum w:abstractNumId="148">
    <w:nsid w:val="14EA1935"/>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149">
    <w:nsid w:val="14F9394E"/>
    <w:multiLevelType w:val="singleLevel"/>
    <w:tmpl w:val="4AB8DD0C"/>
    <w:lvl w:ilvl="0">
      <w:start w:val="3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0">
    <w:nsid w:val="153B22AC"/>
    <w:multiLevelType w:val="singleLevel"/>
    <w:tmpl w:val="9A44945A"/>
    <w:lvl w:ilvl="0">
      <w:start w:val="339"/>
      <w:numFmt w:val="decimal"/>
      <w:lvlText w:val="%1. "/>
      <w:legacy w:legacy="1" w:legacySpace="0" w:legacyIndent="283"/>
      <w:lvlJc w:val="left"/>
      <w:pPr>
        <w:ind w:left="568" w:hanging="283"/>
      </w:pPr>
      <w:rPr>
        <w:rFonts w:ascii="Times New Roman" w:hAnsi="Times New Roman" w:hint="default"/>
        <w:b w:val="0"/>
        <w:i w:val="0"/>
        <w:sz w:val="28"/>
        <w:u w:val="none"/>
      </w:rPr>
    </w:lvl>
  </w:abstractNum>
  <w:abstractNum w:abstractNumId="151">
    <w:nsid w:val="157A1BB6"/>
    <w:multiLevelType w:val="multilevel"/>
    <w:tmpl w:val="13422820"/>
    <w:lvl w:ilvl="0">
      <w:start w:val="1"/>
      <w:numFmt w:val="bullet"/>
      <w:lvlText w:val=""/>
      <w:lvlJc w:val="left"/>
      <w:pPr>
        <w:tabs>
          <w:tab w:val="num" w:pos="720"/>
        </w:tabs>
        <w:ind w:left="720" w:hanging="360"/>
      </w:pPr>
      <w:rPr>
        <w:rFonts w:ascii="Symbol" w:hAnsi="Symbol" w:hint="default"/>
      </w:rPr>
    </w:lvl>
    <w:lvl w:ilvl="1">
      <w:start w:val="130"/>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15841ECE"/>
    <w:multiLevelType w:val="singleLevel"/>
    <w:tmpl w:val="D6B09A80"/>
    <w:lvl w:ilvl="0">
      <w:start w:val="330"/>
      <w:numFmt w:val="decimal"/>
      <w:lvlText w:val="%1."/>
      <w:lvlJc w:val="left"/>
      <w:pPr>
        <w:tabs>
          <w:tab w:val="num" w:pos="360"/>
        </w:tabs>
        <w:ind w:left="360" w:hanging="360"/>
      </w:pPr>
    </w:lvl>
  </w:abstractNum>
  <w:abstractNum w:abstractNumId="153">
    <w:nsid w:val="15B9011D"/>
    <w:multiLevelType w:val="singleLevel"/>
    <w:tmpl w:val="DCEA7616"/>
    <w:lvl w:ilvl="0">
      <w:start w:val="3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4">
    <w:nsid w:val="16377657"/>
    <w:multiLevelType w:val="singleLevel"/>
    <w:tmpl w:val="5EDCAA04"/>
    <w:lvl w:ilvl="0">
      <w:start w:val="3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5">
    <w:nsid w:val="165A4051"/>
    <w:multiLevelType w:val="singleLevel"/>
    <w:tmpl w:val="31BED498"/>
    <w:lvl w:ilvl="0">
      <w:start w:val="403"/>
      <w:numFmt w:val="decimal"/>
      <w:lvlText w:val="%1."/>
      <w:lvlJc w:val="left"/>
      <w:pPr>
        <w:tabs>
          <w:tab w:val="num" w:pos="720"/>
        </w:tabs>
        <w:ind w:left="720" w:hanging="720"/>
      </w:pPr>
      <w:rPr>
        <w:rFonts w:hint="default"/>
      </w:rPr>
    </w:lvl>
  </w:abstractNum>
  <w:abstractNum w:abstractNumId="156">
    <w:nsid w:val="169F0E84"/>
    <w:multiLevelType w:val="singleLevel"/>
    <w:tmpl w:val="40A45CA2"/>
    <w:lvl w:ilvl="0">
      <w:start w:val="33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7">
    <w:nsid w:val="16E5061A"/>
    <w:multiLevelType w:val="singleLevel"/>
    <w:tmpl w:val="9538EF2C"/>
    <w:lvl w:ilvl="0">
      <w:start w:val="3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8">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159">
    <w:nsid w:val="174D0CC4"/>
    <w:multiLevelType w:val="singleLevel"/>
    <w:tmpl w:val="DE504FBE"/>
    <w:lvl w:ilvl="0">
      <w:start w:val="4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0">
    <w:nsid w:val="17555F5B"/>
    <w:multiLevelType w:val="singleLevel"/>
    <w:tmpl w:val="03BE0CA6"/>
    <w:lvl w:ilvl="0">
      <w:start w:val="34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176B15EB"/>
    <w:multiLevelType w:val="singleLevel"/>
    <w:tmpl w:val="2998EFE2"/>
    <w:lvl w:ilvl="0">
      <w:start w:val="37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63">
    <w:nsid w:val="17CF1789"/>
    <w:multiLevelType w:val="singleLevel"/>
    <w:tmpl w:val="CA940702"/>
    <w:lvl w:ilvl="0">
      <w:start w:val="71"/>
      <w:numFmt w:val="decimal"/>
      <w:lvlText w:val="%1."/>
      <w:lvlJc w:val="left"/>
      <w:pPr>
        <w:tabs>
          <w:tab w:val="num" w:pos="360"/>
        </w:tabs>
        <w:ind w:left="360" w:hanging="360"/>
      </w:pPr>
    </w:lvl>
  </w:abstractNum>
  <w:abstractNum w:abstractNumId="164">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165">
    <w:nsid w:val="17E13F70"/>
    <w:multiLevelType w:val="singleLevel"/>
    <w:tmpl w:val="D98C7C6A"/>
    <w:lvl w:ilvl="0">
      <w:numFmt w:val="bullet"/>
      <w:lvlText w:val="-"/>
      <w:lvlJc w:val="left"/>
      <w:pPr>
        <w:tabs>
          <w:tab w:val="num" w:pos="360"/>
        </w:tabs>
        <w:ind w:left="360" w:hanging="360"/>
      </w:pPr>
      <w:rPr>
        <w:rFonts w:hint="default"/>
      </w:rPr>
    </w:lvl>
  </w:abstractNum>
  <w:abstractNum w:abstractNumId="166">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7">
    <w:nsid w:val="18900757"/>
    <w:multiLevelType w:val="singleLevel"/>
    <w:tmpl w:val="EB78E1B4"/>
    <w:lvl w:ilvl="0">
      <w:start w:val="271"/>
      <w:numFmt w:val="decimal"/>
      <w:lvlText w:val="%1."/>
      <w:lvlJc w:val="left"/>
      <w:pPr>
        <w:tabs>
          <w:tab w:val="num" w:pos="360"/>
        </w:tabs>
        <w:ind w:left="360" w:hanging="360"/>
      </w:pPr>
    </w:lvl>
  </w:abstractNum>
  <w:abstractNum w:abstractNumId="168">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169">
    <w:nsid w:val="18F63EED"/>
    <w:multiLevelType w:val="singleLevel"/>
    <w:tmpl w:val="B11E5E4E"/>
    <w:lvl w:ilvl="0">
      <w:start w:val="4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190D3967"/>
    <w:multiLevelType w:val="singleLevel"/>
    <w:tmpl w:val="0419000F"/>
    <w:lvl w:ilvl="0">
      <w:start w:val="1"/>
      <w:numFmt w:val="decimal"/>
      <w:lvlText w:val="%1."/>
      <w:lvlJc w:val="left"/>
      <w:pPr>
        <w:tabs>
          <w:tab w:val="num" w:pos="360"/>
        </w:tabs>
        <w:ind w:left="360" w:hanging="360"/>
      </w:pPr>
    </w:lvl>
  </w:abstractNum>
  <w:abstractNum w:abstractNumId="171">
    <w:nsid w:val="19120169"/>
    <w:multiLevelType w:val="singleLevel"/>
    <w:tmpl w:val="92CE5326"/>
    <w:lvl w:ilvl="0">
      <w:start w:val="3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19230F67"/>
    <w:multiLevelType w:val="singleLevel"/>
    <w:tmpl w:val="064AB7B4"/>
    <w:lvl w:ilvl="0">
      <w:start w:val="331"/>
      <w:numFmt w:val="decimal"/>
      <w:lvlText w:val="%1."/>
      <w:lvlJc w:val="left"/>
      <w:pPr>
        <w:tabs>
          <w:tab w:val="num" w:pos="720"/>
        </w:tabs>
        <w:ind w:left="720" w:hanging="720"/>
      </w:pPr>
      <w:rPr>
        <w:rFonts w:hint="default"/>
        <w:b/>
      </w:rPr>
    </w:lvl>
  </w:abstractNum>
  <w:abstractNum w:abstractNumId="173">
    <w:nsid w:val="1931103E"/>
    <w:multiLevelType w:val="singleLevel"/>
    <w:tmpl w:val="0419000F"/>
    <w:lvl w:ilvl="0">
      <w:start w:val="1"/>
      <w:numFmt w:val="decimal"/>
      <w:lvlText w:val="%1."/>
      <w:lvlJc w:val="left"/>
      <w:pPr>
        <w:tabs>
          <w:tab w:val="num" w:pos="360"/>
        </w:tabs>
        <w:ind w:left="360" w:hanging="360"/>
      </w:pPr>
    </w:lvl>
  </w:abstractNum>
  <w:abstractNum w:abstractNumId="174">
    <w:nsid w:val="1948032B"/>
    <w:multiLevelType w:val="singleLevel"/>
    <w:tmpl w:val="A7D41F14"/>
    <w:lvl w:ilvl="0">
      <w:start w:val="393"/>
      <w:numFmt w:val="decimal"/>
      <w:lvlText w:val="%1."/>
      <w:lvlJc w:val="left"/>
      <w:pPr>
        <w:tabs>
          <w:tab w:val="num" w:pos="360"/>
        </w:tabs>
        <w:ind w:left="360" w:hanging="360"/>
      </w:pPr>
    </w:lvl>
  </w:abstractNum>
  <w:abstractNum w:abstractNumId="175">
    <w:nsid w:val="19657B11"/>
    <w:multiLevelType w:val="singleLevel"/>
    <w:tmpl w:val="99E6BC32"/>
    <w:lvl w:ilvl="0">
      <w:start w:val="355"/>
      <w:numFmt w:val="decimal"/>
      <w:lvlText w:val="%1."/>
      <w:lvlJc w:val="left"/>
      <w:pPr>
        <w:tabs>
          <w:tab w:val="num" w:pos="360"/>
        </w:tabs>
        <w:ind w:left="360" w:hanging="360"/>
      </w:pPr>
    </w:lvl>
  </w:abstractNum>
  <w:abstractNum w:abstractNumId="176">
    <w:nsid w:val="198D79E4"/>
    <w:multiLevelType w:val="singleLevel"/>
    <w:tmpl w:val="C164CA86"/>
    <w:lvl w:ilvl="0">
      <w:start w:val="384"/>
      <w:numFmt w:val="decimal"/>
      <w:lvlText w:val="%1."/>
      <w:lvlJc w:val="left"/>
      <w:pPr>
        <w:tabs>
          <w:tab w:val="num" w:pos="360"/>
        </w:tabs>
        <w:ind w:left="0" w:firstLine="0"/>
      </w:pPr>
    </w:lvl>
  </w:abstractNum>
  <w:abstractNum w:abstractNumId="177">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178">
    <w:nsid w:val="19BC6E76"/>
    <w:multiLevelType w:val="singleLevel"/>
    <w:tmpl w:val="286887F8"/>
    <w:lvl w:ilvl="0">
      <w:start w:val="289"/>
      <w:numFmt w:val="decimal"/>
      <w:lvlText w:val="%1."/>
      <w:lvlJc w:val="left"/>
      <w:pPr>
        <w:tabs>
          <w:tab w:val="num" w:pos="360"/>
        </w:tabs>
        <w:ind w:left="360" w:hanging="360"/>
      </w:pPr>
    </w:lvl>
  </w:abstractNum>
  <w:abstractNum w:abstractNumId="179">
    <w:nsid w:val="19EA4C1D"/>
    <w:multiLevelType w:val="singleLevel"/>
    <w:tmpl w:val="EB78E1B4"/>
    <w:lvl w:ilvl="0">
      <w:start w:val="271"/>
      <w:numFmt w:val="decimal"/>
      <w:lvlText w:val="%1."/>
      <w:lvlJc w:val="left"/>
      <w:pPr>
        <w:tabs>
          <w:tab w:val="num" w:pos="360"/>
        </w:tabs>
        <w:ind w:left="360" w:hanging="360"/>
      </w:pPr>
    </w:lvl>
  </w:abstractNum>
  <w:abstractNum w:abstractNumId="180">
    <w:nsid w:val="19FB71F3"/>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81">
    <w:nsid w:val="1A055891"/>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82">
    <w:nsid w:val="1A072A1D"/>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83">
    <w:nsid w:val="1AB125B3"/>
    <w:multiLevelType w:val="singleLevel"/>
    <w:tmpl w:val="D98C7C6A"/>
    <w:lvl w:ilvl="0">
      <w:numFmt w:val="bullet"/>
      <w:lvlText w:val="-"/>
      <w:lvlJc w:val="left"/>
      <w:pPr>
        <w:tabs>
          <w:tab w:val="num" w:pos="360"/>
        </w:tabs>
        <w:ind w:left="360" w:hanging="360"/>
      </w:pPr>
      <w:rPr>
        <w:rFonts w:hint="default"/>
      </w:rPr>
    </w:lvl>
  </w:abstractNum>
  <w:abstractNum w:abstractNumId="184">
    <w:nsid w:val="1ABE2D86"/>
    <w:multiLevelType w:val="singleLevel"/>
    <w:tmpl w:val="8B12959E"/>
    <w:lvl w:ilvl="0">
      <w:start w:val="101"/>
      <w:numFmt w:val="decimal"/>
      <w:lvlText w:val="%1."/>
      <w:lvlJc w:val="left"/>
      <w:pPr>
        <w:tabs>
          <w:tab w:val="num" w:pos="624"/>
        </w:tabs>
        <w:ind w:left="624" w:hanging="624"/>
      </w:pPr>
    </w:lvl>
  </w:abstractNum>
  <w:abstractNum w:abstractNumId="185">
    <w:nsid w:val="1AD33E17"/>
    <w:multiLevelType w:val="singleLevel"/>
    <w:tmpl w:val="956608E2"/>
    <w:lvl w:ilvl="0">
      <w:start w:val="3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6">
    <w:nsid w:val="1AD811F5"/>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87">
    <w:nsid w:val="1AE87479"/>
    <w:multiLevelType w:val="singleLevel"/>
    <w:tmpl w:val="51349E1C"/>
    <w:lvl w:ilvl="0">
      <w:start w:val="92"/>
      <w:numFmt w:val="decimal"/>
      <w:lvlText w:val="%1."/>
      <w:lvlJc w:val="left"/>
      <w:pPr>
        <w:tabs>
          <w:tab w:val="num" w:pos="360"/>
        </w:tabs>
        <w:ind w:left="360" w:hanging="360"/>
      </w:pPr>
    </w:lvl>
  </w:abstractNum>
  <w:abstractNum w:abstractNumId="188">
    <w:nsid w:val="1AF56244"/>
    <w:multiLevelType w:val="singleLevel"/>
    <w:tmpl w:val="445CCA42"/>
    <w:lvl w:ilvl="0">
      <w:start w:val="3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9">
    <w:nsid w:val="1B0006BE"/>
    <w:multiLevelType w:val="singleLevel"/>
    <w:tmpl w:val="6AE8CDD4"/>
    <w:lvl w:ilvl="0">
      <w:start w:val="260"/>
      <w:numFmt w:val="decimal"/>
      <w:lvlText w:val="%1."/>
      <w:lvlJc w:val="left"/>
      <w:pPr>
        <w:tabs>
          <w:tab w:val="num" w:pos="360"/>
        </w:tabs>
        <w:ind w:left="360" w:hanging="360"/>
      </w:pPr>
    </w:lvl>
  </w:abstractNum>
  <w:abstractNum w:abstractNumId="190">
    <w:nsid w:val="1B1059D1"/>
    <w:multiLevelType w:val="singleLevel"/>
    <w:tmpl w:val="F9BA0784"/>
    <w:lvl w:ilvl="0">
      <w:start w:val="3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1">
    <w:nsid w:val="1B176AD4"/>
    <w:multiLevelType w:val="singleLevel"/>
    <w:tmpl w:val="44AE2E64"/>
    <w:lvl w:ilvl="0">
      <w:start w:val="181"/>
      <w:numFmt w:val="decimal"/>
      <w:lvlText w:val="%1."/>
      <w:lvlJc w:val="left"/>
      <w:pPr>
        <w:tabs>
          <w:tab w:val="num" w:pos="360"/>
        </w:tabs>
        <w:ind w:left="360" w:hanging="360"/>
      </w:pPr>
    </w:lvl>
  </w:abstractNum>
  <w:abstractNum w:abstractNumId="192">
    <w:nsid w:val="1B49745F"/>
    <w:multiLevelType w:val="singleLevel"/>
    <w:tmpl w:val="8C8AFE16"/>
    <w:lvl w:ilvl="0">
      <w:start w:val="463"/>
      <w:numFmt w:val="decimal"/>
      <w:lvlText w:val="%1."/>
      <w:lvlJc w:val="left"/>
      <w:pPr>
        <w:tabs>
          <w:tab w:val="num" w:pos="360"/>
        </w:tabs>
        <w:ind w:left="360" w:hanging="360"/>
      </w:pPr>
    </w:lvl>
  </w:abstractNum>
  <w:abstractNum w:abstractNumId="193">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94">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95">
    <w:nsid w:val="1BD14D6F"/>
    <w:multiLevelType w:val="multilevel"/>
    <w:tmpl w:val="1A4E86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6">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97">
    <w:nsid w:val="1C45437F"/>
    <w:multiLevelType w:val="singleLevel"/>
    <w:tmpl w:val="4798FD5E"/>
    <w:lvl w:ilvl="0">
      <w:start w:val="38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8">
    <w:nsid w:val="1C6508F8"/>
    <w:multiLevelType w:val="singleLevel"/>
    <w:tmpl w:val="7214C382"/>
    <w:lvl w:ilvl="0">
      <w:start w:val="39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9">
    <w:nsid w:val="1C773D2C"/>
    <w:multiLevelType w:val="singleLevel"/>
    <w:tmpl w:val="EA9AD008"/>
    <w:lvl w:ilvl="0">
      <w:start w:val="3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0">
    <w:nsid w:val="1CBC185E"/>
    <w:multiLevelType w:val="singleLevel"/>
    <w:tmpl w:val="1A267F96"/>
    <w:lvl w:ilvl="0">
      <w:start w:val="4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1CC72A38"/>
    <w:multiLevelType w:val="singleLevel"/>
    <w:tmpl w:val="04190001"/>
    <w:lvl w:ilvl="0">
      <w:start w:val="198"/>
      <w:numFmt w:val="bullet"/>
      <w:lvlText w:val=""/>
      <w:lvlJc w:val="left"/>
      <w:pPr>
        <w:tabs>
          <w:tab w:val="num" w:pos="360"/>
        </w:tabs>
        <w:ind w:left="360" w:hanging="360"/>
      </w:pPr>
      <w:rPr>
        <w:rFonts w:ascii="Symbol" w:hAnsi="Symbol" w:hint="default"/>
      </w:rPr>
    </w:lvl>
  </w:abstractNum>
  <w:abstractNum w:abstractNumId="202">
    <w:nsid w:val="1CD3103A"/>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03">
    <w:nsid w:val="1CEB1E35"/>
    <w:multiLevelType w:val="singleLevel"/>
    <w:tmpl w:val="3B3CDBAE"/>
    <w:lvl w:ilvl="0">
      <w:start w:val="40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1D6D1C15"/>
    <w:multiLevelType w:val="singleLevel"/>
    <w:tmpl w:val="179E7CEA"/>
    <w:lvl w:ilvl="0">
      <w:start w:val="4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5">
    <w:nsid w:val="1D981614"/>
    <w:multiLevelType w:val="singleLevel"/>
    <w:tmpl w:val="8AD46BF0"/>
    <w:lvl w:ilvl="0">
      <w:start w:val="157"/>
      <w:numFmt w:val="decimal"/>
      <w:lvlText w:val="%1."/>
      <w:lvlJc w:val="left"/>
      <w:pPr>
        <w:tabs>
          <w:tab w:val="num" w:pos="624"/>
        </w:tabs>
        <w:ind w:left="624" w:hanging="624"/>
      </w:pPr>
    </w:lvl>
  </w:abstractNum>
  <w:abstractNum w:abstractNumId="206">
    <w:nsid w:val="1D9A499B"/>
    <w:multiLevelType w:val="singleLevel"/>
    <w:tmpl w:val="B3A8B37E"/>
    <w:lvl w:ilvl="0">
      <w:start w:val="100"/>
      <w:numFmt w:val="decimal"/>
      <w:lvlText w:val="%1."/>
      <w:lvlJc w:val="left"/>
      <w:pPr>
        <w:tabs>
          <w:tab w:val="num" w:pos="624"/>
        </w:tabs>
        <w:ind w:left="624" w:hanging="624"/>
      </w:pPr>
    </w:lvl>
  </w:abstractNum>
  <w:abstractNum w:abstractNumId="207">
    <w:nsid w:val="1DA61E60"/>
    <w:multiLevelType w:val="singleLevel"/>
    <w:tmpl w:val="70143DC6"/>
    <w:lvl w:ilvl="0">
      <w:start w:val="338"/>
      <w:numFmt w:val="decimal"/>
      <w:lvlText w:val="%1."/>
      <w:lvlJc w:val="left"/>
      <w:pPr>
        <w:tabs>
          <w:tab w:val="num" w:pos="360"/>
        </w:tabs>
        <w:ind w:left="360" w:hanging="360"/>
      </w:pPr>
    </w:lvl>
  </w:abstractNum>
  <w:abstractNum w:abstractNumId="208">
    <w:nsid w:val="1DAD3376"/>
    <w:multiLevelType w:val="singleLevel"/>
    <w:tmpl w:val="BDCCEA6E"/>
    <w:lvl w:ilvl="0">
      <w:start w:val="123"/>
      <w:numFmt w:val="decimal"/>
      <w:lvlText w:val="%1."/>
      <w:lvlJc w:val="left"/>
      <w:pPr>
        <w:tabs>
          <w:tab w:val="num" w:pos="360"/>
        </w:tabs>
        <w:ind w:left="360" w:hanging="360"/>
      </w:pPr>
    </w:lvl>
  </w:abstractNum>
  <w:abstractNum w:abstractNumId="209">
    <w:nsid w:val="1DB5545E"/>
    <w:multiLevelType w:val="singleLevel"/>
    <w:tmpl w:val="B5ACFCD2"/>
    <w:lvl w:ilvl="0">
      <w:start w:val="87"/>
      <w:numFmt w:val="decimal"/>
      <w:lvlText w:val="%1."/>
      <w:lvlJc w:val="left"/>
      <w:pPr>
        <w:tabs>
          <w:tab w:val="num" w:pos="360"/>
        </w:tabs>
        <w:ind w:left="360" w:hanging="360"/>
      </w:pPr>
    </w:lvl>
  </w:abstractNum>
  <w:abstractNum w:abstractNumId="210">
    <w:nsid w:val="1DC0126C"/>
    <w:multiLevelType w:val="singleLevel"/>
    <w:tmpl w:val="F322F05E"/>
    <w:lvl w:ilvl="0">
      <w:start w:val="4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1DE7569B"/>
    <w:multiLevelType w:val="singleLevel"/>
    <w:tmpl w:val="DA50B50C"/>
    <w:lvl w:ilvl="0">
      <w:start w:val="474"/>
      <w:numFmt w:val="decimal"/>
      <w:lvlText w:val="%1."/>
      <w:lvlJc w:val="left"/>
      <w:pPr>
        <w:tabs>
          <w:tab w:val="num" w:pos="360"/>
        </w:tabs>
        <w:ind w:left="360" w:hanging="360"/>
      </w:pPr>
    </w:lvl>
  </w:abstractNum>
  <w:abstractNum w:abstractNumId="212">
    <w:nsid w:val="1E403796"/>
    <w:multiLevelType w:val="singleLevel"/>
    <w:tmpl w:val="7C621A74"/>
    <w:lvl w:ilvl="0">
      <w:start w:val="100"/>
      <w:numFmt w:val="decimal"/>
      <w:lvlText w:val="%1."/>
      <w:lvlJc w:val="left"/>
      <w:pPr>
        <w:tabs>
          <w:tab w:val="num" w:pos="360"/>
        </w:tabs>
        <w:ind w:left="360" w:hanging="360"/>
      </w:pPr>
    </w:lvl>
  </w:abstractNum>
  <w:abstractNum w:abstractNumId="213">
    <w:nsid w:val="1EAE2F4C"/>
    <w:multiLevelType w:val="singleLevel"/>
    <w:tmpl w:val="6C8A8058"/>
    <w:lvl w:ilvl="0">
      <w:start w:val="292"/>
      <w:numFmt w:val="decimal"/>
      <w:lvlText w:val="%1."/>
      <w:lvlJc w:val="left"/>
      <w:pPr>
        <w:tabs>
          <w:tab w:val="num" w:pos="360"/>
        </w:tabs>
        <w:ind w:left="0" w:firstLine="0"/>
      </w:pPr>
    </w:lvl>
  </w:abstractNum>
  <w:abstractNum w:abstractNumId="214">
    <w:nsid w:val="1EAF50AC"/>
    <w:multiLevelType w:val="singleLevel"/>
    <w:tmpl w:val="BC9AD2DC"/>
    <w:lvl w:ilvl="0">
      <w:start w:val="425"/>
      <w:numFmt w:val="decimal"/>
      <w:lvlText w:val="%1."/>
      <w:lvlJc w:val="left"/>
      <w:pPr>
        <w:tabs>
          <w:tab w:val="num" w:pos="360"/>
        </w:tabs>
        <w:ind w:left="360" w:hanging="360"/>
      </w:pPr>
    </w:lvl>
  </w:abstractNum>
  <w:abstractNum w:abstractNumId="215">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216">
    <w:nsid w:val="1EC40937"/>
    <w:multiLevelType w:val="singleLevel"/>
    <w:tmpl w:val="13085D8C"/>
    <w:lvl w:ilvl="0">
      <w:start w:val="144"/>
      <w:numFmt w:val="decimal"/>
      <w:lvlText w:val="%1."/>
      <w:lvlJc w:val="left"/>
      <w:pPr>
        <w:tabs>
          <w:tab w:val="num" w:pos="360"/>
        </w:tabs>
        <w:ind w:left="360" w:hanging="360"/>
      </w:pPr>
    </w:lvl>
  </w:abstractNum>
  <w:abstractNum w:abstractNumId="217">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18">
    <w:nsid w:val="1F177E76"/>
    <w:multiLevelType w:val="singleLevel"/>
    <w:tmpl w:val="8D06AD0E"/>
    <w:lvl w:ilvl="0">
      <w:start w:val="99"/>
      <w:numFmt w:val="decimal"/>
      <w:lvlText w:val="%1."/>
      <w:lvlJc w:val="left"/>
      <w:pPr>
        <w:tabs>
          <w:tab w:val="num" w:pos="360"/>
        </w:tabs>
        <w:ind w:left="360" w:hanging="360"/>
      </w:pPr>
    </w:lvl>
  </w:abstractNum>
  <w:abstractNum w:abstractNumId="219">
    <w:nsid w:val="1F3B5221"/>
    <w:multiLevelType w:val="singleLevel"/>
    <w:tmpl w:val="F74840EC"/>
    <w:lvl w:ilvl="0">
      <w:start w:val="3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1F507D7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21">
    <w:nsid w:val="1F732C75"/>
    <w:multiLevelType w:val="singleLevel"/>
    <w:tmpl w:val="0419000F"/>
    <w:lvl w:ilvl="0">
      <w:start w:val="1"/>
      <w:numFmt w:val="decimal"/>
      <w:lvlText w:val="%1."/>
      <w:lvlJc w:val="left"/>
      <w:pPr>
        <w:tabs>
          <w:tab w:val="num" w:pos="360"/>
        </w:tabs>
        <w:ind w:left="360" w:hanging="360"/>
      </w:pPr>
    </w:lvl>
  </w:abstractNum>
  <w:abstractNum w:abstractNumId="222">
    <w:nsid w:val="1FDE3160"/>
    <w:multiLevelType w:val="singleLevel"/>
    <w:tmpl w:val="F1C836EA"/>
    <w:lvl w:ilvl="0">
      <w:start w:val="37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3">
    <w:nsid w:val="1FE0045F"/>
    <w:multiLevelType w:val="singleLevel"/>
    <w:tmpl w:val="A1C0DF68"/>
    <w:lvl w:ilvl="0">
      <w:start w:val="36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4">
    <w:nsid w:val="20006AEA"/>
    <w:multiLevelType w:val="singleLevel"/>
    <w:tmpl w:val="BC5A47DC"/>
    <w:lvl w:ilvl="0">
      <w:start w:val="39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5">
    <w:nsid w:val="2035563D"/>
    <w:multiLevelType w:val="singleLevel"/>
    <w:tmpl w:val="65BEC466"/>
    <w:lvl w:ilvl="0">
      <w:start w:val="1"/>
      <w:numFmt w:val="bullet"/>
      <w:lvlText w:val=""/>
      <w:lvlJc w:val="left"/>
      <w:pPr>
        <w:tabs>
          <w:tab w:val="num" w:pos="1381"/>
        </w:tabs>
        <w:ind w:left="1361" w:hanging="340"/>
      </w:pPr>
      <w:rPr>
        <w:rFonts w:ascii="Wingdings" w:hAnsi="Wingdings" w:hint="default"/>
        <w:sz w:val="22"/>
      </w:rPr>
    </w:lvl>
  </w:abstractNum>
  <w:abstractNum w:abstractNumId="226">
    <w:nsid w:val="205932F3"/>
    <w:multiLevelType w:val="singleLevel"/>
    <w:tmpl w:val="D98C7C6A"/>
    <w:lvl w:ilvl="0">
      <w:numFmt w:val="bullet"/>
      <w:lvlText w:val="-"/>
      <w:lvlJc w:val="left"/>
      <w:pPr>
        <w:tabs>
          <w:tab w:val="num" w:pos="360"/>
        </w:tabs>
        <w:ind w:left="360" w:hanging="360"/>
      </w:pPr>
      <w:rPr>
        <w:rFonts w:hint="default"/>
      </w:rPr>
    </w:lvl>
  </w:abstractNum>
  <w:abstractNum w:abstractNumId="227">
    <w:nsid w:val="20A20C97"/>
    <w:multiLevelType w:val="singleLevel"/>
    <w:tmpl w:val="344E0954"/>
    <w:lvl w:ilvl="0">
      <w:start w:val="176"/>
      <w:numFmt w:val="decimal"/>
      <w:lvlText w:val="%1."/>
      <w:lvlJc w:val="left"/>
      <w:pPr>
        <w:tabs>
          <w:tab w:val="num" w:pos="360"/>
        </w:tabs>
        <w:ind w:left="360" w:hanging="360"/>
      </w:pPr>
    </w:lvl>
  </w:abstractNum>
  <w:abstractNum w:abstractNumId="228">
    <w:nsid w:val="20C025DB"/>
    <w:multiLevelType w:val="singleLevel"/>
    <w:tmpl w:val="CBE49D04"/>
    <w:lvl w:ilvl="0">
      <w:start w:val="333"/>
      <w:numFmt w:val="decimal"/>
      <w:lvlText w:val="%1."/>
      <w:lvlJc w:val="left"/>
      <w:pPr>
        <w:tabs>
          <w:tab w:val="num" w:pos="360"/>
        </w:tabs>
        <w:ind w:left="360" w:hanging="360"/>
      </w:pPr>
    </w:lvl>
  </w:abstractNum>
  <w:abstractNum w:abstractNumId="229">
    <w:nsid w:val="20C43E65"/>
    <w:multiLevelType w:val="multilevel"/>
    <w:tmpl w:val="A1ACC0D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0">
    <w:nsid w:val="20D40B7A"/>
    <w:multiLevelType w:val="singleLevel"/>
    <w:tmpl w:val="122C73FC"/>
    <w:lvl w:ilvl="0">
      <w:start w:val="36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20E76883"/>
    <w:multiLevelType w:val="singleLevel"/>
    <w:tmpl w:val="48BCD346"/>
    <w:lvl w:ilvl="0">
      <w:start w:val="3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20E76C9C"/>
    <w:multiLevelType w:val="singleLevel"/>
    <w:tmpl w:val="F7AAB71E"/>
    <w:lvl w:ilvl="0">
      <w:start w:val="3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234">
    <w:nsid w:val="21240E3D"/>
    <w:multiLevelType w:val="singleLevel"/>
    <w:tmpl w:val="D6B4312C"/>
    <w:lvl w:ilvl="0">
      <w:start w:val="39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5">
    <w:nsid w:val="213F2CAB"/>
    <w:multiLevelType w:val="singleLevel"/>
    <w:tmpl w:val="EB2E02D0"/>
    <w:lvl w:ilvl="0">
      <w:start w:val="141"/>
      <w:numFmt w:val="decimal"/>
      <w:lvlText w:val="%1."/>
      <w:lvlJc w:val="left"/>
      <w:pPr>
        <w:tabs>
          <w:tab w:val="num" w:pos="360"/>
        </w:tabs>
        <w:ind w:left="360" w:hanging="360"/>
      </w:pPr>
    </w:lvl>
  </w:abstractNum>
  <w:abstractNum w:abstractNumId="236">
    <w:nsid w:val="21531421"/>
    <w:multiLevelType w:val="singleLevel"/>
    <w:tmpl w:val="D40EA1CE"/>
    <w:lvl w:ilvl="0">
      <w:start w:val="3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7">
    <w:nsid w:val="218063A6"/>
    <w:multiLevelType w:val="singleLevel"/>
    <w:tmpl w:val="62CA395A"/>
    <w:lvl w:ilvl="0">
      <w:start w:val="110"/>
      <w:numFmt w:val="decimal"/>
      <w:lvlText w:val="%1."/>
      <w:lvlJc w:val="left"/>
      <w:pPr>
        <w:tabs>
          <w:tab w:val="num" w:pos="360"/>
        </w:tabs>
        <w:ind w:left="360" w:hanging="360"/>
      </w:pPr>
    </w:lvl>
  </w:abstractNum>
  <w:abstractNum w:abstractNumId="238">
    <w:nsid w:val="218408E1"/>
    <w:multiLevelType w:val="singleLevel"/>
    <w:tmpl w:val="BA363FE8"/>
    <w:lvl w:ilvl="0">
      <w:start w:val="39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219F0093"/>
    <w:multiLevelType w:val="singleLevel"/>
    <w:tmpl w:val="5A9C9BF8"/>
    <w:lvl w:ilvl="0">
      <w:start w:val="4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0">
    <w:nsid w:val="21CC5464"/>
    <w:multiLevelType w:val="singleLevel"/>
    <w:tmpl w:val="ADAAEEB2"/>
    <w:lvl w:ilvl="0">
      <w:numFmt w:val="bullet"/>
      <w:lvlText w:val="–"/>
      <w:lvlJc w:val="left"/>
      <w:pPr>
        <w:tabs>
          <w:tab w:val="num" w:pos="360"/>
        </w:tabs>
        <w:ind w:left="360" w:hanging="360"/>
      </w:pPr>
      <w:rPr>
        <w:rFonts w:hint="default"/>
      </w:rPr>
    </w:lvl>
  </w:abstractNum>
  <w:abstractNum w:abstractNumId="241">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242">
    <w:nsid w:val="22635599"/>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243">
    <w:nsid w:val="22914D40"/>
    <w:multiLevelType w:val="singleLevel"/>
    <w:tmpl w:val="CA940702"/>
    <w:lvl w:ilvl="0">
      <w:start w:val="71"/>
      <w:numFmt w:val="decimal"/>
      <w:lvlText w:val="%1."/>
      <w:lvlJc w:val="left"/>
      <w:pPr>
        <w:tabs>
          <w:tab w:val="num" w:pos="360"/>
        </w:tabs>
        <w:ind w:left="360" w:hanging="360"/>
      </w:pPr>
    </w:lvl>
  </w:abstractNum>
  <w:abstractNum w:abstractNumId="244">
    <w:nsid w:val="229C6A84"/>
    <w:multiLevelType w:val="singleLevel"/>
    <w:tmpl w:val="B944E7A8"/>
    <w:lvl w:ilvl="0">
      <w:start w:val="30"/>
      <w:numFmt w:val="decimal"/>
      <w:lvlText w:val="%1."/>
      <w:lvlJc w:val="left"/>
      <w:pPr>
        <w:tabs>
          <w:tab w:val="num" w:pos="360"/>
        </w:tabs>
        <w:ind w:left="360" w:hanging="360"/>
      </w:pPr>
    </w:lvl>
  </w:abstractNum>
  <w:abstractNum w:abstractNumId="245">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246">
    <w:nsid w:val="233E3592"/>
    <w:multiLevelType w:val="singleLevel"/>
    <w:tmpl w:val="974853C6"/>
    <w:lvl w:ilvl="0">
      <w:start w:val="253"/>
      <w:numFmt w:val="decimal"/>
      <w:lvlText w:val="%1."/>
      <w:lvlJc w:val="left"/>
      <w:pPr>
        <w:tabs>
          <w:tab w:val="num" w:pos="360"/>
        </w:tabs>
        <w:ind w:left="360" w:hanging="360"/>
      </w:pPr>
    </w:lvl>
  </w:abstractNum>
  <w:abstractNum w:abstractNumId="247">
    <w:nsid w:val="236B0423"/>
    <w:multiLevelType w:val="singleLevel"/>
    <w:tmpl w:val="0A5003C6"/>
    <w:lvl w:ilvl="0">
      <w:start w:val="165"/>
      <w:numFmt w:val="decimal"/>
      <w:lvlText w:val="%1."/>
      <w:lvlJc w:val="left"/>
      <w:pPr>
        <w:tabs>
          <w:tab w:val="num" w:pos="360"/>
        </w:tabs>
        <w:ind w:left="360" w:hanging="360"/>
      </w:pPr>
    </w:lvl>
  </w:abstractNum>
  <w:abstractNum w:abstractNumId="248">
    <w:nsid w:val="236F1F20"/>
    <w:multiLevelType w:val="singleLevel"/>
    <w:tmpl w:val="0D12DE58"/>
    <w:lvl w:ilvl="0">
      <w:start w:val="379"/>
      <w:numFmt w:val="decimal"/>
      <w:lvlText w:val="%1."/>
      <w:lvlJc w:val="left"/>
      <w:pPr>
        <w:tabs>
          <w:tab w:val="num" w:pos="360"/>
        </w:tabs>
        <w:ind w:left="360" w:hanging="360"/>
      </w:pPr>
    </w:lvl>
  </w:abstractNum>
  <w:abstractNum w:abstractNumId="249">
    <w:nsid w:val="23D602EB"/>
    <w:multiLevelType w:val="singleLevel"/>
    <w:tmpl w:val="3312A9B6"/>
    <w:lvl w:ilvl="0">
      <w:start w:val="39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0">
    <w:nsid w:val="23DC6B4D"/>
    <w:multiLevelType w:val="singleLevel"/>
    <w:tmpl w:val="76AC3548"/>
    <w:lvl w:ilvl="0">
      <w:start w:val="40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1">
    <w:nsid w:val="240636CE"/>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52">
    <w:nsid w:val="241040B4"/>
    <w:multiLevelType w:val="singleLevel"/>
    <w:tmpl w:val="19C4F554"/>
    <w:lvl w:ilvl="0">
      <w:start w:val="3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3">
    <w:nsid w:val="2415741E"/>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54">
    <w:nsid w:val="24225EC4"/>
    <w:multiLevelType w:val="singleLevel"/>
    <w:tmpl w:val="8DD802E6"/>
    <w:lvl w:ilvl="0">
      <w:start w:val="35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5">
    <w:nsid w:val="24464CC8"/>
    <w:multiLevelType w:val="singleLevel"/>
    <w:tmpl w:val="0644B848"/>
    <w:lvl w:ilvl="0">
      <w:start w:val="228"/>
      <w:numFmt w:val="decimal"/>
      <w:lvlText w:val="%1."/>
      <w:lvlJc w:val="left"/>
      <w:pPr>
        <w:tabs>
          <w:tab w:val="num" w:pos="360"/>
        </w:tabs>
        <w:ind w:left="360" w:hanging="360"/>
      </w:pPr>
    </w:lvl>
  </w:abstractNum>
  <w:abstractNum w:abstractNumId="256">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57">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8">
    <w:nsid w:val="248F4CD0"/>
    <w:multiLevelType w:val="singleLevel"/>
    <w:tmpl w:val="44AE2E64"/>
    <w:lvl w:ilvl="0">
      <w:start w:val="181"/>
      <w:numFmt w:val="decimal"/>
      <w:lvlText w:val="%1."/>
      <w:lvlJc w:val="left"/>
      <w:pPr>
        <w:tabs>
          <w:tab w:val="num" w:pos="360"/>
        </w:tabs>
        <w:ind w:left="360" w:hanging="360"/>
      </w:pPr>
    </w:lvl>
  </w:abstractNum>
  <w:abstractNum w:abstractNumId="259">
    <w:nsid w:val="24BB4707"/>
    <w:multiLevelType w:val="singleLevel"/>
    <w:tmpl w:val="70143DC6"/>
    <w:lvl w:ilvl="0">
      <w:start w:val="338"/>
      <w:numFmt w:val="decimal"/>
      <w:lvlText w:val="%1."/>
      <w:lvlJc w:val="left"/>
      <w:pPr>
        <w:tabs>
          <w:tab w:val="num" w:pos="360"/>
        </w:tabs>
        <w:ind w:left="360" w:hanging="360"/>
      </w:pPr>
    </w:lvl>
  </w:abstractNum>
  <w:abstractNum w:abstractNumId="260">
    <w:nsid w:val="24C37908"/>
    <w:multiLevelType w:val="singleLevel"/>
    <w:tmpl w:val="FBD0EE7A"/>
    <w:lvl w:ilvl="0">
      <w:start w:val="205"/>
      <w:numFmt w:val="decimal"/>
      <w:lvlText w:val="%1."/>
      <w:lvlJc w:val="left"/>
      <w:pPr>
        <w:tabs>
          <w:tab w:val="num" w:pos="360"/>
        </w:tabs>
        <w:ind w:left="360" w:hanging="360"/>
      </w:pPr>
    </w:lvl>
  </w:abstractNum>
  <w:abstractNum w:abstractNumId="261">
    <w:nsid w:val="25336028"/>
    <w:multiLevelType w:val="singleLevel"/>
    <w:tmpl w:val="3266C95E"/>
    <w:lvl w:ilvl="0">
      <w:start w:val="323"/>
      <w:numFmt w:val="decimal"/>
      <w:lvlText w:val="%1."/>
      <w:lvlJc w:val="left"/>
      <w:pPr>
        <w:tabs>
          <w:tab w:val="num" w:pos="360"/>
        </w:tabs>
        <w:ind w:left="360" w:hanging="360"/>
      </w:pPr>
    </w:lvl>
  </w:abstractNum>
  <w:abstractNum w:abstractNumId="262">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263">
    <w:nsid w:val="256435F1"/>
    <w:multiLevelType w:val="singleLevel"/>
    <w:tmpl w:val="45763954"/>
    <w:lvl w:ilvl="0">
      <w:start w:val="34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4">
    <w:nsid w:val="257E0D29"/>
    <w:multiLevelType w:val="singleLevel"/>
    <w:tmpl w:val="04FECD72"/>
    <w:lvl w:ilvl="0">
      <w:start w:val="339"/>
      <w:numFmt w:val="decimal"/>
      <w:lvlText w:val="%1. "/>
      <w:legacy w:legacy="1" w:legacySpace="0" w:legacyIndent="283"/>
      <w:lvlJc w:val="left"/>
      <w:pPr>
        <w:ind w:left="568" w:hanging="283"/>
      </w:pPr>
      <w:rPr>
        <w:rFonts w:ascii="Times New Roman" w:hAnsi="Times New Roman" w:hint="default"/>
        <w:b w:val="0"/>
        <w:i w:val="0"/>
        <w:sz w:val="28"/>
        <w:u w:val="none"/>
      </w:rPr>
    </w:lvl>
  </w:abstractNum>
  <w:abstractNum w:abstractNumId="265">
    <w:nsid w:val="25846B8B"/>
    <w:multiLevelType w:val="singleLevel"/>
    <w:tmpl w:val="83F6E720"/>
    <w:lvl w:ilvl="0">
      <w:start w:val="276"/>
      <w:numFmt w:val="decimal"/>
      <w:lvlText w:val="%1."/>
      <w:lvlJc w:val="left"/>
      <w:pPr>
        <w:tabs>
          <w:tab w:val="num" w:pos="360"/>
        </w:tabs>
        <w:ind w:left="360" w:hanging="360"/>
      </w:pPr>
    </w:lvl>
  </w:abstractNum>
  <w:abstractNum w:abstractNumId="266">
    <w:nsid w:val="260E20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7">
    <w:nsid w:val="264D21EC"/>
    <w:multiLevelType w:val="singleLevel"/>
    <w:tmpl w:val="4C640D34"/>
    <w:lvl w:ilvl="0">
      <w:start w:val="224"/>
      <w:numFmt w:val="decimal"/>
      <w:lvlText w:val="%1."/>
      <w:lvlJc w:val="left"/>
      <w:pPr>
        <w:tabs>
          <w:tab w:val="num" w:pos="360"/>
        </w:tabs>
        <w:ind w:left="360" w:hanging="360"/>
      </w:pPr>
    </w:lvl>
  </w:abstractNum>
  <w:abstractNum w:abstractNumId="268">
    <w:nsid w:val="265F3153"/>
    <w:multiLevelType w:val="singleLevel"/>
    <w:tmpl w:val="894EE634"/>
    <w:lvl w:ilvl="0">
      <w:start w:val="1"/>
      <w:numFmt w:val="bullet"/>
      <w:lvlText w:val=""/>
      <w:lvlJc w:val="left"/>
      <w:pPr>
        <w:tabs>
          <w:tab w:val="num" w:pos="700"/>
        </w:tabs>
        <w:ind w:left="680" w:hanging="340"/>
      </w:pPr>
      <w:rPr>
        <w:rFonts w:ascii="Symbol" w:hAnsi="Symbol" w:hint="default"/>
        <w:sz w:val="20"/>
      </w:rPr>
    </w:lvl>
  </w:abstractNum>
  <w:abstractNum w:abstractNumId="269">
    <w:nsid w:val="26CA416A"/>
    <w:multiLevelType w:val="singleLevel"/>
    <w:tmpl w:val="1FB0F7A6"/>
    <w:lvl w:ilvl="0">
      <w:start w:val="142"/>
      <w:numFmt w:val="decimal"/>
      <w:lvlText w:val="%1."/>
      <w:lvlJc w:val="left"/>
      <w:pPr>
        <w:tabs>
          <w:tab w:val="num" w:pos="360"/>
        </w:tabs>
        <w:ind w:left="360" w:hanging="360"/>
      </w:pPr>
    </w:lvl>
  </w:abstractNum>
  <w:abstractNum w:abstractNumId="270">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271">
    <w:nsid w:val="27080807"/>
    <w:multiLevelType w:val="singleLevel"/>
    <w:tmpl w:val="198C5FA4"/>
    <w:lvl w:ilvl="0">
      <w:start w:val="411"/>
      <w:numFmt w:val="decimal"/>
      <w:lvlText w:val="%1."/>
      <w:lvlJc w:val="left"/>
      <w:pPr>
        <w:tabs>
          <w:tab w:val="num" w:pos="360"/>
        </w:tabs>
        <w:ind w:left="360" w:hanging="360"/>
      </w:pPr>
    </w:lvl>
  </w:abstractNum>
  <w:abstractNum w:abstractNumId="272">
    <w:nsid w:val="27343E74"/>
    <w:multiLevelType w:val="singleLevel"/>
    <w:tmpl w:val="62FE0384"/>
    <w:lvl w:ilvl="0">
      <w:numFmt w:val="bullet"/>
      <w:lvlText w:val="-"/>
      <w:lvlJc w:val="left"/>
      <w:pPr>
        <w:tabs>
          <w:tab w:val="num" w:pos="360"/>
        </w:tabs>
        <w:ind w:left="360" w:hanging="360"/>
      </w:pPr>
      <w:rPr>
        <w:rFonts w:hint="default"/>
      </w:rPr>
    </w:lvl>
  </w:abstractNum>
  <w:abstractNum w:abstractNumId="273">
    <w:nsid w:val="27703A9A"/>
    <w:multiLevelType w:val="singleLevel"/>
    <w:tmpl w:val="B6125294"/>
    <w:lvl w:ilvl="0">
      <w:start w:val="4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4">
    <w:nsid w:val="27837893"/>
    <w:multiLevelType w:val="singleLevel"/>
    <w:tmpl w:val="F2DC8864"/>
    <w:lvl w:ilvl="0">
      <w:start w:val="4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5">
    <w:nsid w:val="278B400F"/>
    <w:multiLevelType w:val="singleLevel"/>
    <w:tmpl w:val="7B4C7C5E"/>
    <w:lvl w:ilvl="0">
      <w:start w:val="3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6">
    <w:nsid w:val="27EB0DB8"/>
    <w:multiLevelType w:val="singleLevel"/>
    <w:tmpl w:val="18D04F30"/>
    <w:lvl w:ilvl="0">
      <w:start w:val="100"/>
      <w:numFmt w:val="decimal"/>
      <w:lvlText w:val="%1."/>
      <w:lvlJc w:val="left"/>
      <w:pPr>
        <w:tabs>
          <w:tab w:val="num" w:pos="624"/>
        </w:tabs>
        <w:ind w:left="624" w:hanging="624"/>
      </w:pPr>
    </w:lvl>
  </w:abstractNum>
  <w:abstractNum w:abstractNumId="277">
    <w:nsid w:val="27F05DB1"/>
    <w:multiLevelType w:val="singleLevel"/>
    <w:tmpl w:val="D98C7C6A"/>
    <w:lvl w:ilvl="0">
      <w:numFmt w:val="bullet"/>
      <w:lvlText w:val="-"/>
      <w:lvlJc w:val="left"/>
      <w:pPr>
        <w:tabs>
          <w:tab w:val="num" w:pos="360"/>
        </w:tabs>
        <w:ind w:left="360" w:hanging="360"/>
      </w:pPr>
      <w:rPr>
        <w:rFonts w:hint="default"/>
      </w:rPr>
    </w:lvl>
  </w:abstractNum>
  <w:abstractNum w:abstractNumId="278">
    <w:nsid w:val="28310DF7"/>
    <w:multiLevelType w:val="singleLevel"/>
    <w:tmpl w:val="E7F8A53E"/>
    <w:lvl w:ilvl="0">
      <w:start w:val="4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9">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0">
    <w:nsid w:val="28755143"/>
    <w:multiLevelType w:val="singleLevel"/>
    <w:tmpl w:val="13564EEE"/>
    <w:lvl w:ilvl="0">
      <w:start w:val="257"/>
      <w:numFmt w:val="decimal"/>
      <w:lvlText w:val="%1."/>
      <w:lvlJc w:val="left"/>
      <w:pPr>
        <w:tabs>
          <w:tab w:val="num" w:pos="360"/>
        </w:tabs>
        <w:ind w:left="360" w:hanging="360"/>
      </w:pPr>
    </w:lvl>
  </w:abstractNum>
  <w:abstractNum w:abstractNumId="281">
    <w:nsid w:val="28836B9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82">
    <w:nsid w:val="28A62482"/>
    <w:multiLevelType w:val="singleLevel"/>
    <w:tmpl w:val="801AF0C4"/>
    <w:lvl w:ilvl="0">
      <w:start w:val="35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3">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284">
    <w:nsid w:val="28D93C21"/>
    <w:multiLevelType w:val="singleLevel"/>
    <w:tmpl w:val="0E60C820"/>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5">
    <w:nsid w:val="28EE77FA"/>
    <w:multiLevelType w:val="singleLevel"/>
    <w:tmpl w:val="11624234"/>
    <w:lvl w:ilvl="0">
      <w:start w:val="99"/>
      <w:numFmt w:val="decimal"/>
      <w:lvlText w:val="%1."/>
      <w:lvlJc w:val="left"/>
      <w:pPr>
        <w:tabs>
          <w:tab w:val="num" w:pos="360"/>
        </w:tabs>
        <w:ind w:left="360" w:hanging="360"/>
      </w:pPr>
    </w:lvl>
  </w:abstractNum>
  <w:abstractNum w:abstractNumId="286">
    <w:nsid w:val="291668BB"/>
    <w:multiLevelType w:val="singleLevel"/>
    <w:tmpl w:val="5B3C8B08"/>
    <w:lvl w:ilvl="0">
      <w:start w:val="243"/>
      <w:numFmt w:val="bullet"/>
      <w:lvlText w:val="-"/>
      <w:lvlJc w:val="left"/>
      <w:pPr>
        <w:tabs>
          <w:tab w:val="num" w:pos="360"/>
        </w:tabs>
        <w:ind w:left="360" w:hanging="360"/>
      </w:pPr>
      <w:rPr>
        <w:rFonts w:hint="default"/>
      </w:rPr>
    </w:lvl>
  </w:abstractNum>
  <w:abstractNum w:abstractNumId="287">
    <w:nsid w:val="29500E11"/>
    <w:multiLevelType w:val="singleLevel"/>
    <w:tmpl w:val="B6684F1A"/>
    <w:lvl w:ilvl="0">
      <w:start w:val="38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8">
    <w:nsid w:val="296073C9"/>
    <w:multiLevelType w:val="singleLevel"/>
    <w:tmpl w:val="7F405BF4"/>
    <w:lvl w:ilvl="0">
      <w:start w:val="3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9">
    <w:nsid w:val="29944978"/>
    <w:multiLevelType w:val="singleLevel"/>
    <w:tmpl w:val="C5500D30"/>
    <w:lvl w:ilvl="0">
      <w:start w:val="83"/>
      <w:numFmt w:val="decimal"/>
      <w:lvlText w:val="%1."/>
      <w:lvlJc w:val="left"/>
      <w:pPr>
        <w:tabs>
          <w:tab w:val="num" w:pos="360"/>
        </w:tabs>
        <w:ind w:left="360" w:hanging="360"/>
      </w:pPr>
    </w:lvl>
  </w:abstractNum>
  <w:abstractNum w:abstractNumId="290">
    <w:nsid w:val="299B5250"/>
    <w:multiLevelType w:val="singleLevel"/>
    <w:tmpl w:val="337A6018"/>
    <w:lvl w:ilvl="0">
      <w:start w:val="4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1">
    <w:nsid w:val="29AB5253"/>
    <w:multiLevelType w:val="singleLevel"/>
    <w:tmpl w:val="45EE22BC"/>
    <w:lvl w:ilvl="0">
      <w:start w:val="465"/>
      <w:numFmt w:val="decimal"/>
      <w:lvlText w:val="%1."/>
      <w:lvlJc w:val="left"/>
      <w:pPr>
        <w:tabs>
          <w:tab w:val="num" w:pos="360"/>
        </w:tabs>
        <w:ind w:left="360" w:hanging="360"/>
      </w:pPr>
    </w:lvl>
  </w:abstractNum>
  <w:abstractNum w:abstractNumId="292">
    <w:nsid w:val="29C64D86"/>
    <w:multiLevelType w:val="singleLevel"/>
    <w:tmpl w:val="8410BE26"/>
    <w:lvl w:ilvl="0">
      <w:start w:val="38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3">
    <w:nsid w:val="29C9419D"/>
    <w:multiLevelType w:val="singleLevel"/>
    <w:tmpl w:val="CFEACC2C"/>
    <w:lvl w:ilvl="0">
      <w:start w:val="65"/>
      <w:numFmt w:val="decimal"/>
      <w:lvlText w:val="%1."/>
      <w:lvlJc w:val="left"/>
      <w:pPr>
        <w:tabs>
          <w:tab w:val="num" w:pos="360"/>
        </w:tabs>
        <w:ind w:left="340" w:hanging="340"/>
      </w:pPr>
    </w:lvl>
  </w:abstractNum>
  <w:abstractNum w:abstractNumId="294">
    <w:nsid w:val="2A094A65"/>
    <w:multiLevelType w:val="singleLevel"/>
    <w:tmpl w:val="51349E1C"/>
    <w:lvl w:ilvl="0">
      <w:start w:val="92"/>
      <w:numFmt w:val="decimal"/>
      <w:lvlText w:val="%1."/>
      <w:lvlJc w:val="left"/>
      <w:pPr>
        <w:tabs>
          <w:tab w:val="num" w:pos="360"/>
        </w:tabs>
        <w:ind w:left="360" w:hanging="360"/>
      </w:pPr>
    </w:lvl>
  </w:abstractNum>
  <w:abstractNum w:abstractNumId="295">
    <w:nsid w:val="2A0B222B"/>
    <w:multiLevelType w:val="singleLevel"/>
    <w:tmpl w:val="BE88F3D2"/>
    <w:lvl w:ilvl="0">
      <w:start w:val="348"/>
      <w:numFmt w:val="decimal"/>
      <w:lvlText w:val="%1."/>
      <w:lvlJc w:val="left"/>
      <w:pPr>
        <w:tabs>
          <w:tab w:val="num" w:pos="360"/>
        </w:tabs>
        <w:ind w:left="360" w:hanging="360"/>
      </w:pPr>
    </w:lvl>
  </w:abstractNum>
  <w:abstractNum w:abstractNumId="296">
    <w:nsid w:val="2A774670"/>
    <w:multiLevelType w:val="singleLevel"/>
    <w:tmpl w:val="01D0D9E2"/>
    <w:lvl w:ilvl="0">
      <w:start w:val="4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7">
    <w:nsid w:val="2AE84751"/>
    <w:multiLevelType w:val="singleLevel"/>
    <w:tmpl w:val="755E186A"/>
    <w:lvl w:ilvl="0">
      <w:start w:val="110"/>
      <w:numFmt w:val="decimal"/>
      <w:lvlText w:val="%1."/>
      <w:lvlJc w:val="left"/>
      <w:pPr>
        <w:tabs>
          <w:tab w:val="num" w:pos="360"/>
        </w:tabs>
        <w:ind w:left="360" w:hanging="360"/>
      </w:pPr>
    </w:lvl>
  </w:abstractNum>
  <w:abstractNum w:abstractNumId="298">
    <w:nsid w:val="2AF231CE"/>
    <w:multiLevelType w:val="singleLevel"/>
    <w:tmpl w:val="163E87CC"/>
    <w:lvl w:ilvl="0">
      <w:start w:val="344"/>
      <w:numFmt w:val="decimal"/>
      <w:lvlText w:val="%1."/>
      <w:lvlJc w:val="left"/>
      <w:pPr>
        <w:tabs>
          <w:tab w:val="num" w:pos="360"/>
        </w:tabs>
        <w:ind w:left="360" w:hanging="360"/>
      </w:pPr>
    </w:lvl>
  </w:abstractNum>
  <w:abstractNum w:abstractNumId="299">
    <w:nsid w:val="2B0D48E4"/>
    <w:multiLevelType w:val="singleLevel"/>
    <w:tmpl w:val="1D06BCB4"/>
    <w:lvl w:ilvl="0">
      <w:start w:val="308"/>
      <w:numFmt w:val="decimal"/>
      <w:lvlText w:val="%1."/>
      <w:lvlJc w:val="left"/>
      <w:pPr>
        <w:tabs>
          <w:tab w:val="num" w:pos="360"/>
        </w:tabs>
        <w:ind w:left="360" w:hanging="360"/>
      </w:pPr>
    </w:lvl>
  </w:abstractNum>
  <w:abstractNum w:abstractNumId="300">
    <w:nsid w:val="2B104444"/>
    <w:multiLevelType w:val="singleLevel"/>
    <w:tmpl w:val="54A26292"/>
    <w:lvl w:ilvl="0">
      <w:start w:val="35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1">
    <w:nsid w:val="2B44147B"/>
    <w:multiLevelType w:val="singleLevel"/>
    <w:tmpl w:val="B0765612"/>
    <w:lvl w:ilvl="0">
      <w:start w:val="188"/>
      <w:numFmt w:val="decimal"/>
      <w:lvlText w:val="%1."/>
      <w:lvlJc w:val="left"/>
      <w:pPr>
        <w:tabs>
          <w:tab w:val="num" w:pos="360"/>
        </w:tabs>
        <w:ind w:left="360" w:hanging="360"/>
      </w:pPr>
    </w:lvl>
  </w:abstractNum>
  <w:abstractNum w:abstractNumId="302">
    <w:nsid w:val="2B784707"/>
    <w:multiLevelType w:val="singleLevel"/>
    <w:tmpl w:val="D98C7C6A"/>
    <w:lvl w:ilvl="0">
      <w:numFmt w:val="bullet"/>
      <w:lvlText w:val="-"/>
      <w:lvlJc w:val="left"/>
      <w:pPr>
        <w:tabs>
          <w:tab w:val="num" w:pos="360"/>
        </w:tabs>
        <w:ind w:left="360" w:hanging="360"/>
      </w:pPr>
      <w:rPr>
        <w:rFonts w:hint="default"/>
      </w:rPr>
    </w:lvl>
  </w:abstractNum>
  <w:abstractNum w:abstractNumId="303">
    <w:nsid w:val="2B9352A7"/>
    <w:multiLevelType w:val="singleLevel"/>
    <w:tmpl w:val="D98C7C6A"/>
    <w:lvl w:ilvl="0">
      <w:numFmt w:val="bullet"/>
      <w:lvlText w:val="-"/>
      <w:lvlJc w:val="left"/>
      <w:pPr>
        <w:tabs>
          <w:tab w:val="num" w:pos="360"/>
        </w:tabs>
        <w:ind w:left="360" w:hanging="360"/>
      </w:pPr>
      <w:rPr>
        <w:rFonts w:hint="default"/>
      </w:rPr>
    </w:lvl>
  </w:abstractNum>
  <w:abstractNum w:abstractNumId="304">
    <w:nsid w:val="2BA228B3"/>
    <w:multiLevelType w:val="singleLevel"/>
    <w:tmpl w:val="80D87F62"/>
    <w:lvl w:ilvl="0">
      <w:start w:val="334"/>
      <w:numFmt w:val="decimal"/>
      <w:lvlText w:val="%1."/>
      <w:lvlJc w:val="left"/>
      <w:pPr>
        <w:tabs>
          <w:tab w:val="num" w:pos="360"/>
        </w:tabs>
        <w:ind w:left="360" w:hanging="360"/>
      </w:pPr>
    </w:lvl>
  </w:abstractNum>
  <w:abstractNum w:abstractNumId="305">
    <w:nsid w:val="2BA804BC"/>
    <w:multiLevelType w:val="singleLevel"/>
    <w:tmpl w:val="C3AE6B26"/>
    <w:lvl w:ilvl="0">
      <w:start w:val="3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6">
    <w:nsid w:val="2BBE5120"/>
    <w:multiLevelType w:val="singleLevel"/>
    <w:tmpl w:val="42A06A96"/>
    <w:lvl w:ilvl="0">
      <w:start w:val="16"/>
      <w:numFmt w:val="decimal"/>
      <w:lvlText w:val="%1."/>
      <w:lvlJc w:val="left"/>
      <w:pPr>
        <w:tabs>
          <w:tab w:val="num" w:pos="360"/>
        </w:tabs>
        <w:ind w:left="360" w:hanging="360"/>
      </w:pPr>
    </w:lvl>
  </w:abstractNum>
  <w:abstractNum w:abstractNumId="307">
    <w:nsid w:val="2C3E0638"/>
    <w:multiLevelType w:val="singleLevel"/>
    <w:tmpl w:val="853E25B0"/>
    <w:lvl w:ilvl="0">
      <w:start w:val="3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8">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09">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10">
    <w:nsid w:val="2C666DD1"/>
    <w:multiLevelType w:val="singleLevel"/>
    <w:tmpl w:val="BE2056E8"/>
    <w:lvl w:ilvl="0">
      <w:start w:val="37"/>
      <w:numFmt w:val="decimal"/>
      <w:lvlText w:val="%1."/>
      <w:lvlJc w:val="left"/>
      <w:pPr>
        <w:tabs>
          <w:tab w:val="num" w:pos="360"/>
        </w:tabs>
        <w:ind w:left="360" w:hanging="360"/>
      </w:pPr>
    </w:lvl>
  </w:abstractNum>
  <w:abstractNum w:abstractNumId="311">
    <w:nsid w:val="2C7E269D"/>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312">
    <w:nsid w:val="2CAB69F4"/>
    <w:multiLevelType w:val="multilevel"/>
    <w:tmpl w:val="6F3259B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3">
    <w:nsid w:val="2CB55F91"/>
    <w:multiLevelType w:val="singleLevel"/>
    <w:tmpl w:val="026E94BA"/>
    <w:lvl w:ilvl="0">
      <w:start w:val="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4">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15">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316">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17">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318">
    <w:nsid w:val="2CDF263D"/>
    <w:multiLevelType w:val="singleLevel"/>
    <w:tmpl w:val="F2404A1A"/>
    <w:lvl w:ilvl="0">
      <w:start w:val="394"/>
      <w:numFmt w:val="decimal"/>
      <w:lvlText w:val="%1."/>
      <w:lvlJc w:val="left"/>
      <w:pPr>
        <w:tabs>
          <w:tab w:val="num" w:pos="360"/>
        </w:tabs>
        <w:ind w:left="0" w:firstLine="0"/>
      </w:pPr>
    </w:lvl>
  </w:abstractNum>
  <w:abstractNum w:abstractNumId="319">
    <w:nsid w:val="2CE038F9"/>
    <w:multiLevelType w:val="singleLevel"/>
    <w:tmpl w:val="80360294"/>
    <w:lvl w:ilvl="0">
      <w:start w:val="49"/>
      <w:numFmt w:val="decimal"/>
      <w:lvlText w:val="%1."/>
      <w:lvlJc w:val="left"/>
      <w:pPr>
        <w:tabs>
          <w:tab w:val="num" w:pos="360"/>
        </w:tabs>
        <w:ind w:left="360" w:hanging="360"/>
      </w:pPr>
    </w:lvl>
  </w:abstractNum>
  <w:abstractNum w:abstractNumId="320">
    <w:nsid w:val="2D376530"/>
    <w:multiLevelType w:val="singleLevel"/>
    <w:tmpl w:val="3986485C"/>
    <w:lvl w:ilvl="0">
      <w:start w:val="39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1">
    <w:nsid w:val="2D612BE3"/>
    <w:multiLevelType w:val="multilevel"/>
    <w:tmpl w:val="9FB4245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2">
    <w:nsid w:val="2D6E06A3"/>
    <w:multiLevelType w:val="singleLevel"/>
    <w:tmpl w:val="0419000F"/>
    <w:lvl w:ilvl="0">
      <w:start w:val="1"/>
      <w:numFmt w:val="decimal"/>
      <w:lvlText w:val="%1."/>
      <w:lvlJc w:val="left"/>
      <w:pPr>
        <w:tabs>
          <w:tab w:val="num" w:pos="360"/>
        </w:tabs>
        <w:ind w:left="360" w:hanging="360"/>
      </w:pPr>
    </w:lvl>
  </w:abstractNum>
  <w:abstractNum w:abstractNumId="323">
    <w:nsid w:val="2DA258D4"/>
    <w:multiLevelType w:val="singleLevel"/>
    <w:tmpl w:val="2F4A886E"/>
    <w:lvl w:ilvl="0">
      <w:start w:val="249"/>
      <w:numFmt w:val="bullet"/>
      <w:lvlText w:val="-"/>
      <w:lvlJc w:val="left"/>
      <w:pPr>
        <w:tabs>
          <w:tab w:val="num" w:pos="360"/>
        </w:tabs>
        <w:ind w:left="360" w:hanging="360"/>
      </w:pPr>
      <w:rPr>
        <w:rFonts w:hint="default"/>
      </w:rPr>
    </w:lvl>
  </w:abstractNum>
  <w:abstractNum w:abstractNumId="324">
    <w:nsid w:val="2DAC4E8A"/>
    <w:multiLevelType w:val="singleLevel"/>
    <w:tmpl w:val="8DFA31DE"/>
    <w:lvl w:ilvl="0">
      <w:start w:val="371"/>
      <w:numFmt w:val="decimal"/>
      <w:lvlText w:val="%1."/>
      <w:lvlJc w:val="left"/>
      <w:pPr>
        <w:tabs>
          <w:tab w:val="num" w:pos="360"/>
        </w:tabs>
        <w:ind w:left="360" w:hanging="360"/>
      </w:pPr>
    </w:lvl>
  </w:abstractNum>
  <w:abstractNum w:abstractNumId="325">
    <w:nsid w:val="2DC47294"/>
    <w:multiLevelType w:val="singleLevel"/>
    <w:tmpl w:val="C29EB9B8"/>
    <w:lvl w:ilvl="0">
      <w:start w:val="4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6">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327">
    <w:nsid w:val="2DD21ACC"/>
    <w:multiLevelType w:val="singleLevel"/>
    <w:tmpl w:val="7914661C"/>
    <w:lvl w:ilvl="0">
      <w:start w:val="3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8">
    <w:nsid w:val="2DEE3ED0"/>
    <w:multiLevelType w:val="singleLevel"/>
    <w:tmpl w:val="94F6085E"/>
    <w:lvl w:ilvl="0">
      <w:start w:val="1"/>
      <w:numFmt w:val="bullet"/>
      <w:lvlText w:val=""/>
      <w:lvlJc w:val="left"/>
      <w:pPr>
        <w:tabs>
          <w:tab w:val="num" w:pos="1778"/>
        </w:tabs>
        <w:ind w:left="1701" w:hanging="283"/>
      </w:pPr>
      <w:rPr>
        <w:rFonts w:ascii="Symbol" w:hAnsi="Symbol" w:hint="default"/>
        <w:sz w:val="20"/>
      </w:rPr>
    </w:lvl>
  </w:abstractNum>
  <w:abstractNum w:abstractNumId="329">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0">
    <w:nsid w:val="2E343F53"/>
    <w:multiLevelType w:val="singleLevel"/>
    <w:tmpl w:val="1AB632EE"/>
    <w:lvl w:ilvl="0">
      <w:start w:val="40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1">
    <w:nsid w:val="2E39733B"/>
    <w:multiLevelType w:val="singleLevel"/>
    <w:tmpl w:val="0E9A76F6"/>
    <w:lvl w:ilvl="0">
      <w:start w:val="15"/>
      <w:numFmt w:val="decimal"/>
      <w:lvlText w:val="%1."/>
      <w:lvlJc w:val="left"/>
      <w:pPr>
        <w:tabs>
          <w:tab w:val="num" w:pos="360"/>
        </w:tabs>
        <w:ind w:left="360" w:hanging="360"/>
      </w:pPr>
    </w:lvl>
  </w:abstractNum>
  <w:abstractNum w:abstractNumId="332">
    <w:nsid w:val="2EB64A05"/>
    <w:multiLevelType w:val="singleLevel"/>
    <w:tmpl w:val="D242C328"/>
    <w:lvl w:ilvl="0">
      <w:start w:val="35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3">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334">
    <w:nsid w:val="2ECF00E4"/>
    <w:multiLevelType w:val="singleLevel"/>
    <w:tmpl w:val="AA18EE10"/>
    <w:lvl w:ilvl="0">
      <w:start w:val="3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5">
    <w:nsid w:val="2F0209D7"/>
    <w:multiLevelType w:val="singleLevel"/>
    <w:tmpl w:val="78860D02"/>
    <w:lvl w:ilvl="0">
      <w:start w:val="38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6">
    <w:nsid w:val="2F2140EF"/>
    <w:multiLevelType w:val="singleLevel"/>
    <w:tmpl w:val="5950EED0"/>
    <w:lvl w:ilvl="0">
      <w:start w:val="314"/>
      <w:numFmt w:val="decimal"/>
      <w:lvlText w:val="%1."/>
      <w:lvlJc w:val="left"/>
      <w:pPr>
        <w:tabs>
          <w:tab w:val="num" w:pos="360"/>
        </w:tabs>
        <w:ind w:left="360" w:hanging="360"/>
      </w:pPr>
    </w:lvl>
  </w:abstractNum>
  <w:abstractNum w:abstractNumId="337">
    <w:nsid w:val="2F341B6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8">
    <w:nsid w:val="2F76038E"/>
    <w:multiLevelType w:val="singleLevel"/>
    <w:tmpl w:val="0D38706E"/>
    <w:lvl w:ilvl="0">
      <w:start w:val="34"/>
      <w:numFmt w:val="decimal"/>
      <w:lvlText w:val="%1."/>
      <w:lvlJc w:val="left"/>
      <w:pPr>
        <w:tabs>
          <w:tab w:val="num" w:pos="360"/>
        </w:tabs>
        <w:ind w:left="360" w:hanging="360"/>
      </w:pPr>
    </w:lvl>
  </w:abstractNum>
  <w:abstractNum w:abstractNumId="339">
    <w:nsid w:val="2F84143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340">
    <w:nsid w:val="30206A4C"/>
    <w:multiLevelType w:val="singleLevel"/>
    <w:tmpl w:val="743A5FD2"/>
    <w:lvl w:ilvl="0">
      <w:start w:val="4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1">
    <w:nsid w:val="306F550C"/>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342">
    <w:nsid w:val="30C9532F"/>
    <w:multiLevelType w:val="singleLevel"/>
    <w:tmpl w:val="67D01C16"/>
    <w:lvl w:ilvl="0">
      <w:start w:val="293"/>
      <w:numFmt w:val="decimal"/>
      <w:lvlText w:val="%1."/>
      <w:lvlJc w:val="left"/>
      <w:pPr>
        <w:tabs>
          <w:tab w:val="num" w:pos="360"/>
        </w:tabs>
        <w:ind w:left="360" w:hanging="360"/>
      </w:pPr>
    </w:lvl>
  </w:abstractNum>
  <w:abstractNum w:abstractNumId="343">
    <w:nsid w:val="30D75AA3"/>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344">
    <w:nsid w:val="30F72820"/>
    <w:multiLevelType w:val="multilevel"/>
    <w:tmpl w:val="0C1E31D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5">
    <w:nsid w:val="31610A3D"/>
    <w:multiLevelType w:val="multilevel"/>
    <w:tmpl w:val="0DAE0AF8"/>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46">
    <w:nsid w:val="31820C0B"/>
    <w:multiLevelType w:val="singleLevel"/>
    <w:tmpl w:val="798A0ED2"/>
    <w:lvl w:ilvl="0">
      <w:start w:val="281"/>
      <w:numFmt w:val="decimal"/>
      <w:lvlText w:val="%1."/>
      <w:lvlJc w:val="left"/>
      <w:pPr>
        <w:tabs>
          <w:tab w:val="num" w:pos="360"/>
        </w:tabs>
        <w:ind w:left="360" w:hanging="360"/>
      </w:pPr>
    </w:lvl>
  </w:abstractNum>
  <w:abstractNum w:abstractNumId="347">
    <w:nsid w:val="32080F9D"/>
    <w:multiLevelType w:val="singleLevel"/>
    <w:tmpl w:val="3CF27CAC"/>
    <w:lvl w:ilvl="0">
      <w:start w:val="353"/>
      <w:numFmt w:val="decimal"/>
      <w:lvlText w:val="%1."/>
      <w:lvlJc w:val="left"/>
      <w:pPr>
        <w:tabs>
          <w:tab w:val="num" w:pos="360"/>
        </w:tabs>
        <w:ind w:left="360" w:hanging="360"/>
      </w:pPr>
    </w:lvl>
  </w:abstractNum>
  <w:abstractNum w:abstractNumId="348">
    <w:nsid w:val="321A4A1A"/>
    <w:multiLevelType w:val="singleLevel"/>
    <w:tmpl w:val="10B8C6AC"/>
    <w:lvl w:ilvl="0">
      <w:start w:val="4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9">
    <w:nsid w:val="32540785"/>
    <w:multiLevelType w:val="singleLevel"/>
    <w:tmpl w:val="34CC07AA"/>
    <w:lvl w:ilvl="0">
      <w:start w:val="4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0">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351">
    <w:nsid w:val="32646D7A"/>
    <w:multiLevelType w:val="singleLevel"/>
    <w:tmpl w:val="482C47C6"/>
    <w:lvl w:ilvl="0">
      <w:start w:val="3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2">
    <w:nsid w:val="32995E0E"/>
    <w:multiLevelType w:val="singleLevel"/>
    <w:tmpl w:val="B6E647CC"/>
    <w:lvl w:ilvl="0">
      <w:start w:val="233"/>
      <w:numFmt w:val="decimal"/>
      <w:lvlText w:val="%1."/>
      <w:lvlJc w:val="left"/>
      <w:pPr>
        <w:tabs>
          <w:tab w:val="num" w:pos="360"/>
        </w:tabs>
        <w:ind w:left="360" w:hanging="360"/>
      </w:pPr>
    </w:lvl>
  </w:abstractNum>
  <w:abstractNum w:abstractNumId="353">
    <w:nsid w:val="32A34BE3"/>
    <w:multiLevelType w:val="multilevel"/>
    <w:tmpl w:val="0E80A8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4">
    <w:nsid w:val="32AE0778"/>
    <w:multiLevelType w:val="singleLevel"/>
    <w:tmpl w:val="DDCA232C"/>
    <w:lvl w:ilvl="0">
      <w:start w:val="129"/>
      <w:numFmt w:val="decimal"/>
      <w:lvlText w:val="%1."/>
      <w:lvlJc w:val="left"/>
      <w:pPr>
        <w:tabs>
          <w:tab w:val="num" w:pos="360"/>
        </w:tabs>
        <w:ind w:left="360" w:hanging="360"/>
      </w:pPr>
    </w:lvl>
  </w:abstractNum>
  <w:abstractNum w:abstractNumId="355">
    <w:nsid w:val="32BE56D1"/>
    <w:multiLevelType w:val="singleLevel"/>
    <w:tmpl w:val="D2AC9B30"/>
    <w:lvl w:ilvl="0">
      <w:start w:val="4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6">
    <w:nsid w:val="32C579D9"/>
    <w:multiLevelType w:val="singleLevel"/>
    <w:tmpl w:val="BEC86E64"/>
    <w:lvl w:ilvl="0">
      <w:start w:val="34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7">
    <w:nsid w:val="32EC37F1"/>
    <w:multiLevelType w:val="singleLevel"/>
    <w:tmpl w:val="F5CC58DC"/>
    <w:lvl w:ilvl="0">
      <w:start w:val="238"/>
      <w:numFmt w:val="decimal"/>
      <w:lvlText w:val="%1."/>
      <w:lvlJc w:val="left"/>
      <w:pPr>
        <w:tabs>
          <w:tab w:val="num" w:pos="360"/>
        </w:tabs>
        <w:ind w:left="360" w:hanging="360"/>
      </w:pPr>
    </w:lvl>
  </w:abstractNum>
  <w:abstractNum w:abstractNumId="358">
    <w:nsid w:val="33102689"/>
    <w:multiLevelType w:val="singleLevel"/>
    <w:tmpl w:val="325E9D5C"/>
    <w:lvl w:ilvl="0">
      <w:start w:val="431"/>
      <w:numFmt w:val="decimal"/>
      <w:lvlText w:val="%1."/>
      <w:lvlJc w:val="left"/>
      <w:pPr>
        <w:tabs>
          <w:tab w:val="num" w:pos="360"/>
        </w:tabs>
        <w:ind w:left="360" w:hanging="360"/>
      </w:pPr>
    </w:lvl>
  </w:abstractNum>
  <w:abstractNum w:abstractNumId="359">
    <w:nsid w:val="332E1BF2"/>
    <w:multiLevelType w:val="singleLevel"/>
    <w:tmpl w:val="74788E52"/>
    <w:lvl w:ilvl="0">
      <w:start w:val="3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0">
    <w:nsid w:val="3395236B"/>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361">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62">
    <w:nsid w:val="33C36B5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63">
    <w:nsid w:val="342D516E"/>
    <w:multiLevelType w:val="singleLevel"/>
    <w:tmpl w:val="89842F8C"/>
    <w:lvl w:ilvl="0">
      <w:start w:val="445"/>
      <w:numFmt w:val="decimal"/>
      <w:lvlText w:val="%1."/>
      <w:lvlJc w:val="left"/>
      <w:pPr>
        <w:tabs>
          <w:tab w:val="num" w:pos="360"/>
        </w:tabs>
        <w:ind w:left="360" w:hanging="360"/>
      </w:pPr>
    </w:lvl>
  </w:abstractNum>
  <w:abstractNum w:abstractNumId="364">
    <w:nsid w:val="34334095"/>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365">
    <w:nsid w:val="34782523"/>
    <w:multiLevelType w:val="singleLevel"/>
    <w:tmpl w:val="05362BFC"/>
    <w:lvl w:ilvl="0">
      <w:start w:val="210"/>
      <w:numFmt w:val="decimal"/>
      <w:lvlText w:val="%1."/>
      <w:lvlJc w:val="left"/>
      <w:pPr>
        <w:tabs>
          <w:tab w:val="num" w:pos="360"/>
        </w:tabs>
        <w:ind w:left="360" w:hanging="360"/>
      </w:pPr>
    </w:lvl>
  </w:abstractNum>
  <w:abstractNum w:abstractNumId="366">
    <w:nsid w:val="353B4729"/>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67">
    <w:nsid w:val="355A0B54"/>
    <w:multiLevelType w:val="singleLevel"/>
    <w:tmpl w:val="69B271C6"/>
    <w:lvl w:ilvl="0">
      <w:start w:val="38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8">
    <w:nsid w:val="356B0DD8"/>
    <w:multiLevelType w:val="singleLevel"/>
    <w:tmpl w:val="76A0565C"/>
    <w:lvl w:ilvl="0">
      <w:start w:val="4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9">
    <w:nsid w:val="35D01CEC"/>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70">
    <w:nsid w:val="35DE494C"/>
    <w:multiLevelType w:val="singleLevel"/>
    <w:tmpl w:val="D98C7C6A"/>
    <w:lvl w:ilvl="0">
      <w:numFmt w:val="bullet"/>
      <w:lvlText w:val="-"/>
      <w:lvlJc w:val="left"/>
      <w:pPr>
        <w:tabs>
          <w:tab w:val="num" w:pos="360"/>
        </w:tabs>
        <w:ind w:left="360" w:hanging="360"/>
      </w:pPr>
      <w:rPr>
        <w:rFonts w:hint="default"/>
      </w:rPr>
    </w:lvl>
  </w:abstractNum>
  <w:abstractNum w:abstractNumId="371">
    <w:nsid w:val="36476DAF"/>
    <w:multiLevelType w:val="singleLevel"/>
    <w:tmpl w:val="282C8EFA"/>
    <w:lvl w:ilvl="0">
      <w:start w:val="38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2">
    <w:nsid w:val="36800BE2"/>
    <w:multiLevelType w:val="singleLevel"/>
    <w:tmpl w:val="009A67DE"/>
    <w:lvl w:ilvl="0">
      <w:start w:val="156"/>
      <w:numFmt w:val="decimal"/>
      <w:lvlText w:val="%1."/>
      <w:lvlJc w:val="left"/>
      <w:pPr>
        <w:tabs>
          <w:tab w:val="num" w:pos="624"/>
        </w:tabs>
        <w:ind w:left="624" w:hanging="624"/>
      </w:pPr>
    </w:lvl>
  </w:abstractNum>
  <w:abstractNum w:abstractNumId="373">
    <w:nsid w:val="36830CB9"/>
    <w:multiLevelType w:val="singleLevel"/>
    <w:tmpl w:val="D98C7C6A"/>
    <w:lvl w:ilvl="0">
      <w:numFmt w:val="bullet"/>
      <w:lvlText w:val="-"/>
      <w:lvlJc w:val="left"/>
      <w:pPr>
        <w:tabs>
          <w:tab w:val="num" w:pos="360"/>
        </w:tabs>
        <w:ind w:left="360" w:hanging="360"/>
      </w:pPr>
      <w:rPr>
        <w:rFonts w:hint="default"/>
      </w:rPr>
    </w:lvl>
  </w:abstractNum>
  <w:abstractNum w:abstractNumId="374">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375">
    <w:nsid w:val="37143DED"/>
    <w:multiLevelType w:val="singleLevel"/>
    <w:tmpl w:val="C540C9F2"/>
    <w:lvl w:ilvl="0">
      <w:start w:val="3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6">
    <w:nsid w:val="3759034F"/>
    <w:multiLevelType w:val="singleLevel"/>
    <w:tmpl w:val="344E0954"/>
    <w:lvl w:ilvl="0">
      <w:start w:val="176"/>
      <w:numFmt w:val="decimal"/>
      <w:lvlText w:val="%1."/>
      <w:lvlJc w:val="left"/>
      <w:pPr>
        <w:tabs>
          <w:tab w:val="num" w:pos="360"/>
        </w:tabs>
        <w:ind w:left="360" w:hanging="360"/>
      </w:pPr>
    </w:lvl>
  </w:abstractNum>
  <w:abstractNum w:abstractNumId="377">
    <w:nsid w:val="3760294D"/>
    <w:multiLevelType w:val="singleLevel"/>
    <w:tmpl w:val="7352AFE0"/>
    <w:lvl w:ilvl="0">
      <w:start w:val="37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8">
    <w:nsid w:val="376261B0"/>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79">
    <w:nsid w:val="37685BFD"/>
    <w:multiLevelType w:val="singleLevel"/>
    <w:tmpl w:val="9B5A7A4E"/>
    <w:lvl w:ilvl="0">
      <w:start w:val="4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0">
    <w:nsid w:val="37A742A9"/>
    <w:multiLevelType w:val="singleLevel"/>
    <w:tmpl w:val="FF0ACA6E"/>
    <w:lvl w:ilvl="0">
      <w:start w:val="464"/>
      <w:numFmt w:val="decimal"/>
      <w:lvlText w:val="%1."/>
      <w:lvlJc w:val="left"/>
      <w:pPr>
        <w:tabs>
          <w:tab w:val="num" w:pos="360"/>
        </w:tabs>
        <w:ind w:left="360" w:hanging="360"/>
      </w:pPr>
    </w:lvl>
  </w:abstractNum>
  <w:abstractNum w:abstractNumId="381">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2">
    <w:nsid w:val="37AE5E14"/>
    <w:multiLevelType w:val="singleLevel"/>
    <w:tmpl w:val="B9347B9E"/>
    <w:lvl w:ilvl="0">
      <w:start w:val="4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3">
    <w:nsid w:val="37B30CDC"/>
    <w:multiLevelType w:val="singleLevel"/>
    <w:tmpl w:val="2294FD4A"/>
    <w:lvl w:ilvl="0">
      <w:start w:val="3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4">
    <w:nsid w:val="37C65662"/>
    <w:multiLevelType w:val="singleLevel"/>
    <w:tmpl w:val="5E9E5638"/>
    <w:lvl w:ilvl="0">
      <w:start w:val="3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5">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386">
    <w:nsid w:val="37CF2E0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87">
    <w:nsid w:val="37F5690B"/>
    <w:multiLevelType w:val="singleLevel"/>
    <w:tmpl w:val="EB78E1B4"/>
    <w:lvl w:ilvl="0">
      <w:start w:val="271"/>
      <w:numFmt w:val="decimal"/>
      <w:lvlText w:val="%1."/>
      <w:lvlJc w:val="left"/>
      <w:pPr>
        <w:tabs>
          <w:tab w:val="num" w:pos="360"/>
        </w:tabs>
        <w:ind w:left="360" w:hanging="360"/>
      </w:pPr>
    </w:lvl>
  </w:abstractNum>
  <w:abstractNum w:abstractNumId="388">
    <w:nsid w:val="384C7447"/>
    <w:multiLevelType w:val="singleLevel"/>
    <w:tmpl w:val="C27C9FF2"/>
    <w:lvl w:ilvl="0">
      <w:start w:val="462"/>
      <w:numFmt w:val="decimal"/>
      <w:lvlText w:val="%1."/>
      <w:lvlJc w:val="left"/>
      <w:pPr>
        <w:tabs>
          <w:tab w:val="num" w:pos="360"/>
        </w:tabs>
        <w:ind w:left="360" w:hanging="360"/>
      </w:pPr>
    </w:lvl>
  </w:abstractNum>
  <w:abstractNum w:abstractNumId="389">
    <w:nsid w:val="384F7354"/>
    <w:multiLevelType w:val="singleLevel"/>
    <w:tmpl w:val="6DEED490"/>
    <w:lvl w:ilvl="0">
      <w:start w:val="4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0">
    <w:nsid w:val="38530C3D"/>
    <w:multiLevelType w:val="singleLevel"/>
    <w:tmpl w:val="35B25B14"/>
    <w:lvl w:ilvl="0">
      <w:start w:val="108"/>
      <w:numFmt w:val="decimal"/>
      <w:lvlText w:val="%1."/>
      <w:lvlJc w:val="left"/>
      <w:pPr>
        <w:tabs>
          <w:tab w:val="num" w:pos="624"/>
        </w:tabs>
        <w:ind w:left="624" w:hanging="624"/>
      </w:pPr>
    </w:lvl>
  </w:abstractNum>
  <w:abstractNum w:abstractNumId="391">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392">
    <w:nsid w:val="38851727"/>
    <w:multiLevelType w:val="singleLevel"/>
    <w:tmpl w:val="4E848D5A"/>
    <w:lvl w:ilvl="0">
      <w:start w:val="379"/>
      <w:numFmt w:val="decimal"/>
      <w:lvlText w:val="%1."/>
      <w:lvlJc w:val="left"/>
      <w:pPr>
        <w:tabs>
          <w:tab w:val="num" w:pos="360"/>
        </w:tabs>
        <w:ind w:left="360" w:hanging="360"/>
      </w:pPr>
    </w:lvl>
  </w:abstractNum>
  <w:abstractNum w:abstractNumId="393">
    <w:nsid w:val="38A37E70"/>
    <w:multiLevelType w:val="singleLevel"/>
    <w:tmpl w:val="C1B486D0"/>
    <w:lvl w:ilvl="0">
      <w:start w:val="4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4">
    <w:nsid w:val="38A83A95"/>
    <w:multiLevelType w:val="singleLevel"/>
    <w:tmpl w:val="6F605616"/>
    <w:lvl w:ilvl="0">
      <w:start w:val="4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5">
    <w:nsid w:val="38FC65F0"/>
    <w:multiLevelType w:val="singleLevel"/>
    <w:tmpl w:val="D98C7C6A"/>
    <w:lvl w:ilvl="0">
      <w:numFmt w:val="bullet"/>
      <w:lvlText w:val="-"/>
      <w:lvlJc w:val="left"/>
      <w:pPr>
        <w:tabs>
          <w:tab w:val="num" w:pos="360"/>
        </w:tabs>
        <w:ind w:left="360" w:hanging="360"/>
      </w:pPr>
      <w:rPr>
        <w:rFonts w:hint="default"/>
      </w:rPr>
    </w:lvl>
  </w:abstractNum>
  <w:abstractNum w:abstractNumId="396">
    <w:nsid w:val="39041C85"/>
    <w:multiLevelType w:val="singleLevel"/>
    <w:tmpl w:val="B3A6698C"/>
    <w:lvl w:ilvl="0">
      <w:start w:val="350"/>
      <w:numFmt w:val="decimal"/>
      <w:lvlText w:val="%1."/>
      <w:lvlJc w:val="left"/>
      <w:pPr>
        <w:tabs>
          <w:tab w:val="num" w:pos="360"/>
        </w:tabs>
        <w:ind w:left="360" w:hanging="360"/>
      </w:pPr>
    </w:lvl>
  </w:abstractNum>
  <w:abstractNum w:abstractNumId="397">
    <w:nsid w:val="390E1657"/>
    <w:multiLevelType w:val="singleLevel"/>
    <w:tmpl w:val="FFBA5198"/>
    <w:lvl w:ilvl="0">
      <w:start w:val="100"/>
      <w:numFmt w:val="decimal"/>
      <w:lvlText w:val="%1."/>
      <w:lvlJc w:val="left"/>
      <w:pPr>
        <w:tabs>
          <w:tab w:val="num" w:pos="360"/>
        </w:tabs>
        <w:ind w:left="284" w:hanging="284"/>
      </w:pPr>
    </w:lvl>
  </w:abstractNum>
  <w:abstractNum w:abstractNumId="398">
    <w:nsid w:val="39361EC5"/>
    <w:multiLevelType w:val="singleLevel"/>
    <w:tmpl w:val="31A298E6"/>
    <w:lvl w:ilvl="0">
      <w:start w:val="375"/>
      <w:numFmt w:val="decimal"/>
      <w:lvlText w:val="%1."/>
      <w:lvlJc w:val="left"/>
      <w:pPr>
        <w:tabs>
          <w:tab w:val="num" w:pos="720"/>
        </w:tabs>
        <w:ind w:left="720" w:hanging="720"/>
      </w:pPr>
      <w:rPr>
        <w:rFonts w:hint="default"/>
        <w:b w:val="0"/>
      </w:rPr>
    </w:lvl>
  </w:abstractNum>
  <w:abstractNum w:abstractNumId="399">
    <w:nsid w:val="398A1858"/>
    <w:multiLevelType w:val="singleLevel"/>
    <w:tmpl w:val="22E40F2C"/>
    <w:lvl w:ilvl="0">
      <w:start w:val="36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0">
    <w:nsid w:val="398C703B"/>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401">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402">
    <w:nsid w:val="39B52752"/>
    <w:multiLevelType w:val="singleLevel"/>
    <w:tmpl w:val="BE2056E8"/>
    <w:lvl w:ilvl="0">
      <w:start w:val="37"/>
      <w:numFmt w:val="decimal"/>
      <w:lvlText w:val="%1."/>
      <w:lvlJc w:val="left"/>
      <w:pPr>
        <w:tabs>
          <w:tab w:val="num" w:pos="360"/>
        </w:tabs>
        <w:ind w:left="360" w:hanging="360"/>
      </w:pPr>
    </w:lvl>
  </w:abstractNum>
  <w:abstractNum w:abstractNumId="403">
    <w:nsid w:val="39C1600F"/>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404">
    <w:nsid w:val="3A1C01D7"/>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05">
    <w:nsid w:val="3A3D067A"/>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406">
    <w:nsid w:val="3A422413"/>
    <w:multiLevelType w:val="singleLevel"/>
    <w:tmpl w:val="46A821EA"/>
    <w:lvl w:ilvl="0">
      <w:start w:val="4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7">
    <w:nsid w:val="3A807B5D"/>
    <w:multiLevelType w:val="singleLevel"/>
    <w:tmpl w:val="89121942"/>
    <w:lvl w:ilvl="0">
      <w:start w:val="1"/>
      <w:numFmt w:val="bullet"/>
      <w:lvlText w:val=""/>
      <w:lvlJc w:val="left"/>
      <w:pPr>
        <w:tabs>
          <w:tab w:val="num" w:pos="1721"/>
        </w:tabs>
        <w:ind w:left="1701" w:hanging="340"/>
      </w:pPr>
      <w:rPr>
        <w:rFonts w:ascii="Symbol" w:hAnsi="Symbol" w:hint="default"/>
        <w:sz w:val="20"/>
      </w:rPr>
    </w:lvl>
  </w:abstractNum>
  <w:abstractNum w:abstractNumId="408">
    <w:nsid w:val="3A8960C4"/>
    <w:multiLevelType w:val="singleLevel"/>
    <w:tmpl w:val="0D6AE728"/>
    <w:lvl w:ilvl="0">
      <w:start w:val="72"/>
      <w:numFmt w:val="decimal"/>
      <w:lvlText w:val="%1."/>
      <w:lvlJc w:val="left"/>
      <w:pPr>
        <w:tabs>
          <w:tab w:val="num" w:pos="360"/>
        </w:tabs>
        <w:ind w:left="360" w:hanging="360"/>
      </w:pPr>
    </w:lvl>
  </w:abstractNum>
  <w:abstractNum w:abstractNumId="409">
    <w:nsid w:val="3AD664F0"/>
    <w:multiLevelType w:val="singleLevel"/>
    <w:tmpl w:val="C22E0544"/>
    <w:lvl w:ilvl="0">
      <w:start w:val="1"/>
      <w:numFmt w:val="bullet"/>
      <w:lvlText w:val=""/>
      <w:lvlJc w:val="left"/>
      <w:pPr>
        <w:tabs>
          <w:tab w:val="num" w:pos="1721"/>
        </w:tabs>
        <w:ind w:left="1701" w:hanging="340"/>
      </w:pPr>
      <w:rPr>
        <w:rFonts w:ascii="Symbol" w:hAnsi="Symbol" w:hint="default"/>
        <w:sz w:val="20"/>
      </w:rPr>
    </w:lvl>
  </w:abstractNum>
  <w:abstractNum w:abstractNumId="410">
    <w:nsid w:val="3ADF29F5"/>
    <w:multiLevelType w:val="singleLevel"/>
    <w:tmpl w:val="D98C7C6A"/>
    <w:lvl w:ilvl="0">
      <w:numFmt w:val="bullet"/>
      <w:lvlText w:val="-"/>
      <w:lvlJc w:val="left"/>
      <w:pPr>
        <w:tabs>
          <w:tab w:val="num" w:pos="360"/>
        </w:tabs>
        <w:ind w:left="360" w:hanging="360"/>
      </w:pPr>
      <w:rPr>
        <w:rFonts w:hint="default"/>
      </w:rPr>
    </w:lvl>
  </w:abstractNum>
  <w:abstractNum w:abstractNumId="411">
    <w:nsid w:val="3AFF12FB"/>
    <w:multiLevelType w:val="singleLevel"/>
    <w:tmpl w:val="96EC8A76"/>
    <w:lvl w:ilvl="0">
      <w:start w:val="37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2">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13">
    <w:nsid w:val="3BC9512F"/>
    <w:multiLevelType w:val="singleLevel"/>
    <w:tmpl w:val="76065622"/>
    <w:lvl w:ilvl="0">
      <w:start w:val="100"/>
      <w:numFmt w:val="decimal"/>
      <w:lvlText w:val="%1."/>
      <w:lvlJc w:val="left"/>
      <w:pPr>
        <w:tabs>
          <w:tab w:val="num" w:pos="360"/>
        </w:tabs>
        <w:ind w:left="360" w:hanging="360"/>
      </w:pPr>
    </w:lvl>
  </w:abstractNum>
  <w:abstractNum w:abstractNumId="414">
    <w:nsid w:val="3BD22870"/>
    <w:multiLevelType w:val="singleLevel"/>
    <w:tmpl w:val="99E6BC32"/>
    <w:lvl w:ilvl="0">
      <w:start w:val="355"/>
      <w:numFmt w:val="decimal"/>
      <w:lvlText w:val="%1."/>
      <w:lvlJc w:val="left"/>
      <w:pPr>
        <w:tabs>
          <w:tab w:val="num" w:pos="360"/>
        </w:tabs>
        <w:ind w:left="360" w:hanging="360"/>
      </w:pPr>
    </w:lvl>
  </w:abstractNum>
  <w:abstractNum w:abstractNumId="415">
    <w:nsid w:val="3C2B0695"/>
    <w:multiLevelType w:val="singleLevel"/>
    <w:tmpl w:val="5A82948C"/>
    <w:lvl w:ilvl="0">
      <w:start w:val="38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6">
    <w:nsid w:val="3CBA61EE"/>
    <w:multiLevelType w:val="singleLevel"/>
    <w:tmpl w:val="5B32227A"/>
    <w:lvl w:ilvl="0">
      <w:start w:val="3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7">
    <w:nsid w:val="3CC20F81"/>
    <w:multiLevelType w:val="singleLevel"/>
    <w:tmpl w:val="FB8E42A0"/>
    <w:lvl w:ilvl="0">
      <w:start w:val="3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8">
    <w:nsid w:val="3D082399"/>
    <w:multiLevelType w:val="singleLevel"/>
    <w:tmpl w:val="963A98AC"/>
    <w:lvl w:ilvl="0">
      <w:start w:val="79"/>
      <w:numFmt w:val="decimal"/>
      <w:lvlText w:val="%1."/>
      <w:lvlJc w:val="left"/>
      <w:pPr>
        <w:tabs>
          <w:tab w:val="num" w:pos="360"/>
        </w:tabs>
        <w:ind w:left="360" w:hanging="360"/>
      </w:pPr>
    </w:lvl>
  </w:abstractNum>
  <w:abstractNum w:abstractNumId="419">
    <w:nsid w:val="3D1E6222"/>
    <w:multiLevelType w:val="singleLevel"/>
    <w:tmpl w:val="D7BE4682"/>
    <w:lvl w:ilvl="0">
      <w:start w:val="4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20">
    <w:nsid w:val="3D4304DB"/>
    <w:multiLevelType w:val="singleLevel"/>
    <w:tmpl w:val="D23CC508"/>
    <w:lvl w:ilvl="0">
      <w:start w:val="2"/>
      <w:numFmt w:val="lowerLetter"/>
      <w:lvlText w:val="%1)"/>
      <w:lvlJc w:val="left"/>
      <w:pPr>
        <w:tabs>
          <w:tab w:val="num" w:pos="360"/>
        </w:tabs>
        <w:ind w:left="360" w:hanging="360"/>
      </w:pPr>
    </w:lvl>
  </w:abstractNum>
  <w:abstractNum w:abstractNumId="421">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422">
    <w:nsid w:val="3DCB6756"/>
    <w:multiLevelType w:val="singleLevel"/>
    <w:tmpl w:val="B0AAE21A"/>
    <w:lvl w:ilvl="0">
      <w:start w:val="236"/>
      <w:numFmt w:val="decimal"/>
      <w:lvlText w:val="%1."/>
      <w:lvlJc w:val="left"/>
      <w:pPr>
        <w:tabs>
          <w:tab w:val="num" w:pos="360"/>
        </w:tabs>
        <w:ind w:left="360" w:hanging="360"/>
      </w:pPr>
    </w:lvl>
  </w:abstractNum>
  <w:abstractNum w:abstractNumId="423">
    <w:nsid w:val="3DE1127F"/>
    <w:multiLevelType w:val="singleLevel"/>
    <w:tmpl w:val="88CEC850"/>
    <w:lvl w:ilvl="0">
      <w:start w:val="3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24">
    <w:nsid w:val="3DFA52BE"/>
    <w:multiLevelType w:val="singleLevel"/>
    <w:tmpl w:val="C5500D30"/>
    <w:lvl w:ilvl="0">
      <w:start w:val="83"/>
      <w:numFmt w:val="decimal"/>
      <w:lvlText w:val="%1."/>
      <w:lvlJc w:val="left"/>
      <w:pPr>
        <w:tabs>
          <w:tab w:val="num" w:pos="360"/>
        </w:tabs>
        <w:ind w:left="360" w:hanging="360"/>
      </w:pPr>
    </w:lvl>
  </w:abstractNum>
  <w:abstractNum w:abstractNumId="425">
    <w:nsid w:val="3E43608B"/>
    <w:multiLevelType w:val="singleLevel"/>
    <w:tmpl w:val="B45CB0C8"/>
    <w:lvl w:ilvl="0">
      <w:start w:val="220"/>
      <w:numFmt w:val="decimal"/>
      <w:lvlText w:val="%1."/>
      <w:lvlJc w:val="left"/>
      <w:pPr>
        <w:tabs>
          <w:tab w:val="num" w:pos="360"/>
        </w:tabs>
        <w:ind w:left="360" w:hanging="360"/>
      </w:pPr>
    </w:lvl>
  </w:abstractNum>
  <w:abstractNum w:abstractNumId="426">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427">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428">
    <w:nsid w:val="3EB20177"/>
    <w:multiLevelType w:val="singleLevel"/>
    <w:tmpl w:val="710C5F5A"/>
    <w:lvl w:ilvl="0">
      <w:start w:val="100"/>
      <w:numFmt w:val="decimal"/>
      <w:lvlText w:val="%1."/>
      <w:lvlJc w:val="left"/>
      <w:pPr>
        <w:tabs>
          <w:tab w:val="num" w:pos="360"/>
        </w:tabs>
        <w:ind w:left="360" w:hanging="360"/>
      </w:pPr>
    </w:lvl>
  </w:abstractNum>
  <w:abstractNum w:abstractNumId="429">
    <w:nsid w:val="3F3758B0"/>
    <w:multiLevelType w:val="singleLevel"/>
    <w:tmpl w:val="2B6C22F2"/>
    <w:lvl w:ilvl="0">
      <w:start w:val="35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0">
    <w:nsid w:val="3F9B599A"/>
    <w:multiLevelType w:val="singleLevel"/>
    <w:tmpl w:val="7832987C"/>
    <w:lvl w:ilvl="0">
      <w:start w:val="4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1">
    <w:nsid w:val="3FD5071A"/>
    <w:multiLevelType w:val="multilevel"/>
    <w:tmpl w:val="61F0885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2">
    <w:nsid w:val="3FE1511D"/>
    <w:multiLevelType w:val="singleLevel"/>
    <w:tmpl w:val="B3A8B37E"/>
    <w:lvl w:ilvl="0">
      <w:start w:val="100"/>
      <w:numFmt w:val="decimal"/>
      <w:lvlText w:val="%1."/>
      <w:lvlJc w:val="left"/>
      <w:pPr>
        <w:tabs>
          <w:tab w:val="num" w:pos="624"/>
        </w:tabs>
        <w:ind w:left="624" w:hanging="624"/>
      </w:pPr>
    </w:lvl>
  </w:abstractNum>
  <w:abstractNum w:abstractNumId="433">
    <w:nsid w:val="40053E7C"/>
    <w:multiLevelType w:val="singleLevel"/>
    <w:tmpl w:val="3CF27CAC"/>
    <w:lvl w:ilvl="0">
      <w:start w:val="353"/>
      <w:numFmt w:val="decimal"/>
      <w:lvlText w:val="%1."/>
      <w:lvlJc w:val="left"/>
      <w:pPr>
        <w:tabs>
          <w:tab w:val="num" w:pos="360"/>
        </w:tabs>
        <w:ind w:left="360" w:hanging="360"/>
      </w:pPr>
    </w:lvl>
  </w:abstractNum>
  <w:abstractNum w:abstractNumId="434">
    <w:nsid w:val="40083AE2"/>
    <w:multiLevelType w:val="singleLevel"/>
    <w:tmpl w:val="13085D8C"/>
    <w:lvl w:ilvl="0">
      <w:start w:val="144"/>
      <w:numFmt w:val="decimal"/>
      <w:lvlText w:val="%1."/>
      <w:lvlJc w:val="left"/>
      <w:pPr>
        <w:tabs>
          <w:tab w:val="num" w:pos="360"/>
        </w:tabs>
        <w:ind w:left="360" w:hanging="360"/>
      </w:pPr>
    </w:lvl>
  </w:abstractNum>
  <w:abstractNum w:abstractNumId="435">
    <w:nsid w:val="40147140"/>
    <w:multiLevelType w:val="singleLevel"/>
    <w:tmpl w:val="0D78173A"/>
    <w:lvl w:ilvl="0">
      <w:start w:val="4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6">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37">
    <w:nsid w:val="40263D7D"/>
    <w:multiLevelType w:val="singleLevel"/>
    <w:tmpl w:val="3F3E8BD6"/>
    <w:lvl w:ilvl="0">
      <w:start w:val="3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8">
    <w:nsid w:val="40512DEA"/>
    <w:multiLevelType w:val="singleLevel"/>
    <w:tmpl w:val="58D204C4"/>
    <w:lvl w:ilvl="0">
      <w:start w:val="3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9">
    <w:nsid w:val="407101FD"/>
    <w:multiLevelType w:val="singleLevel"/>
    <w:tmpl w:val="5CCA3436"/>
    <w:lvl w:ilvl="0">
      <w:start w:val="119"/>
      <w:numFmt w:val="decimal"/>
      <w:lvlText w:val="%1."/>
      <w:lvlJc w:val="left"/>
      <w:pPr>
        <w:tabs>
          <w:tab w:val="num" w:pos="360"/>
        </w:tabs>
        <w:ind w:left="360" w:hanging="360"/>
      </w:pPr>
    </w:lvl>
  </w:abstractNum>
  <w:abstractNum w:abstractNumId="440">
    <w:nsid w:val="407E633E"/>
    <w:multiLevelType w:val="singleLevel"/>
    <w:tmpl w:val="93C46E88"/>
    <w:lvl w:ilvl="0">
      <w:start w:val="136"/>
      <w:numFmt w:val="decimal"/>
      <w:lvlText w:val="%1."/>
      <w:lvlJc w:val="left"/>
      <w:pPr>
        <w:tabs>
          <w:tab w:val="num" w:pos="360"/>
        </w:tabs>
        <w:ind w:left="360" w:hanging="360"/>
      </w:pPr>
    </w:lvl>
  </w:abstractNum>
  <w:abstractNum w:abstractNumId="441">
    <w:nsid w:val="40DD237B"/>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442">
    <w:nsid w:val="40F1169B"/>
    <w:multiLevelType w:val="singleLevel"/>
    <w:tmpl w:val="D7A6AF60"/>
    <w:lvl w:ilvl="0">
      <w:start w:val="38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3">
    <w:nsid w:val="416D25B3"/>
    <w:multiLevelType w:val="singleLevel"/>
    <w:tmpl w:val="DE948AC4"/>
    <w:lvl w:ilvl="0">
      <w:start w:val="459"/>
      <w:numFmt w:val="decimal"/>
      <w:lvlText w:val="%1."/>
      <w:lvlJc w:val="left"/>
      <w:pPr>
        <w:tabs>
          <w:tab w:val="num" w:pos="360"/>
        </w:tabs>
        <w:ind w:left="360" w:hanging="360"/>
      </w:pPr>
    </w:lvl>
  </w:abstractNum>
  <w:abstractNum w:abstractNumId="444">
    <w:nsid w:val="419C2DF9"/>
    <w:multiLevelType w:val="singleLevel"/>
    <w:tmpl w:val="B73E4150"/>
    <w:lvl w:ilvl="0">
      <w:start w:val="4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5">
    <w:nsid w:val="41CD06ED"/>
    <w:multiLevelType w:val="singleLevel"/>
    <w:tmpl w:val="BF2EBD18"/>
    <w:lvl w:ilvl="0">
      <w:start w:val="36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6">
    <w:nsid w:val="420F0B94"/>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447">
    <w:nsid w:val="421D1B1B"/>
    <w:multiLevelType w:val="singleLevel"/>
    <w:tmpl w:val="446A03C8"/>
    <w:lvl w:ilvl="0">
      <w:start w:val="4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8">
    <w:nsid w:val="42213BA8"/>
    <w:multiLevelType w:val="singleLevel"/>
    <w:tmpl w:val="385C7538"/>
    <w:lvl w:ilvl="0">
      <w:start w:val="34"/>
      <w:numFmt w:val="decimal"/>
      <w:lvlText w:val="%1."/>
      <w:lvlJc w:val="left"/>
      <w:pPr>
        <w:tabs>
          <w:tab w:val="num" w:pos="360"/>
        </w:tabs>
        <w:ind w:left="360" w:hanging="360"/>
      </w:pPr>
    </w:lvl>
  </w:abstractNum>
  <w:abstractNum w:abstractNumId="449">
    <w:nsid w:val="425B5D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50">
    <w:nsid w:val="426F5C1A"/>
    <w:multiLevelType w:val="singleLevel"/>
    <w:tmpl w:val="1FB0F7A6"/>
    <w:lvl w:ilvl="0">
      <w:start w:val="142"/>
      <w:numFmt w:val="decimal"/>
      <w:lvlText w:val="%1."/>
      <w:lvlJc w:val="left"/>
      <w:pPr>
        <w:tabs>
          <w:tab w:val="num" w:pos="360"/>
        </w:tabs>
        <w:ind w:left="360" w:hanging="360"/>
      </w:pPr>
    </w:lvl>
  </w:abstractNum>
  <w:abstractNum w:abstractNumId="451">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452">
    <w:nsid w:val="42AD3753"/>
    <w:multiLevelType w:val="singleLevel"/>
    <w:tmpl w:val="AB94BB4A"/>
    <w:lvl w:ilvl="0">
      <w:start w:val="89"/>
      <w:numFmt w:val="decimal"/>
      <w:lvlText w:val="%1."/>
      <w:lvlJc w:val="left"/>
      <w:pPr>
        <w:tabs>
          <w:tab w:val="num" w:pos="360"/>
        </w:tabs>
        <w:ind w:left="360" w:hanging="360"/>
      </w:pPr>
    </w:lvl>
  </w:abstractNum>
  <w:abstractNum w:abstractNumId="453">
    <w:nsid w:val="42D10989"/>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54">
    <w:nsid w:val="42F44BFE"/>
    <w:multiLevelType w:val="singleLevel"/>
    <w:tmpl w:val="4E36C008"/>
    <w:lvl w:ilvl="0">
      <w:start w:val="3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55">
    <w:nsid w:val="42FE3998"/>
    <w:multiLevelType w:val="singleLevel"/>
    <w:tmpl w:val="6BDAF39A"/>
    <w:lvl w:ilvl="0">
      <w:start w:val="32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56">
    <w:nsid w:val="434D2B01"/>
    <w:multiLevelType w:val="singleLevel"/>
    <w:tmpl w:val="388EF58C"/>
    <w:lvl w:ilvl="0">
      <w:start w:val="1"/>
      <w:numFmt w:val="bullet"/>
      <w:lvlText w:val=""/>
      <w:lvlJc w:val="left"/>
      <w:pPr>
        <w:tabs>
          <w:tab w:val="num" w:pos="700"/>
        </w:tabs>
        <w:ind w:left="680" w:hanging="340"/>
      </w:pPr>
      <w:rPr>
        <w:rFonts w:ascii="Wingdings" w:hAnsi="Wingdings" w:hint="default"/>
        <w:sz w:val="20"/>
      </w:rPr>
    </w:lvl>
  </w:abstractNum>
  <w:abstractNum w:abstractNumId="457">
    <w:nsid w:val="438C0F4E"/>
    <w:multiLevelType w:val="singleLevel"/>
    <w:tmpl w:val="C3F87A20"/>
    <w:lvl w:ilvl="0">
      <w:start w:val="4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58">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459">
    <w:nsid w:val="43932035"/>
    <w:multiLevelType w:val="singleLevel"/>
    <w:tmpl w:val="92B0000E"/>
    <w:lvl w:ilvl="0">
      <w:start w:val="3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0">
    <w:nsid w:val="43AB404E"/>
    <w:multiLevelType w:val="singleLevel"/>
    <w:tmpl w:val="FFBA5198"/>
    <w:lvl w:ilvl="0">
      <w:start w:val="100"/>
      <w:numFmt w:val="decimal"/>
      <w:lvlText w:val="%1."/>
      <w:lvlJc w:val="left"/>
      <w:pPr>
        <w:tabs>
          <w:tab w:val="num" w:pos="360"/>
        </w:tabs>
        <w:ind w:left="284" w:hanging="284"/>
      </w:pPr>
    </w:lvl>
  </w:abstractNum>
  <w:abstractNum w:abstractNumId="461">
    <w:nsid w:val="43D75987"/>
    <w:multiLevelType w:val="singleLevel"/>
    <w:tmpl w:val="0419000F"/>
    <w:lvl w:ilvl="0">
      <w:start w:val="1"/>
      <w:numFmt w:val="decimal"/>
      <w:lvlText w:val="%1."/>
      <w:lvlJc w:val="left"/>
      <w:pPr>
        <w:tabs>
          <w:tab w:val="num" w:pos="360"/>
        </w:tabs>
        <w:ind w:left="360" w:hanging="360"/>
      </w:pPr>
    </w:lvl>
  </w:abstractNum>
  <w:abstractNum w:abstractNumId="462">
    <w:nsid w:val="445B1C87"/>
    <w:multiLevelType w:val="singleLevel"/>
    <w:tmpl w:val="43824188"/>
    <w:lvl w:ilvl="0">
      <w:start w:val="448"/>
      <w:numFmt w:val="decimal"/>
      <w:lvlText w:val="%1."/>
      <w:lvlJc w:val="left"/>
      <w:pPr>
        <w:tabs>
          <w:tab w:val="num" w:pos="360"/>
        </w:tabs>
        <w:ind w:left="360" w:hanging="360"/>
      </w:pPr>
    </w:lvl>
  </w:abstractNum>
  <w:abstractNum w:abstractNumId="463">
    <w:nsid w:val="44890A07"/>
    <w:multiLevelType w:val="singleLevel"/>
    <w:tmpl w:val="934C392A"/>
    <w:lvl w:ilvl="0">
      <w:start w:val="9"/>
      <w:numFmt w:val="decimal"/>
      <w:lvlText w:val="%1."/>
      <w:lvlJc w:val="left"/>
      <w:pPr>
        <w:tabs>
          <w:tab w:val="num" w:pos="360"/>
        </w:tabs>
        <w:ind w:left="360" w:hanging="360"/>
      </w:pPr>
    </w:lvl>
  </w:abstractNum>
  <w:abstractNum w:abstractNumId="464">
    <w:nsid w:val="44983BCD"/>
    <w:multiLevelType w:val="singleLevel"/>
    <w:tmpl w:val="E9D64B66"/>
    <w:lvl w:ilvl="0">
      <w:start w:val="4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5">
    <w:nsid w:val="450819A0"/>
    <w:multiLevelType w:val="singleLevel"/>
    <w:tmpl w:val="732E20C6"/>
    <w:lvl w:ilvl="0">
      <w:start w:val="3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6">
    <w:nsid w:val="45255C72"/>
    <w:multiLevelType w:val="singleLevel"/>
    <w:tmpl w:val="1E7E1D46"/>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67">
    <w:nsid w:val="45447201"/>
    <w:multiLevelType w:val="singleLevel"/>
    <w:tmpl w:val="A80A26F0"/>
    <w:lvl w:ilvl="0">
      <w:start w:val="38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8">
    <w:nsid w:val="454E75C3"/>
    <w:multiLevelType w:val="singleLevel"/>
    <w:tmpl w:val="F2D8CD7A"/>
    <w:lvl w:ilvl="0">
      <w:start w:val="4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9">
    <w:nsid w:val="45730AE7"/>
    <w:multiLevelType w:val="singleLevel"/>
    <w:tmpl w:val="E932E8EE"/>
    <w:lvl w:ilvl="0">
      <w:start w:val="4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0">
    <w:nsid w:val="45744187"/>
    <w:multiLevelType w:val="singleLevel"/>
    <w:tmpl w:val="273CB4BE"/>
    <w:lvl w:ilvl="0">
      <w:start w:val="39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1">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72">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3">
    <w:nsid w:val="45D5315D"/>
    <w:multiLevelType w:val="singleLevel"/>
    <w:tmpl w:val="E65E3084"/>
    <w:lvl w:ilvl="0">
      <w:start w:val="36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4">
    <w:nsid w:val="45F914E7"/>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475">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476">
    <w:nsid w:val="46277853"/>
    <w:multiLevelType w:val="singleLevel"/>
    <w:tmpl w:val="BBAE9EE8"/>
    <w:lvl w:ilvl="0">
      <w:start w:val="3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7">
    <w:nsid w:val="462B184A"/>
    <w:multiLevelType w:val="singleLevel"/>
    <w:tmpl w:val="934C392A"/>
    <w:lvl w:ilvl="0">
      <w:start w:val="9"/>
      <w:numFmt w:val="decimal"/>
      <w:lvlText w:val="%1."/>
      <w:lvlJc w:val="left"/>
      <w:pPr>
        <w:tabs>
          <w:tab w:val="num" w:pos="360"/>
        </w:tabs>
        <w:ind w:left="360" w:hanging="360"/>
      </w:pPr>
    </w:lvl>
  </w:abstractNum>
  <w:abstractNum w:abstractNumId="478">
    <w:nsid w:val="468F10C7"/>
    <w:multiLevelType w:val="singleLevel"/>
    <w:tmpl w:val="C6DA29EC"/>
    <w:lvl w:ilvl="0">
      <w:start w:val="404"/>
      <w:numFmt w:val="decimal"/>
      <w:lvlText w:val="%1."/>
      <w:lvlJc w:val="left"/>
      <w:pPr>
        <w:tabs>
          <w:tab w:val="num" w:pos="720"/>
        </w:tabs>
        <w:ind w:left="720" w:hanging="720"/>
      </w:pPr>
      <w:rPr>
        <w:rFonts w:hint="default"/>
      </w:rPr>
    </w:lvl>
  </w:abstractNum>
  <w:abstractNum w:abstractNumId="479">
    <w:nsid w:val="469C20E1"/>
    <w:multiLevelType w:val="singleLevel"/>
    <w:tmpl w:val="1C3A52D0"/>
    <w:lvl w:ilvl="0">
      <w:start w:val="37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0">
    <w:nsid w:val="47497427"/>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481">
    <w:nsid w:val="47583F29"/>
    <w:multiLevelType w:val="singleLevel"/>
    <w:tmpl w:val="83F486B4"/>
    <w:lvl w:ilvl="0">
      <w:start w:val="3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2">
    <w:nsid w:val="47607A6F"/>
    <w:multiLevelType w:val="singleLevel"/>
    <w:tmpl w:val="25CC6314"/>
    <w:lvl w:ilvl="0">
      <w:start w:val="1"/>
      <w:numFmt w:val="bullet"/>
      <w:lvlText w:val=""/>
      <w:lvlJc w:val="left"/>
      <w:pPr>
        <w:tabs>
          <w:tab w:val="num" w:pos="1040"/>
        </w:tabs>
        <w:ind w:left="1021" w:hanging="341"/>
      </w:pPr>
      <w:rPr>
        <w:rFonts w:ascii="Wingdings" w:hAnsi="Wingdings" w:hint="default"/>
        <w:sz w:val="20"/>
      </w:rPr>
    </w:lvl>
  </w:abstractNum>
  <w:abstractNum w:abstractNumId="483">
    <w:nsid w:val="476124A8"/>
    <w:multiLevelType w:val="singleLevel"/>
    <w:tmpl w:val="1E7E1D46"/>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84">
    <w:nsid w:val="476D52C4"/>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85">
    <w:nsid w:val="477F10B6"/>
    <w:multiLevelType w:val="singleLevel"/>
    <w:tmpl w:val="6C905F7E"/>
    <w:lvl w:ilvl="0">
      <w:start w:val="35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6">
    <w:nsid w:val="47874BC1"/>
    <w:multiLevelType w:val="singleLevel"/>
    <w:tmpl w:val="6DEA3E5C"/>
    <w:lvl w:ilvl="0">
      <w:start w:val="326"/>
      <w:numFmt w:val="decimal"/>
      <w:lvlText w:val="%1."/>
      <w:lvlJc w:val="left"/>
      <w:pPr>
        <w:tabs>
          <w:tab w:val="num" w:pos="360"/>
        </w:tabs>
        <w:ind w:left="360" w:hanging="360"/>
      </w:pPr>
    </w:lvl>
  </w:abstractNum>
  <w:abstractNum w:abstractNumId="487">
    <w:nsid w:val="47960CE2"/>
    <w:multiLevelType w:val="singleLevel"/>
    <w:tmpl w:val="F48EB624"/>
    <w:lvl w:ilvl="0">
      <w:start w:val="34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8">
    <w:nsid w:val="47CF2507"/>
    <w:multiLevelType w:val="singleLevel"/>
    <w:tmpl w:val="88FCB36E"/>
    <w:lvl w:ilvl="0">
      <w:start w:val="247"/>
      <w:numFmt w:val="decimal"/>
      <w:lvlText w:val="%1."/>
      <w:lvlJc w:val="left"/>
      <w:pPr>
        <w:tabs>
          <w:tab w:val="num" w:pos="360"/>
        </w:tabs>
        <w:ind w:left="360" w:hanging="360"/>
      </w:pPr>
    </w:lvl>
  </w:abstractNum>
  <w:abstractNum w:abstractNumId="489">
    <w:nsid w:val="47D864AE"/>
    <w:multiLevelType w:val="singleLevel"/>
    <w:tmpl w:val="3118B894"/>
    <w:lvl w:ilvl="0">
      <w:start w:val="175"/>
      <w:numFmt w:val="decimal"/>
      <w:lvlText w:val="%1."/>
      <w:lvlJc w:val="left"/>
      <w:pPr>
        <w:tabs>
          <w:tab w:val="num" w:pos="360"/>
        </w:tabs>
        <w:ind w:left="360" w:hanging="360"/>
      </w:pPr>
    </w:lvl>
  </w:abstractNum>
  <w:abstractNum w:abstractNumId="490">
    <w:nsid w:val="47F94EFB"/>
    <w:multiLevelType w:val="singleLevel"/>
    <w:tmpl w:val="385C7538"/>
    <w:lvl w:ilvl="0">
      <w:start w:val="34"/>
      <w:numFmt w:val="decimal"/>
      <w:lvlText w:val="%1."/>
      <w:lvlJc w:val="left"/>
      <w:pPr>
        <w:tabs>
          <w:tab w:val="num" w:pos="360"/>
        </w:tabs>
        <w:ind w:left="360" w:hanging="360"/>
      </w:pPr>
    </w:lvl>
  </w:abstractNum>
  <w:abstractNum w:abstractNumId="491">
    <w:nsid w:val="48151F2B"/>
    <w:multiLevelType w:val="singleLevel"/>
    <w:tmpl w:val="BBCC126E"/>
    <w:lvl w:ilvl="0">
      <w:start w:val="4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2">
    <w:nsid w:val="487D3664"/>
    <w:multiLevelType w:val="multilevel"/>
    <w:tmpl w:val="D138D4B0"/>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93">
    <w:nsid w:val="487F7C9B"/>
    <w:multiLevelType w:val="singleLevel"/>
    <w:tmpl w:val="D98C7C6A"/>
    <w:lvl w:ilvl="0">
      <w:numFmt w:val="bullet"/>
      <w:lvlText w:val="-"/>
      <w:lvlJc w:val="left"/>
      <w:pPr>
        <w:tabs>
          <w:tab w:val="num" w:pos="360"/>
        </w:tabs>
        <w:ind w:left="360" w:hanging="360"/>
      </w:pPr>
      <w:rPr>
        <w:rFonts w:hint="default"/>
      </w:rPr>
    </w:lvl>
  </w:abstractNum>
  <w:abstractNum w:abstractNumId="494">
    <w:nsid w:val="48830EC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95">
    <w:nsid w:val="48A531F0"/>
    <w:multiLevelType w:val="singleLevel"/>
    <w:tmpl w:val="DDB86028"/>
    <w:lvl w:ilvl="0">
      <w:start w:val="3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6">
    <w:nsid w:val="48C15840"/>
    <w:multiLevelType w:val="singleLevel"/>
    <w:tmpl w:val="C680A1C2"/>
    <w:lvl w:ilvl="0">
      <w:start w:val="38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7">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498">
    <w:nsid w:val="490D30EA"/>
    <w:multiLevelType w:val="singleLevel"/>
    <w:tmpl w:val="74706DAA"/>
    <w:lvl w:ilvl="0">
      <w:start w:val="4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9">
    <w:nsid w:val="4918607C"/>
    <w:multiLevelType w:val="singleLevel"/>
    <w:tmpl w:val="AB94BB4A"/>
    <w:lvl w:ilvl="0">
      <w:start w:val="89"/>
      <w:numFmt w:val="decimal"/>
      <w:lvlText w:val="%1."/>
      <w:lvlJc w:val="left"/>
      <w:pPr>
        <w:tabs>
          <w:tab w:val="num" w:pos="360"/>
        </w:tabs>
        <w:ind w:left="360" w:hanging="360"/>
      </w:pPr>
    </w:lvl>
  </w:abstractNum>
  <w:abstractNum w:abstractNumId="500">
    <w:nsid w:val="497B3488"/>
    <w:multiLevelType w:val="singleLevel"/>
    <w:tmpl w:val="55EA754A"/>
    <w:lvl w:ilvl="0">
      <w:start w:val="284"/>
      <w:numFmt w:val="decimal"/>
      <w:lvlText w:val="%1."/>
      <w:lvlJc w:val="left"/>
      <w:pPr>
        <w:tabs>
          <w:tab w:val="num" w:pos="360"/>
        </w:tabs>
        <w:ind w:left="360" w:hanging="360"/>
      </w:pPr>
    </w:lvl>
  </w:abstractNum>
  <w:abstractNum w:abstractNumId="501">
    <w:nsid w:val="499B0A1D"/>
    <w:multiLevelType w:val="singleLevel"/>
    <w:tmpl w:val="3662AF44"/>
    <w:lvl w:ilvl="0">
      <w:start w:val="39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2">
    <w:nsid w:val="49E3418A"/>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03">
    <w:nsid w:val="4A1C650E"/>
    <w:multiLevelType w:val="singleLevel"/>
    <w:tmpl w:val="6AE8CDD4"/>
    <w:lvl w:ilvl="0">
      <w:start w:val="260"/>
      <w:numFmt w:val="decimal"/>
      <w:lvlText w:val="%1."/>
      <w:lvlJc w:val="left"/>
      <w:pPr>
        <w:tabs>
          <w:tab w:val="num" w:pos="360"/>
        </w:tabs>
        <w:ind w:left="360" w:hanging="360"/>
      </w:pPr>
    </w:lvl>
  </w:abstractNum>
  <w:abstractNum w:abstractNumId="504">
    <w:nsid w:val="4A5B49F4"/>
    <w:multiLevelType w:val="singleLevel"/>
    <w:tmpl w:val="F6E8C09C"/>
    <w:lvl w:ilvl="0">
      <w:start w:val="85"/>
      <w:numFmt w:val="decimal"/>
      <w:lvlText w:val="%1."/>
      <w:lvlJc w:val="left"/>
      <w:pPr>
        <w:tabs>
          <w:tab w:val="num" w:pos="360"/>
        </w:tabs>
        <w:ind w:left="360" w:hanging="360"/>
      </w:pPr>
    </w:lvl>
  </w:abstractNum>
  <w:abstractNum w:abstractNumId="505">
    <w:nsid w:val="4A864DC6"/>
    <w:multiLevelType w:val="singleLevel"/>
    <w:tmpl w:val="65BEC466"/>
    <w:lvl w:ilvl="0">
      <w:start w:val="1"/>
      <w:numFmt w:val="bullet"/>
      <w:lvlText w:val=""/>
      <w:lvlJc w:val="left"/>
      <w:pPr>
        <w:tabs>
          <w:tab w:val="num" w:pos="1381"/>
        </w:tabs>
        <w:ind w:left="1361" w:hanging="340"/>
      </w:pPr>
      <w:rPr>
        <w:rFonts w:ascii="Wingdings" w:hAnsi="Wingdings" w:hint="default"/>
        <w:sz w:val="22"/>
      </w:rPr>
    </w:lvl>
  </w:abstractNum>
  <w:abstractNum w:abstractNumId="506">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507">
    <w:nsid w:val="4B47306C"/>
    <w:multiLevelType w:val="singleLevel"/>
    <w:tmpl w:val="B36EF378"/>
    <w:lvl w:ilvl="0">
      <w:start w:val="3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8">
    <w:nsid w:val="4B5E0BD0"/>
    <w:multiLevelType w:val="singleLevel"/>
    <w:tmpl w:val="B9A8F5FE"/>
    <w:lvl w:ilvl="0">
      <w:start w:val="264"/>
      <w:numFmt w:val="decimal"/>
      <w:lvlText w:val="%1."/>
      <w:lvlJc w:val="left"/>
      <w:pPr>
        <w:tabs>
          <w:tab w:val="num" w:pos="360"/>
        </w:tabs>
        <w:ind w:left="360" w:hanging="360"/>
      </w:pPr>
    </w:lvl>
  </w:abstractNum>
  <w:abstractNum w:abstractNumId="509">
    <w:nsid w:val="4B9976C4"/>
    <w:multiLevelType w:val="singleLevel"/>
    <w:tmpl w:val="894EE634"/>
    <w:lvl w:ilvl="0">
      <w:start w:val="1"/>
      <w:numFmt w:val="bullet"/>
      <w:lvlText w:val=""/>
      <w:lvlJc w:val="left"/>
      <w:pPr>
        <w:tabs>
          <w:tab w:val="num" w:pos="700"/>
        </w:tabs>
        <w:ind w:left="680" w:hanging="340"/>
      </w:pPr>
      <w:rPr>
        <w:rFonts w:ascii="Symbol" w:hAnsi="Symbol" w:hint="default"/>
        <w:sz w:val="20"/>
      </w:rPr>
    </w:lvl>
  </w:abstractNum>
  <w:abstractNum w:abstractNumId="510">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511">
    <w:nsid w:val="4BBC33CC"/>
    <w:multiLevelType w:val="multilevel"/>
    <w:tmpl w:val="9B1AB86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12">
    <w:nsid w:val="4BC039DA"/>
    <w:multiLevelType w:val="singleLevel"/>
    <w:tmpl w:val="3C20FE54"/>
    <w:lvl w:ilvl="0">
      <w:start w:val="37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3">
    <w:nsid w:val="4C371B48"/>
    <w:multiLevelType w:val="singleLevel"/>
    <w:tmpl w:val="963A98AC"/>
    <w:lvl w:ilvl="0">
      <w:start w:val="79"/>
      <w:numFmt w:val="decimal"/>
      <w:lvlText w:val="%1."/>
      <w:lvlJc w:val="left"/>
      <w:pPr>
        <w:tabs>
          <w:tab w:val="num" w:pos="360"/>
        </w:tabs>
        <w:ind w:left="360" w:hanging="360"/>
      </w:pPr>
    </w:lvl>
  </w:abstractNum>
  <w:abstractNum w:abstractNumId="514">
    <w:nsid w:val="4C3A20B3"/>
    <w:multiLevelType w:val="singleLevel"/>
    <w:tmpl w:val="FF0ACA6E"/>
    <w:lvl w:ilvl="0">
      <w:start w:val="464"/>
      <w:numFmt w:val="decimal"/>
      <w:lvlText w:val="%1."/>
      <w:lvlJc w:val="left"/>
      <w:pPr>
        <w:tabs>
          <w:tab w:val="num" w:pos="360"/>
        </w:tabs>
        <w:ind w:left="360" w:hanging="360"/>
      </w:pPr>
    </w:lvl>
  </w:abstractNum>
  <w:abstractNum w:abstractNumId="515">
    <w:nsid w:val="4C466D16"/>
    <w:multiLevelType w:val="singleLevel"/>
    <w:tmpl w:val="13564EEE"/>
    <w:lvl w:ilvl="0">
      <w:start w:val="257"/>
      <w:numFmt w:val="decimal"/>
      <w:lvlText w:val="%1."/>
      <w:lvlJc w:val="left"/>
      <w:pPr>
        <w:tabs>
          <w:tab w:val="num" w:pos="360"/>
        </w:tabs>
        <w:ind w:left="360" w:hanging="360"/>
      </w:pPr>
    </w:lvl>
  </w:abstractNum>
  <w:abstractNum w:abstractNumId="516">
    <w:nsid w:val="4C5357D5"/>
    <w:multiLevelType w:val="singleLevel"/>
    <w:tmpl w:val="B53EB49E"/>
    <w:lvl w:ilvl="0">
      <w:start w:val="39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7">
    <w:nsid w:val="4C726630"/>
    <w:multiLevelType w:val="singleLevel"/>
    <w:tmpl w:val="A7D41F14"/>
    <w:lvl w:ilvl="0">
      <w:start w:val="393"/>
      <w:numFmt w:val="decimal"/>
      <w:lvlText w:val="%1."/>
      <w:lvlJc w:val="left"/>
      <w:pPr>
        <w:tabs>
          <w:tab w:val="num" w:pos="360"/>
        </w:tabs>
        <w:ind w:left="360" w:hanging="360"/>
      </w:pPr>
    </w:lvl>
  </w:abstractNum>
  <w:abstractNum w:abstractNumId="518">
    <w:nsid w:val="4CAB7E20"/>
    <w:multiLevelType w:val="singleLevel"/>
    <w:tmpl w:val="C2C6E196"/>
    <w:lvl w:ilvl="0">
      <w:start w:val="353"/>
      <w:numFmt w:val="decimal"/>
      <w:lvlText w:val="%1."/>
      <w:lvlJc w:val="left"/>
      <w:pPr>
        <w:tabs>
          <w:tab w:val="num" w:pos="720"/>
        </w:tabs>
        <w:ind w:left="720" w:hanging="720"/>
      </w:pPr>
      <w:rPr>
        <w:rFonts w:hint="default"/>
      </w:rPr>
    </w:lvl>
  </w:abstractNum>
  <w:abstractNum w:abstractNumId="519">
    <w:nsid w:val="4CF75F07"/>
    <w:multiLevelType w:val="singleLevel"/>
    <w:tmpl w:val="2758D1E4"/>
    <w:lvl w:ilvl="0">
      <w:start w:val="138"/>
      <w:numFmt w:val="decimal"/>
      <w:lvlText w:val="%1."/>
      <w:lvlJc w:val="left"/>
      <w:pPr>
        <w:tabs>
          <w:tab w:val="num" w:pos="360"/>
        </w:tabs>
        <w:ind w:left="360" w:hanging="360"/>
      </w:pPr>
    </w:lvl>
  </w:abstractNum>
  <w:abstractNum w:abstractNumId="520">
    <w:nsid w:val="4D144D3E"/>
    <w:multiLevelType w:val="singleLevel"/>
    <w:tmpl w:val="21BC6E04"/>
    <w:lvl w:ilvl="0">
      <w:start w:val="4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1">
    <w:nsid w:val="4D78482A"/>
    <w:multiLevelType w:val="singleLevel"/>
    <w:tmpl w:val="6DEA3E5C"/>
    <w:lvl w:ilvl="0">
      <w:start w:val="326"/>
      <w:numFmt w:val="decimal"/>
      <w:lvlText w:val="%1."/>
      <w:lvlJc w:val="left"/>
      <w:pPr>
        <w:tabs>
          <w:tab w:val="num" w:pos="360"/>
        </w:tabs>
        <w:ind w:left="360" w:hanging="360"/>
      </w:pPr>
    </w:lvl>
  </w:abstractNum>
  <w:abstractNum w:abstractNumId="522">
    <w:nsid w:val="4D840F33"/>
    <w:multiLevelType w:val="singleLevel"/>
    <w:tmpl w:val="B4A821A4"/>
    <w:lvl w:ilvl="0">
      <w:start w:val="36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3">
    <w:nsid w:val="4D9C0E19"/>
    <w:multiLevelType w:val="singleLevel"/>
    <w:tmpl w:val="24FADDCE"/>
    <w:lvl w:ilvl="0">
      <w:start w:val="3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4">
    <w:nsid w:val="4DC705D2"/>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25">
    <w:nsid w:val="4DF57F65"/>
    <w:multiLevelType w:val="singleLevel"/>
    <w:tmpl w:val="38FC99A2"/>
    <w:lvl w:ilvl="0">
      <w:start w:val="3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6">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527">
    <w:nsid w:val="4E902B25"/>
    <w:multiLevelType w:val="multilevel"/>
    <w:tmpl w:val="E7D0BB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8">
    <w:nsid w:val="4E9573DB"/>
    <w:multiLevelType w:val="singleLevel"/>
    <w:tmpl w:val="AE78BB76"/>
    <w:lvl w:ilvl="0">
      <w:start w:val="3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9">
    <w:nsid w:val="4F7D30FA"/>
    <w:multiLevelType w:val="singleLevel"/>
    <w:tmpl w:val="0419000F"/>
    <w:lvl w:ilvl="0">
      <w:start w:val="1"/>
      <w:numFmt w:val="decimal"/>
      <w:lvlText w:val="%1."/>
      <w:lvlJc w:val="left"/>
      <w:pPr>
        <w:tabs>
          <w:tab w:val="num" w:pos="360"/>
        </w:tabs>
        <w:ind w:left="360" w:hanging="360"/>
      </w:pPr>
    </w:lvl>
  </w:abstractNum>
  <w:abstractNum w:abstractNumId="530">
    <w:nsid w:val="4FB75B28"/>
    <w:multiLevelType w:val="singleLevel"/>
    <w:tmpl w:val="F9086910"/>
    <w:lvl w:ilvl="0">
      <w:start w:val="75"/>
      <w:numFmt w:val="decimal"/>
      <w:lvlText w:val="%1."/>
      <w:lvlJc w:val="left"/>
      <w:pPr>
        <w:tabs>
          <w:tab w:val="num" w:pos="360"/>
        </w:tabs>
        <w:ind w:left="360" w:hanging="360"/>
      </w:pPr>
    </w:lvl>
  </w:abstractNum>
  <w:abstractNum w:abstractNumId="531">
    <w:nsid w:val="4FB76CB3"/>
    <w:multiLevelType w:val="singleLevel"/>
    <w:tmpl w:val="A7785222"/>
    <w:lvl w:ilvl="0">
      <w:start w:val="4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2">
    <w:nsid w:val="4FBE016D"/>
    <w:multiLevelType w:val="singleLevel"/>
    <w:tmpl w:val="A39664E4"/>
    <w:lvl w:ilvl="0">
      <w:start w:val="4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3">
    <w:nsid w:val="4FC57F64"/>
    <w:multiLevelType w:val="singleLevel"/>
    <w:tmpl w:val="5950EED0"/>
    <w:lvl w:ilvl="0">
      <w:start w:val="314"/>
      <w:numFmt w:val="decimal"/>
      <w:lvlText w:val="%1."/>
      <w:lvlJc w:val="left"/>
      <w:pPr>
        <w:tabs>
          <w:tab w:val="num" w:pos="360"/>
        </w:tabs>
        <w:ind w:left="360" w:hanging="360"/>
      </w:pPr>
    </w:lvl>
  </w:abstractNum>
  <w:abstractNum w:abstractNumId="534">
    <w:nsid w:val="502A2D43"/>
    <w:multiLevelType w:val="singleLevel"/>
    <w:tmpl w:val="0419000F"/>
    <w:lvl w:ilvl="0">
      <w:start w:val="1"/>
      <w:numFmt w:val="decimal"/>
      <w:lvlText w:val="%1."/>
      <w:lvlJc w:val="left"/>
      <w:pPr>
        <w:tabs>
          <w:tab w:val="num" w:pos="360"/>
        </w:tabs>
        <w:ind w:left="360" w:hanging="360"/>
      </w:pPr>
    </w:lvl>
  </w:abstractNum>
  <w:abstractNum w:abstractNumId="535">
    <w:nsid w:val="509226B4"/>
    <w:multiLevelType w:val="singleLevel"/>
    <w:tmpl w:val="F5CC58DC"/>
    <w:lvl w:ilvl="0">
      <w:start w:val="238"/>
      <w:numFmt w:val="decimal"/>
      <w:lvlText w:val="%1."/>
      <w:lvlJc w:val="left"/>
      <w:pPr>
        <w:tabs>
          <w:tab w:val="num" w:pos="360"/>
        </w:tabs>
        <w:ind w:left="360" w:hanging="360"/>
      </w:pPr>
    </w:lvl>
  </w:abstractNum>
  <w:abstractNum w:abstractNumId="536">
    <w:nsid w:val="50AD4DA6"/>
    <w:multiLevelType w:val="singleLevel"/>
    <w:tmpl w:val="C91A934A"/>
    <w:lvl w:ilvl="0">
      <w:start w:val="88"/>
      <w:numFmt w:val="decimal"/>
      <w:lvlText w:val="%1."/>
      <w:lvlJc w:val="left"/>
      <w:pPr>
        <w:tabs>
          <w:tab w:val="num" w:pos="360"/>
        </w:tabs>
        <w:ind w:left="360" w:hanging="360"/>
      </w:pPr>
    </w:lvl>
  </w:abstractNum>
  <w:abstractNum w:abstractNumId="537">
    <w:nsid w:val="50B90CFE"/>
    <w:multiLevelType w:val="singleLevel"/>
    <w:tmpl w:val="8DFA31DE"/>
    <w:lvl w:ilvl="0">
      <w:start w:val="371"/>
      <w:numFmt w:val="decimal"/>
      <w:lvlText w:val="%1."/>
      <w:lvlJc w:val="left"/>
      <w:pPr>
        <w:tabs>
          <w:tab w:val="num" w:pos="360"/>
        </w:tabs>
        <w:ind w:left="360" w:hanging="360"/>
      </w:pPr>
    </w:lvl>
  </w:abstractNum>
  <w:abstractNum w:abstractNumId="538">
    <w:nsid w:val="50C71F11"/>
    <w:multiLevelType w:val="singleLevel"/>
    <w:tmpl w:val="6D32A7BE"/>
    <w:lvl w:ilvl="0">
      <w:start w:val="170"/>
      <w:numFmt w:val="decimal"/>
      <w:lvlText w:val="%1."/>
      <w:lvlJc w:val="left"/>
      <w:pPr>
        <w:tabs>
          <w:tab w:val="num" w:pos="360"/>
        </w:tabs>
        <w:ind w:left="360" w:hanging="360"/>
      </w:pPr>
    </w:lvl>
  </w:abstractNum>
  <w:abstractNum w:abstractNumId="539">
    <w:nsid w:val="50E35F52"/>
    <w:multiLevelType w:val="singleLevel"/>
    <w:tmpl w:val="0652F8F0"/>
    <w:lvl w:ilvl="0">
      <w:start w:val="197"/>
      <w:numFmt w:val="decimal"/>
      <w:lvlText w:val="%1."/>
      <w:lvlJc w:val="left"/>
      <w:pPr>
        <w:tabs>
          <w:tab w:val="num" w:pos="360"/>
        </w:tabs>
        <w:ind w:left="360" w:hanging="360"/>
      </w:pPr>
    </w:lvl>
  </w:abstractNum>
  <w:abstractNum w:abstractNumId="540">
    <w:nsid w:val="510F6556"/>
    <w:multiLevelType w:val="singleLevel"/>
    <w:tmpl w:val="9C22735C"/>
    <w:lvl w:ilvl="0">
      <w:start w:val="34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1">
    <w:nsid w:val="514919FC"/>
    <w:multiLevelType w:val="singleLevel"/>
    <w:tmpl w:val="62CA395A"/>
    <w:lvl w:ilvl="0">
      <w:start w:val="110"/>
      <w:numFmt w:val="decimal"/>
      <w:lvlText w:val="%1."/>
      <w:lvlJc w:val="left"/>
      <w:pPr>
        <w:tabs>
          <w:tab w:val="num" w:pos="360"/>
        </w:tabs>
        <w:ind w:left="360" w:hanging="360"/>
      </w:pPr>
    </w:lvl>
  </w:abstractNum>
  <w:abstractNum w:abstractNumId="542">
    <w:nsid w:val="51A154F3"/>
    <w:multiLevelType w:val="singleLevel"/>
    <w:tmpl w:val="726ABB9A"/>
    <w:lvl w:ilvl="0">
      <w:start w:val="3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3">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544">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545">
    <w:nsid w:val="521C30FF"/>
    <w:multiLevelType w:val="singleLevel"/>
    <w:tmpl w:val="198C5FA4"/>
    <w:lvl w:ilvl="0">
      <w:start w:val="411"/>
      <w:numFmt w:val="decimal"/>
      <w:lvlText w:val="%1."/>
      <w:lvlJc w:val="left"/>
      <w:pPr>
        <w:tabs>
          <w:tab w:val="num" w:pos="360"/>
        </w:tabs>
        <w:ind w:left="360" w:hanging="360"/>
      </w:pPr>
    </w:lvl>
  </w:abstractNum>
  <w:abstractNum w:abstractNumId="546">
    <w:nsid w:val="525A17B2"/>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47">
    <w:nsid w:val="52887B5A"/>
    <w:multiLevelType w:val="singleLevel"/>
    <w:tmpl w:val="974853C6"/>
    <w:lvl w:ilvl="0">
      <w:start w:val="253"/>
      <w:numFmt w:val="decimal"/>
      <w:lvlText w:val="%1."/>
      <w:lvlJc w:val="left"/>
      <w:pPr>
        <w:tabs>
          <w:tab w:val="num" w:pos="360"/>
        </w:tabs>
        <w:ind w:left="360" w:hanging="360"/>
      </w:pPr>
    </w:lvl>
  </w:abstractNum>
  <w:abstractNum w:abstractNumId="548">
    <w:nsid w:val="52A42B81"/>
    <w:multiLevelType w:val="singleLevel"/>
    <w:tmpl w:val="57EC715E"/>
    <w:lvl w:ilvl="0">
      <w:start w:val="174"/>
      <w:numFmt w:val="decimal"/>
      <w:lvlText w:val="%1."/>
      <w:lvlJc w:val="left"/>
      <w:pPr>
        <w:tabs>
          <w:tab w:val="num" w:pos="360"/>
        </w:tabs>
        <w:ind w:left="360" w:hanging="360"/>
      </w:pPr>
    </w:lvl>
  </w:abstractNum>
  <w:abstractNum w:abstractNumId="549">
    <w:nsid w:val="52C22487"/>
    <w:multiLevelType w:val="singleLevel"/>
    <w:tmpl w:val="D98C7C6A"/>
    <w:lvl w:ilvl="0">
      <w:numFmt w:val="bullet"/>
      <w:lvlText w:val="-"/>
      <w:lvlJc w:val="left"/>
      <w:pPr>
        <w:tabs>
          <w:tab w:val="num" w:pos="360"/>
        </w:tabs>
        <w:ind w:left="360" w:hanging="360"/>
      </w:pPr>
      <w:rPr>
        <w:rFonts w:hint="default"/>
      </w:rPr>
    </w:lvl>
  </w:abstractNum>
  <w:abstractNum w:abstractNumId="550">
    <w:nsid w:val="52E010FE"/>
    <w:multiLevelType w:val="singleLevel"/>
    <w:tmpl w:val="0A9A15D8"/>
    <w:lvl w:ilvl="0">
      <w:start w:val="39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1">
    <w:nsid w:val="52F4270D"/>
    <w:multiLevelType w:val="singleLevel"/>
    <w:tmpl w:val="325E9D5C"/>
    <w:lvl w:ilvl="0">
      <w:start w:val="431"/>
      <w:numFmt w:val="decimal"/>
      <w:lvlText w:val="%1."/>
      <w:lvlJc w:val="left"/>
      <w:pPr>
        <w:tabs>
          <w:tab w:val="num" w:pos="360"/>
        </w:tabs>
        <w:ind w:left="360" w:hanging="360"/>
      </w:pPr>
    </w:lvl>
  </w:abstractNum>
  <w:abstractNum w:abstractNumId="552">
    <w:nsid w:val="52FD006D"/>
    <w:multiLevelType w:val="singleLevel"/>
    <w:tmpl w:val="F1A010FC"/>
    <w:lvl w:ilvl="0">
      <w:start w:val="36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3">
    <w:nsid w:val="531E7E0D"/>
    <w:multiLevelType w:val="singleLevel"/>
    <w:tmpl w:val="1E60BFEE"/>
    <w:lvl w:ilvl="0">
      <w:start w:val="176"/>
      <w:numFmt w:val="decimal"/>
      <w:lvlText w:val="%1."/>
      <w:lvlJc w:val="left"/>
      <w:pPr>
        <w:tabs>
          <w:tab w:val="num" w:pos="360"/>
        </w:tabs>
        <w:ind w:left="360" w:hanging="360"/>
      </w:pPr>
    </w:lvl>
  </w:abstractNum>
  <w:abstractNum w:abstractNumId="554">
    <w:nsid w:val="53495B56"/>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55">
    <w:nsid w:val="535C3313"/>
    <w:multiLevelType w:val="singleLevel"/>
    <w:tmpl w:val="1B9EC598"/>
    <w:lvl w:ilvl="0">
      <w:start w:val="4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6">
    <w:nsid w:val="53A9343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57">
    <w:nsid w:val="53B34997"/>
    <w:multiLevelType w:val="singleLevel"/>
    <w:tmpl w:val="100E6E1E"/>
    <w:lvl w:ilvl="0">
      <w:start w:val="268"/>
      <w:numFmt w:val="decimal"/>
      <w:lvlText w:val="%1."/>
      <w:lvlJc w:val="left"/>
      <w:pPr>
        <w:tabs>
          <w:tab w:val="num" w:pos="360"/>
        </w:tabs>
        <w:ind w:left="360" w:hanging="360"/>
      </w:pPr>
    </w:lvl>
  </w:abstractNum>
  <w:abstractNum w:abstractNumId="558">
    <w:nsid w:val="53EA7EE6"/>
    <w:multiLevelType w:val="singleLevel"/>
    <w:tmpl w:val="D98C7C6A"/>
    <w:lvl w:ilvl="0">
      <w:numFmt w:val="bullet"/>
      <w:lvlText w:val="-"/>
      <w:lvlJc w:val="left"/>
      <w:pPr>
        <w:tabs>
          <w:tab w:val="num" w:pos="360"/>
        </w:tabs>
        <w:ind w:left="360" w:hanging="360"/>
      </w:pPr>
      <w:rPr>
        <w:rFonts w:hint="default"/>
      </w:rPr>
    </w:lvl>
  </w:abstractNum>
  <w:abstractNum w:abstractNumId="559">
    <w:nsid w:val="53EF43B4"/>
    <w:multiLevelType w:val="singleLevel"/>
    <w:tmpl w:val="48FA23E0"/>
    <w:lvl w:ilvl="0">
      <w:start w:val="173"/>
      <w:numFmt w:val="decimal"/>
      <w:lvlText w:val="%1."/>
      <w:lvlJc w:val="left"/>
      <w:pPr>
        <w:tabs>
          <w:tab w:val="num" w:pos="360"/>
        </w:tabs>
        <w:ind w:left="360" w:hanging="360"/>
      </w:pPr>
    </w:lvl>
  </w:abstractNum>
  <w:abstractNum w:abstractNumId="560">
    <w:nsid w:val="54725FBB"/>
    <w:multiLevelType w:val="singleLevel"/>
    <w:tmpl w:val="82B49A10"/>
    <w:lvl w:ilvl="0">
      <w:start w:val="229"/>
      <w:numFmt w:val="decimal"/>
      <w:lvlText w:val="%1."/>
      <w:lvlJc w:val="left"/>
      <w:pPr>
        <w:tabs>
          <w:tab w:val="num" w:pos="360"/>
        </w:tabs>
        <w:ind w:left="360" w:hanging="360"/>
      </w:pPr>
    </w:lvl>
  </w:abstractNum>
  <w:abstractNum w:abstractNumId="561">
    <w:nsid w:val="548F3DBB"/>
    <w:multiLevelType w:val="singleLevel"/>
    <w:tmpl w:val="F60E32A6"/>
    <w:lvl w:ilvl="0">
      <w:start w:val="3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2">
    <w:nsid w:val="5499464B"/>
    <w:multiLevelType w:val="singleLevel"/>
    <w:tmpl w:val="E79A8D2A"/>
    <w:lvl w:ilvl="0">
      <w:start w:val="40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3">
    <w:nsid w:val="54BD216D"/>
    <w:multiLevelType w:val="singleLevel"/>
    <w:tmpl w:val="FE140544"/>
    <w:lvl w:ilvl="0">
      <w:numFmt w:val="bullet"/>
      <w:lvlText w:val="-"/>
      <w:lvlJc w:val="left"/>
      <w:pPr>
        <w:tabs>
          <w:tab w:val="num" w:pos="720"/>
        </w:tabs>
        <w:ind w:left="720" w:hanging="720"/>
      </w:pPr>
      <w:rPr>
        <w:rFonts w:hint="default"/>
      </w:rPr>
    </w:lvl>
  </w:abstractNum>
  <w:abstractNum w:abstractNumId="564">
    <w:nsid w:val="54F33BE2"/>
    <w:multiLevelType w:val="singleLevel"/>
    <w:tmpl w:val="B3A6698C"/>
    <w:lvl w:ilvl="0">
      <w:start w:val="350"/>
      <w:numFmt w:val="decimal"/>
      <w:lvlText w:val="%1."/>
      <w:lvlJc w:val="left"/>
      <w:pPr>
        <w:tabs>
          <w:tab w:val="num" w:pos="360"/>
        </w:tabs>
        <w:ind w:left="360" w:hanging="360"/>
      </w:pPr>
    </w:lvl>
  </w:abstractNum>
  <w:abstractNum w:abstractNumId="565">
    <w:nsid w:val="55055F1F"/>
    <w:multiLevelType w:val="singleLevel"/>
    <w:tmpl w:val="3B080650"/>
    <w:lvl w:ilvl="0">
      <w:start w:val="143"/>
      <w:numFmt w:val="decimal"/>
      <w:lvlText w:val="%1."/>
      <w:lvlJc w:val="left"/>
      <w:pPr>
        <w:tabs>
          <w:tab w:val="num" w:pos="360"/>
        </w:tabs>
        <w:ind w:left="360" w:hanging="360"/>
      </w:pPr>
    </w:lvl>
  </w:abstractNum>
  <w:abstractNum w:abstractNumId="566">
    <w:nsid w:val="556F51B4"/>
    <w:multiLevelType w:val="singleLevel"/>
    <w:tmpl w:val="B944E7A8"/>
    <w:lvl w:ilvl="0">
      <w:start w:val="30"/>
      <w:numFmt w:val="decimal"/>
      <w:lvlText w:val="%1."/>
      <w:lvlJc w:val="left"/>
      <w:pPr>
        <w:tabs>
          <w:tab w:val="num" w:pos="360"/>
        </w:tabs>
        <w:ind w:left="360" w:hanging="360"/>
      </w:pPr>
    </w:lvl>
  </w:abstractNum>
  <w:abstractNum w:abstractNumId="567">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68">
    <w:nsid w:val="55B00815"/>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569">
    <w:nsid w:val="55DD4EF3"/>
    <w:multiLevelType w:val="singleLevel"/>
    <w:tmpl w:val="CD945746"/>
    <w:lvl w:ilvl="0">
      <w:start w:val="1"/>
      <w:numFmt w:val="bullet"/>
      <w:lvlText w:val=""/>
      <w:lvlJc w:val="left"/>
      <w:pPr>
        <w:tabs>
          <w:tab w:val="num" w:pos="1040"/>
        </w:tabs>
        <w:ind w:left="1021" w:hanging="341"/>
      </w:pPr>
      <w:rPr>
        <w:rFonts w:ascii="Wingdings" w:hAnsi="Wingdings" w:hint="default"/>
        <w:sz w:val="20"/>
      </w:rPr>
    </w:lvl>
  </w:abstractNum>
  <w:abstractNum w:abstractNumId="570">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71">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72">
    <w:nsid w:val="569F61F0"/>
    <w:multiLevelType w:val="singleLevel"/>
    <w:tmpl w:val="623E5544"/>
    <w:lvl w:ilvl="0">
      <w:start w:val="97"/>
      <w:numFmt w:val="decimal"/>
      <w:lvlText w:val="%1."/>
      <w:lvlJc w:val="left"/>
      <w:pPr>
        <w:tabs>
          <w:tab w:val="num" w:pos="360"/>
        </w:tabs>
        <w:ind w:left="360" w:hanging="360"/>
      </w:pPr>
    </w:lvl>
  </w:abstractNum>
  <w:abstractNum w:abstractNumId="573">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574">
    <w:nsid w:val="56BE0B9A"/>
    <w:multiLevelType w:val="singleLevel"/>
    <w:tmpl w:val="69FC5D2C"/>
    <w:lvl w:ilvl="0">
      <w:start w:val="387"/>
      <w:numFmt w:val="decimal"/>
      <w:lvlText w:val="%1."/>
      <w:lvlJc w:val="left"/>
      <w:pPr>
        <w:tabs>
          <w:tab w:val="num" w:pos="720"/>
        </w:tabs>
        <w:ind w:left="720" w:hanging="720"/>
      </w:pPr>
      <w:rPr>
        <w:rFonts w:hint="default"/>
      </w:rPr>
    </w:lvl>
  </w:abstractNum>
  <w:abstractNum w:abstractNumId="575">
    <w:nsid w:val="57243C3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76">
    <w:nsid w:val="57551293"/>
    <w:multiLevelType w:val="singleLevel"/>
    <w:tmpl w:val="AA8EA840"/>
    <w:lvl w:ilvl="0">
      <w:start w:val="351"/>
      <w:numFmt w:val="decimal"/>
      <w:lvlText w:val="%1."/>
      <w:lvlJc w:val="left"/>
      <w:pPr>
        <w:tabs>
          <w:tab w:val="num" w:pos="360"/>
        </w:tabs>
        <w:ind w:left="360" w:hanging="360"/>
      </w:pPr>
    </w:lvl>
  </w:abstractNum>
  <w:abstractNum w:abstractNumId="577">
    <w:nsid w:val="5818552E"/>
    <w:multiLevelType w:val="multilevel"/>
    <w:tmpl w:val="6F3259B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8">
    <w:nsid w:val="58201DDB"/>
    <w:multiLevelType w:val="singleLevel"/>
    <w:tmpl w:val="3C68F11C"/>
    <w:lvl w:ilvl="0">
      <w:start w:val="3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9">
    <w:nsid w:val="585B6AEE"/>
    <w:multiLevelType w:val="singleLevel"/>
    <w:tmpl w:val="4DDC6CAE"/>
    <w:lvl w:ilvl="0">
      <w:start w:val="396"/>
      <w:numFmt w:val="decimal"/>
      <w:lvlText w:val="%1."/>
      <w:lvlJc w:val="left"/>
      <w:pPr>
        <w:tabs>
          <w:tab w:val="num" w:pos="360"/>
        </w:tabs>
        <w:ind w:left="360" w:hanging="360"/>
      </w:pPr>
    </w:lvl>
  </w:abstractNum>
  <w:abstractNum w:abstractNumId="580">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581">
    <w:nsid w:val="58EF0861"/>
    <w:multiLevelType w:val="singleLevel"/>
    <w:tmpl w:val="755E186A"/>
    <w:lvl w:ilvl="0">
      <w:start w:val="110"/>
      <w:numFmt w:val="decimal"/>
      <w:lvlText w:val="%1."/>
      <w:lvlJc w:val="left"/>
      <w:pPr>
        <w:tabs>
          <w:tab w:val="num" w:pos="360"/>
        </w:tabs>
        <w:ind w:left="360" w:hanging="360"/>
      </w:pPr>
    </w:lvl>
  </w:abstractNum>
  <w:abstractNum w:abstractNumId="582">
    <w:nsid w:val="58F44E9E"/>
    <w:multiLevelType w:val="singleLevel"/>
    <w:tmpl w:val="B3A6698C"/>
    <w:lvl w:ilvl="0">
      <w:start w:val="350"/>
      <w:numFmt w:val="decimal"/>
      <w:lvlText w:val="%1."/>
      <w:lvlJc w:val="left"/>
      <w:pPr>
        <w:tabs>
          <w:tab w:val="num" w:pos="360"/>
        </w:tabs>
        <w:ind w:left="360" w:hanging="360"/>
      </w:pPr>
    </w:lvl>
  </w:abstractNum>
  <w:abstractNum w:abstractNumId="583">
    <w:nsid w:val="595302FB"/>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84">
    <w:nsid w:val="599F7DB0"/>
    <w:multiLevelType w:val="singleLevel"/>
    <w:tmpl w:val="322C0B72"/>
    <w:lvl w:ilvl="0">
      <w:start w:val="37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5">
    <w:nsid w:val="59B36640"/>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586">
    <w:nsid w:val="59C363A3"/>
    <w:multiLevelType w:val="singleLevel"/>
    <w:tmpl w:val="6AF83320"/>
    <w:lvl w:ilvl="0">
      <w:start w:val="4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7">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588">
    <w:nsid w:val="59FF4255"/>
    <w:multiLevelType w:val="singleLevel"/>
    <w:tmpl w:val="F2007EEE"/>
    <w:lvl w:ilvl="0">
      <w:start w:val="3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9">
    <w:nsid w:val="5A343F9A"/>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90">
    <w:nsid w:val="5A606229"/>
    <w:multiLevelType w:val="singleLevel"/>
    <w:tmpl w:val="2AAA2CA4"/>
    <w:lvl w:ilvl="0">
      <w:start w:val="4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1">
    <w:nsid w:val="5A861465"/>
    <w:multiLevelType w:val="singleLevel"/>
    <w:tmpl w:val="2758D1E4"/>
    <w:lvl w:ilvl="0">
      <w:start w:val="138"/>
      <w:numFmt w:val="decimal"/>
      <w:lvlText w:val="%1."/>
      <w:lvlJc w:val="left"/>
      <w:pPr>
        <w:tabs>
          <w:tab w:val="num" w:pos="360"/>
        </w:tabs>
        <w:ind w:left="360" w:hanging="360"/>
      </w:pPr>
    </w:lvl>
  </w:abstractNum>
  <w:abstractNum w:abstractNumId="592">
    <w:nsid w:val="5ABF145A"/>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593">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594">
    <w:nsid w:val="5B3A7E06"/>
    <w:multiLevelType w:val="singleLevel"/>
    <w:tmpl w:val="D98C7C6A"/>
    <w:lvl w:ilvl="0">
      <w:numFmt w:val="bullet"/>
      <w:lvlText w:val="-"/>
      <w:lvlJc w:val="left"/>
      <w:pPr>
        <w:tabs>
          <w:tab w:val="num" w:pos="360"/>
        </w:tabs>
        <w:ind w:left="360" w:hanging="360"/>
      </w:pPr>
      <w:rPr>
        <w:rFonts w:hint="default"/>
      </w:rPr>
    </w:lvl>
  </w:abstractNum>
  <w:abstractNum w:abstractNumId="595">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596">
    <w:nsid w:val="5B9C3A77"/>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97">
    <w:nsid w:val="5BC8497E"/>
    <w:multiLevelType w:val="singleLevel"/>
    <w:tmpl w:val="67767CD8"/>
    <w:lvl w:ilvl="0">
      <w:start w:val="39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8">
    <w:nsid w:val="5BC97607"/>
    <w:multiLevelType w:val="singleLevel"/>
    <w:tmpl w:val="6E4A8848"/>
    <w:lvl w:ilvl="0">
      <w:start w:val="4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9">
    <w:nsid w:val="5BE64CCA"/>
    <w:multiLevelType w:val="singleLevel"/>
    <w:tmpl w:val="62FCFB02"/>
    <w:lvl w:ilvl="0">
      <w:start w:val="3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0">
    <w:nsid w:val="5BFD4BF9"/>
    <w:multiLevelType w:val="singleLevel"/>
    <w:tmpl w:val="748A3BFC"/>
    <w:lvl w:ilvl="0">
      <w:start w:val="307"/>
      <w:numFmt w:val="decimal"/>
      <w:lvlText w:val="%1."/>
      <w:lvlJc w:val="left"/>
      <w:pPr>
        <w:tabs>
          <w:tab w:val="num" w:pos="360"/>
        </w:tabs>
        <w:ind w:left="360" w:hanging="360"/>
      </w:pPr>
    </w:lvl>
  </w:abstractNum>
  <w:abstractNum w:abstractNumId="601">
    <w:nsid w:val="5C061B2E"/>
    <w:multiLevelType w:val="singleLevel"/>
    <w:tmpl w:val="C6B807BE"/>
    <w:lvl w:ilvl="0">
      <w:start w:val="4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2">
    <w:nsid w:val="5C4E5F36"/>
    <w:multiLevelType w:val="singleLevel"/>
    <w:tmpl w:val="464A0D82"/>
    <w:lvl w:ilvl="0">
      <w:start w:val="140"/>
      <w:numFmt w:val="decimal"/>
      <w:lvlText w:val="%1."/>
      <w:lvlJc w:val="left"/>
      <w:pPr>
        <w:tabs>
          <w:tab w:val="num" w:pos="360"/>
        </w:tabs>
        <w:ind w:left="360" w:hanging="360"/>
      </w:pPr>
    </w:lvl>
  </w:abstractNum>
  <w:abstractNum w:abstractNumId="603">
    <w:nsid w:val="5C725055"/>
    <w:multiLevelType w:val="singleLevel"/>
    <w:tmpl w:val="3AA4242C"/>
    <w:lvl w:ilvl="0">
      <w:start w:val="3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4">
    <w:nsid w:val="5CA5704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05">
    <w:nsid w:val="5CD778C6"/>
    <w:multiLevelType w:val="singleLevel"/>
    <w:tmpl w:val="0C6E5DFA"/>
    <w:lvl w:ilvl="0">
      <w:start w:val="39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6">
    <w:nsid w:val="5D20655E"/>
    <w:multiLevelType w:val="singleLevel"/>
    <w:tmpl w:val="28603432"/>
    <w:lvl w:ilvl="0">
      <w:start w:val="363"/>
      <w:numFmt w:val="decimal"/>
      <w:lvlText w:val="%1."/>
      <w:lvlJc w:val="left"/>
      <w:pPr>
        <w:tabs>
          <w:tab w:val="num" w:pos="360"/>
        </w:tabs>
        <w:ind w:left="360" w:hanging="360"/>
      </w:pPr>
    </w:lvl>
  </w:abstractNum>
  <w:abstractNum w:abstractNumId="607">
    <w:nsid w:val="5D4C7FD3"/>
    <w:multiLevelType w:val="singleLevel"/>
    <w:tmpl w:val="3266C95E"/>
    <w:lvl w:ilvl="0">
      <w:start w:val="323"/>
      <w:numFmt w:val="decimal"/>
      <w:lvlText w:val="%1."/>
      <w:lvlJc w:val="left"/>
      <w:pPr>
        <w:tabs>
          <w:tab w:val="num" w:pos="360"/>
        </w:tabs>
        <w:ind w:left="360" w:hanging="360"/>
      </w:pPr>
    </w:lvl>
  </w:abstractNum>
  <w:abstractNum w:abstractNumId="608">
    <w:nsid w:val="5D6824F7"/>
    <w:multiLevelType w:val="singleLevel"/>
    <w:tmpl w:val="BE88F3D2"/>
    <w:lvl w:ilvl="0">
      <w:start w:val="348"/>
      <w:numFmt w:val="decimal"/>
      <w:lvlText w:val="%1."/>
      <w:lvlJc w:val="left"/>
      <w:pPr>
        <w:tabs>
          <w:tab w:val="num" w:pos="360"/>
        </w:tabs>
        <w:ind w:left="360" w:hanging="360"/>
      </w:pPr>
    </w:lvl>
  </w:abstractNum>
  <w:abstractNum w:abstractNumId="609">
    <w:nsid w:val="5D750D13"/>
    <w:multiLevelType w:val="singleLevel"/>
    <w:tmpl w:val="7E064CDC"/>
    <w:lvl w:ilvl="0">
      <w:start w:val="38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0">
    <w:nsid w:val="5D8323DC"/>
    <w:multiLevelType w:val="singleLevel"/>
    <w:tmpl w:val="AE86E8AC"/>
    <w:lvl w:ilvl="0">
      <w:start w:val="198"/>
      <w:numFmt w:val="decimal"/>
      <w:lvlText w:val="%1."/>
      <w:lvlJc w:val="left"/>
      <w:pPr>
        <w:tabs>
          <w:tab w:val="num" w:pos="360"/>
        </w:tabs>
        <w:ind w:left="0" w:firstLine="0"/>
      </w:pPr>
    </w:lvl>
  </w:abstractNum>
  <w:abstractNum w:abstractNumId="611">
    <w:nsid w:val="5D833926"/>
    <w:multiLevelType w:val="singleLevel"/>
    <w:tmpl w:val="4E127F24"/>
    <w:lvl w:ilvl="0">
      <w:start w:val="70"/>
      <w:numFmt w:val="decimal"/>
      <w:lvlText w:val="%1."/>
      <w:lvlJc w:val="left"/>
      <w:pPr>
        <w:tabs>
          <w:tab w:val="num" w:pos="720"/>
        </w:tabs>
        <w:ind w:left="720" w:hanging="720"/>
      </w:pPr>
      <w:rPr>
        <w:rFonts w:hint="default"/>
      </w:rPr>
    </w:lvl>
  </w:abstractNum>
  <w:abstractNum w:abstractNumId="612">
    <w:nsid w:val="5D8B65FF"/>
    <w:multiLevelType w:val="singleLevel"/>
    <w:tmpl w:val="93C46E88"/>
    <w:lvl w:ilvl="0">
      <w:start w:val="136"/>
      <w:numFmt w:val="decimal"/>
      <w:lvlText w:val="%1."/>
      <w:lvlJc w:val="left"/>
      <w:pPr>
        <w:tabs>
          <w:tab w:val="num" w:pos="360"/>
        </w:tabs>
        <w:ind w:left="360" w:hanging="360"/>
      </w:pPr>
    </w:lvl>
  </w:abstractNum>
  <w:abstractNum w:abstractNumId="613">
    <w:nsid w:val="5DE13FC6"/>
    <w:multiLevelType w:val="singleLevel"/>
    <w:tmpl w:val="89842F8C"/>
    <w:lvl w:ilvl="0">
      <w:start w:val="445"/>
      <w:numFmt w:val="decimal"/>
      <w:lvlText w:val="%1."/>
      <w:lvlJc w:val="left"/>
      <w:pPr>
        <w:tabs>
          <w:tab w:val="num" w:pos="360"/>
        </w:tabs>
        <w:ind w:left="360" w:hanging="360"/>
      </w:pPr>
    </w:lvl>
  </w:abstractNum>
  <w:abstractNum w:abstractNumId="614">
    <w:nsid w:val="5DE1541C"/>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615">
    <w:nsid w:val="5E05358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16">
    <w:nsid w:val="5E4A76CA"/>
    <w:multiLevelType w:val="singleLevel"/>
    <w:tmpl w:val="711A8E62"/>
    <w:lvl w:ilvl="0">
      <w:start w:val="26"/>
      <w:numFmt w:val="decimal"/>
      <w:lvlText w:val="%1."/>
      <w:lvlJc w:val="left"/>
      <w:pPr>
        <w:tabs>
          <w:tab w:val="num" w:pos="360"/>
        </w:tabs>
        <w:ind w:left="360" w:hanging="360"/>
      </w:pPr>
    </w:lvl>
  </w:abstractNum>
  <w:abstractNum w:abstractNumId="617">
    <w:nsid w:val="5EA53D5B"/>
    <w:multiLevelType w:val="singleLevel"/>
    <w:tmpl w:val="D98C7C6A"/>
    <w:lvl w:ilvl="0">
      <w:numFmt w:val="bullet"/>
      <w:lvlText w:val="-"/>
      <w:lvlJc w:val="left"/>
      <w:pPr>
        <w:tabs>
          <w:tab w:val="num" w:pos="360"/>
        </w:tabs>
        <w:ind w:left="360" w:hanging="360"/>
      </w:pPr>
      <w:rPr>
        <w:rFonts w:hint="default"/>
      </w:rPr>
    </w:lvl>
  </w:abstractNum>
  <w:abstractNum w:abstractNumId="618">
    <w:nsid w:val="5EF22BF5"/>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19">
    <w:nsid w:val="5EF9397A"/>
    <w:multiLevelType w:val="singleLevel"/>
    <w:tmpl w:val="3ED60002"/>
    <w:lvl w:ilvl="0">
      <w:start w:val="150"/>
      <w:numFmt w:val="decimal"/>
      <w:lvlText w:val="%1."/>
      <w:lvlJc w:val="left"/>
      <w:pPr>
        <w:tabs>
          <w:tab w:val="num" w:pos="360"/>
        </w:tabs>
        <w:ind w:left="360" w:hanging="360"/>
      </w:pPr>
    </w:lvl>
  </w:abstractNum>
  <w:abstractNum w:abstractNumId="620">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621">
    <w:nsid w:val="5F700877"/>
    <w:multiLevelType w:val="singleLevel"/>
    <w:tmpl w:val="0419000F"/>
    <w:lvl w:ilvl="0">
      <w:start w:val="1"/>
      <w:numFmt w:val="decimal"/>
      <w:lvlText w:val="%1."/>
      <w:lvlJc w:val="left"/>
      <w:pPr>
        <w:tabs>
          <w:tab w:val="num" w:pos="360"/>
        </w:tabs>
        <w:ind w:left="360" w:hanging="360"/>
      </w:pPr>
    </w:lvl>
  </w:abstractNum>
  <w:abstractNum w:abstractNumId="622">
    <w:nsid w:val="5FCA1F3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23">
    <w:nsid w:val="5FD24575"/>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24">
    <w:nsid w:val="5FDA7B73"/>
    <w:multiLevelType w:val="singleLevel"/>
    <w:tmpl w:val="90AA301C"/>
    <w:lvl w:ilvl="0">
      <w:start w:val="34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25">
    <w:nsid w:val="60270283"/>
    <w:multiLevelType w:val="singleLevel"/>
    <w:tmpl w:val="0E8EA210"/>
    <w:lvl w:ilvl="0">
      <w:start w:val="1"/>
      <w:numFmt w:val="lowerLetter"/>
      <w:lvlText w:val="%1)"/>
      <w:lvlJc w:val="left"/>
      <w:pPr>
        <w:tabs>
          <w:tab w:val="num" w:pos="360"/>
        </w:tabs>
        <w:ind w:left="360" w:hanging="360"/>
      </w:pPr>
    </w:lvl>
  </w:abstractNum>
  <w:abstractNum w:abstractNumId="626">
    <w:nsid w:val="60A56935"/>
    <w:multiLevelType w:val="singleLevel"/>
    <w:tmpl w:val="027CA574"/>
    <w:lvl w:ilvl="0">
      <w:start w:val="317"/>
      <w:numFmt w:val="decimal"/>
      <w:lvlText w:val="%1."/>
      <w:lvlJc w:val="left"/>
      <w:pPr>
        <w:tabs>
          <w:tab w:val="num" w:pos="360"/>
        </w:tabs>
        <w:ind w:left="360" w:hanging="360"/>
      </w:pPr>
    </w:lvl>
  </w:abstractNum>
  <w:abstractNum w:abstractNumId="627">
    <w:nsid w:val="60A97855"/>
    <w:multiLevelType w:val="singleLevel"/>
    <w:tmpl w:val="0419000F"/>
    <w:lvl w:ilvl="0">
      <w:start w:val="1"/>
      <w:numFmt w:val="decimal"/>
      <w:lvlText w:val="%1."/>
      <w:lvlJc w:val="left"/>
      <w:pPr>
        <w:tabs>
          <w:tab w:val="num" w:pos="360"/>
        </w:tabs>
        <w:ind w:left="360" w:hanging="360"/>
      </w:pPr>
    </w:lvl>
  </w:abstractNum>
  <w:abstractNum w:abstractNumId="628">
    <w:nsid w:val="60CC2D4B"/>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29">
    <w:nsid w:val="60E746A1"/>
    <w:multiLevelType w:val="singleLevel"/>
    <w:tmpl w:val="271239D4"/>
    <w:lvl w:ilvl="0">
      <w:start w:val="291"/>
      <w:numFmt w:val="decimal"/>
      <w:lvlText w:val="%1."/>
      <w:lvlJc w:val="left"/>
      <w:pPr>
        <w:tabs>
          <w:tab w:val="num" w:pos="360"/>
        </w:tabs>
        <w:ind w:left="360" w:hanging="360"/>
      </w:pPr>
    </w:lvl>
  </w:abstractNum>
  <w:abstractNum w:abstractNumId="630">
    <w:nsid w:val="613E4132"/>
    <w:multiLevelType w:val="singleLevel"/>
    <w:tmpl w:val="97E47050"/>
    <w:lvl w:ilvl="0">
      <w:start w:val="1"/>
      <w:numFmt w:val="lowerRoman"/>
      <w:lvlText w:val="(%1)"/>
      <w:lvlJc w:val="left"/>
      <w:pPr>
        <w:tabs>
          <w:tab w:val="num" w:pos="720"/>
        </w:tabs>
        <w:ind w:left="720" w:hanging="720"/>
      </w:pPr>
      <w:rPr>
        <w:rFonts w:hint="default"/>
      </w:rPr>
    </w:lvl>
  </w:abstractNum>
  <w:abstractNum w:abstractNumId="631">
    <w:nsid w:val="61844FD2"/>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632">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33">
    <w:nsid w:val="61A9681A"/>
    <w:multiLevelType w:val="singleLevel"/>
    <w:tmpl w:val="F2461D94"/>
    <w:lvl w:ilvl="0">
      <w:start w:val="39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4">
    <w:nsid w:val="61CF7AE3"/>
    <w:multiLevelType w:val="singleLevel"/>
    <w:tmpl w:val="402675E6"/>
    <w:lvl w:ilvl="0">
      <w:start w:val="35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5">
    <w:nsid w:val="61D56459"/>
    <w:multiLevelType w:val="singleLevel"/>
    <w:tmpl w:val="E5EC1932"/>
    <w:lvl w:ilvl="0">
      <w:start w:val="2"/>
      <w:numFmt w:val="decimal"/>
      <w:lvlText w:val="%1."/>
      <w:lvlJc w:val="left"/>
      <w:pPr>
        <w:tabs>
          <w:tab w:val="num" w:pos="360"/>
        </w:tabs>
        <w:ind w:left="360" w:hanging="360"/>
      </w:pPr>
    </w:lvl>
  </w:abstractNum>
  <w:abstractNum w:abstractNumId="636">
    <w:nsid w:val="61DA3877"/>
    <w:multiLevelType w:val="singleLevel"/>
    <w:tmpl w:val="23D62BDA"/>
    <w:lvl w:ilvl="0">
      <w:start w:val="168"/>
      <w:numFmt w:val="decimal"/>
      <w:lvlText w:val="%1."/>
      <w:lvlJc w:val="left"/>
      <w:pPr>
        <w:tabs>
          <w:tab w:val="num" w:pos="360"/>
        </w:tabs>
        <w:ind w:left="360" w:hanging="360"/>
      </w:pPr>
    </w:lvl>
  </w:abstractNum>
  <w:abstractNum w:abstractNumId="637">
    <w:nsid w:val="6225775E"/>
    <w:multiLevelType w:val="singleLevel"/>
    <w:tmpl w:val="2F0E929C"/>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8">
    <w:nsid w:val="63115108"/>
    <w:multiLevelType w:val="singleLevel"/>
    <w:tmpl w:val="E3AA84BE"/>
    <w:lvl w:ilvl="0">
      <w:start w:val="3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9">
    <w:nsid w:val="6335316B"/>
    <w:multiLevelType w:val="singleLevel"/>
    <w:tmpl w:val="67F22938"/>
    <w:lvl w:ilvl="0">
      <w:start w:val="155"/>
      <w:numFmt w:val="decimal"/>
      <w:lvlText w:val="%1."/>
      <w:lvlJc w:val="left"/>
      <w:pPr>
        <w:tabs>
          <w:tab w:val="num" w:pos="624"/>
        </w:tabs>
        <w:ind w:left="624" w:hanging="624"/>
      </w:pPr>
    </w:lvl>
  </w:abstractNum>
  <w:abstractNum w:abstractNumId="640">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641">
    <w:nsid w:val="635B58F4"/>
    <w:multiLevelType w:val="singleLevel"/>
    <w:tmpl w:val="A766748E"/>
    <w:lvl w:ilvl="0">
      <w:start w:val="167"/>
      <w:numFmt w:val="decimal"/>
      <w:lvlText w:val="%1."/>
      <w:lvlJc w:val="left"/>
      <w:pPr>
        <w:tabs>
          <w:tab w:val="num" w:pos="360"/>
        </w:tabs>
        <w:ind w:left="360" w:hanging="360"/>
      </w:pPr>
    </w:lvl>
  </w:abstractNum>
  <w:abstractNum w:abstractNumId="642">
    <w:nsid w:val="638C31DC"/>
    <w:multiLevelType w:val="singleLevel"/>
    <w:tmpl w:val="FBB05AF4"/>
    <w:lvl w:ilvl="0">
      <w:start w:val="35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3">
    <w:nsid w:val="63A50084"/>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44">
    <w:nsid w:val="63BC63A0"/>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45">
    <w:nsid w:val="63CD74F5"/>
    <w:multiLevelType w:val="singleLevel"/>
    <w:tmpl w:val="38BABC78"/>
    <w:lvl w:ilvl="0">
      <w:start w:val="4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6">
    <w:nsid w:val="64235ACD"/>
    <w:multiLevelType w:val="singleLevel"/>
    <w:tmpl w:val="94F6085E"/>
    <w:lvl w:ilvl="0">
      <w:start w:val="1"/>
      <w:numFmt w:val="bullet"/>
      <w:lvlText w:val=""/>
      <w:lvlJc w:val="left"/>
      <w:pPr>
        <w:tabs>
          <w:tab w:val="num" w:pos="1778"/>
        </w:tabs>
        <w:ind w:left="1701" w:hanging="283"/>
      </w:pPr>
      <w:rPr>
        <w:rFonts w:ascii="Symbol" w:hAnsi="Symbol" w:hint="default"/>
        <w:sz w:val="20"/>
      </w:rPr>
    </w:lvl>
  </w:abstractNum>
  <w:abstractNum w:abstractNumId="647">
    <w:nsid w:val="6434767C"/>
    <w:multiLevelType w:val="singleLevel"/>
    <w:tmpl w:val="9E025406"/>
    <w:lvl w:ilvl="0">
      <w:start w:val="1"/>
      <w:numFmt w:val="bullet"/>
      <w:lvlText w:val=""/>
      <w:lvlJc w:val="left"/>
      <w:pPr>
        <w:tabs>
          <w:tab w:val="num" w:pos="1040"/>
        </w:tabs>
        <w:ind w:left="1021" w:hanging="341"/>
      </w:pPr>
      <w:rPr>
        <w:rFonts w:ascii="Symbol" w:hAnsi="Symbol" w:hint="default"/>
        <w:sz w:val="22"/>
      </w:rPr>
    </w:lvl>
  </w:abstractNum>
  <w:abstractNum w:abstractNumId="648">
    <w:nsid w:val="64387689"/>
    <w:multiLevelType w:val="singleLevel"/>
    <w:tmpl w:val="1472BB66"/>
    <w:lvl w:ilvl="0">
      <w:start w:val="1"/>
      <w:numFmt w:val="bullet"/>
      <w:lvlText w:val=""/>
      <w:lvlJc w:val="left"/>
      <w:pPr>
        <w:tabs>
          <w:tab w:val="num" w:pos="1040"/>
        </w:tabs>
        <w:ind w:left="1021" w:hanging="341"/>
      </w:pPr>
      <w:rPr>
        <w:rFonts w:ascii="Wingdings" w:hAnsi="Wingdings" w:hint="default"/>
        <w:sz w:val="20"/>
      </w:rPr>
    </w:lvl>
  </w:abstractNum>
  <w:abstractNum w:abstractNumId="649">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50">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1">
    <w:nsid w:val="646F4107"/>
    <w:multiLevelType w:val="singleLevel"/>
    <w:tmpl w:val="3AD68B42"/>
    <w:lvl w:ilvl="0">
      <w:start w:val="169"/>
      <w:numFmt w:val="decimal"/>
      <w:lvlText w:val="%1."/>
      <w:lvlJc w:val="left"/>
      <w:pPr>
        <w:tabs>
          <w:tab w:val="num" w:pos="360"/>
        </w:tabs>
        <w:ind w:left="360" w:hanging="360"/>
      </w:pPr>
    </w:lvl>
  </w:abstractNum>
  <w:abstractNum w:abstractNumId="652">
    <w:nsid w:val="64990DCE"/>
    <w:multiLevelType w:val="singleLevel"/>
    <w:tmpl w:val="7A1CE3FC"/>
    <w:lvl w:ilvl="0">
      <w:start w:val="46"/>
      <w:numFmt w:val="decimal"/>
      <w:lvlText w:val="%1."/>
      <w:lvlJc w:val="left"/>
      <w:pPr>
        <w:tabs>
          <w:tab w:val="num" w:pos="360"/>
        </w:tabs>
        <w:ind w:left="360" w:hanging="360"/>
      </w:pPr>
    </w:lvl>
  </w:abstractNum>
  <w:abstractNum w:abstractNumId="653">
    <w:nsid w:val="64B25C05"/>
    <w:multiLevelType w:val="singleLevel"/>
    <w:tmpl w:val="441A0002"/>
    <w:lvl w:ilvl="0">
      <w:start w:val="162"/>
      <w:numFmt w:val="decimal"/>
      <w:lvlText w:val="%1."/>
      <w:lvlJc w:val="left"/>
      <w:pPr>
        <w:tabs>
          <w:tab w:val="num" w:pos="360"/>
        </w:tabs>
        <w:ind w:left="360" w:hanging="360"/>
      </w:pPr>
    </w:lvl>
  </w:abstractNum>
  <w:abstractNum w:abstractNumId="654">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655">
    <w:nsid w:val="64F5667B"/>
    <w:multiLevelType w:val="singleLevel"/>
    <w:tmpl w:val="8EAE3F9C"/>
    <w:lvl w:ilvl="0">
      <w:start w:val="4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56">
    <w:nsid w:val="65151EC9"/>
    <w:multiLevelType w:val="singleLevel"/>
    <w:tmpl w:val="6AE8CDD4"/>
    <w:lvl w:ilvl="0">
      <w:start w:val="260"/>
      <w:numFmt w:val="decimal"/>
      <w:lvlText w:val="%1."/>
      <w:lvlJc w:val="left"/>
      <w:pPr>
        <w:tabs>
          <w:tab w:val="num" w:pos="360"/>
        </w:tabs>
        <w:ind w:left="360" w:hanging="360"/>
      </w:pPr>
    </w:lvl>
  </w:abstractNum>
  <w:abstractNum w:abstractNumId="657">
    <w:nsid w:val="65605DA2"/>
    <w:multiLevelType w:val="singleLevel"/>
    <w:tmpl w:val="AB0EC75C"/>
    <w:lvl w:ilvl="0">
      <w:start w:val="208"/>
      <w:numFmt w:val="decimal"/>
      <w:lvlText w:val="%1."/>
      <w:lvlJc w:val="left"/>
      <w:pPr>
        <w:tabs>
          <w:tab w:val="num" w:pos="360"/>
        </w:tabs>
        <w:ind w:left="360" w:hanging="360"/>
      </w:pPr>
    </w:lvl>
  </w:abstractNum>
  <w:abstractNum w:abstractNumId="658">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59">
    <w:nsid w:val="656B11E4"/>
    <w:multiLevelType w:val="singleLevel"/>
    <w:tmpl w:val="6B669F24"/>
    <w:lvl w:ilvl="0">
      <w:start w:val="40"/>
      <w:numFmt w:val="decimal"/>
      <w:lvlText w:val="%1."/>
      <w:lvlJc w:val="left"/>
      <w:pPr>
        <w:tabs>
          <w:tab w:val="num" w:pos="360"/>
        </w:tabs>
        <w:ind w:left="360" w:hanging="360"/>
      </w:pPr>
    </w:lvl>
  </w:abstractNum>
  <w:abstractNum w:abstractNumId="660">
    <w:nsid w:val="66186CAD"/>
    <w:multiLevelType w:val="multilevel"/>
    <w:tmpl w:val="A1ACC0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1">
    <w:nsid w:val="66202FD3"/>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62">
    <w:nsid w:val="66226E3E"/>
    <w:multiLevelType w:val="singleLevel"/>
    <w:tmpl w:val="07CC5AC2"/>
    <w:lvl w:ilvl="0">
      <w:start w:val="365"/>
      <w:numFmt w:val="decimal"/>
      <w:lvlText w:val="%1."/>
      <w:lvlJc w:val="left"/>
      <w:pPr>
        <w:tabs>
          <w:tab w:val="num" w:pos="720"/>
        </w:tabs>
        <w:ind w:left="720" w:hanging="720"/>
      </w:pPr>
      <w:rPr>
        <w:rFonts w:hint="default"/>
      </w:rPr>
    </w:lvl>
  </w:abstractNum>
  <w:abstractNum w:abstractNumId="663">
    <w:nsid w:val="66522C2B"/>
    <w:multiLevelType w:val="singleLevel"/>
    <w:tmpl w:val="3C9CB3E0"/>
    <w:lvl w:ilvl="0">
      <w:start w:val="37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4">
    <w:nsid w:val="6653573A"/>
    <w:multiLevelType w:val="singleLevel"/>
    <w:tmpl w:val="9274F460"/>
    <w:lvl w:ilvl="0">
      <w:start w:val="433"/>
      <w:numFmt w:val="decimal"/>
      <w:lvlText w:val="%1."/>
      <w:lvlJc w:val="left"/>
      <w:pPr>
        <w:tabs>
          <w:tab w:val="num" w:pos="360"/>
        </w:tabs>
        <w:ind w:left="360" w:hanging="360"/>
      </w:pPr>
    </w:lvl>
  </w:abstractNum>
  <w:abstractNum w:abstractNumId="665">
    <w:nsid w:val="66686379"/>
    <w:multiLevelType w:val="singleLevel"/>
    <w:tmpl w:val="7A0460F2"/>
    <w:lvl w:ilvl="0">
      <w:start w:val="393"/>
      <w:numFmt w:val="decimal"/>
      <w:lvlText w:val="%1."/>
      <w:lvlJc w:val="left"/>
      <w:pPr>
        <w:tabs>
          <w:tab w:val="num" w:pos="360"/>
        </w:tabs>
        <w:ind w:left="360" w:hanging="360"/>
      </w:pPr>
    </w:lvl>
  </w:abstractNum>
  <w:abstractNum w:abstractNumId="666">
    <w:nsid w:val="66730D25"/>
    <w:multiLevelType w:val="singleLevel"/>
    <w:tmpl w:val="128E2352"/>
    <w:lvl w:ilvl="0">
      <w:start w:val="415"/>
      <w:numFmt w:val="decimal"/>
      <w:lvlText w:val="%1)"/>
      <w:lvlJc w:val="left"/>
      <w:pPr>
        <w:tabs>
          <w:tab w:val="num" w:pos="720"/>
        </w:tabs>
        <w:ind w:left="720" w:hanging="720"/>
      </w:pPr>
      <w:rPr>
        <w:rFonts w:hint="default"/>
        <w:i w:val="0"/>
      </w:rPr>
    </w:lvl>
  </w:abstractNum>
  <w:abstractNum w:abstractNumId="667">
    <w:nsid w:val="66841946"/>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68">
    <w:nsid w:val="66BE6139"/>
    <w:multiLevelType w:val="singleLevel"/>
    <w:tmpl w:val="11789F0C"/>
    <w:lvl w:ilvl="0">
      <w:start w:val="4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9">
    <w:nsid w:val="6775463B"/>
    <w:multiLevelType w:val="singleLevel"/>
    <w:tmpl w:val="116807A0"/>
    <w:lvl w:ilvl="0">
      <w:start w:val="34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70">
    <w:nsid w:val="67CA0BA7"/>
    <w:multiLevelType w:val="singleLevel"/>
    <w:tmpl w:val="F73EB5C4"/>
    <w:lvl w:ilvl="0">
      <w:start w:val="23"/>
      <w:numFmt w:val="decimal"/>
      <w:lvlText w:val="%1."/>
      <w:lvlJc w:val="left"/>
      <w:pPr>
        <w:tabs>
          <w:tab w:val="num" w:pos="360"/>
        </w:tabs>
        <w:ind w:left="360" w:hanging="360"/>
      </w:pPr>
    </w:lvl>
  </w:abstractNum>
  <w:abstractNum w:abstractNumId="671">
    <w:nsid w:val="67D0623C"/>
    <w:multiLevelType w:val="singleLevel"/>
    <w:tmpl w:val="B3426674"/>
    <w:lvl w:ilvl="0">
      <w:start w:val="360"/>
      <w:numFmt w:val="decimal"/>
      <w:lvlText w:val="%1."/>
      <w:lvlJc w:val="left"/>
      <w:pPr>
        <w:tabs>
          <w:tab w:val="num" w:pos="720"/>
        </w:tabs>
        <w:ind w:left="720" w:hanging="720"/>
      </w:pPr>
      <w:rPr>
        <w:rFonts w:hint="default"/>
      </w:rPr>
    </w:lvl>
  </w:abstractNum>
  <w:abstractNum w:abstractNumId="672">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673">
    <w:nsid w:val="683E5A53"/>
    <w:multiLevelType w:val="singleLevel"/>
    <w:tmpl w:val="E09AFB7A"/>
    <w:lvl w:ilvl="0">
      <w:start w:val="3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74">
    <w:nsid w:val="68777C5B"/>
    <w:multiLevelType w:val="singleLevel"/>
    <w:tmpl w:val="0A5003C6"/>
    <w:lvl w:ilvl="0">
      <w:start w:val="165"/>
      <w:numFmt w:val="decimal"/>
      <w:lvlText w:val="%1."/>
      <w:lvlJc w:val="left"/>
      <w:pPr>
        <w:tabs>
          <w:tab w:val="num" w:pos="360"/>
        </w:tabs>
        <w:ind w:left="360" w:hanging="360"/>
      </w:pPr>
    </w:lvl>
  </w:abstractNum>
  <w:abstractNum w:abstractNumId="675">
    <w:nsid w:val="68AE2258"/>
    <w:multiLevelType w:val="singleLevel"/>
    <w:tmpl w:val="6CD0C1CA"/>
    <w:lvl w:ilvl="0">
      <w:start w:val="301"/>
      <w:numFmt w:val="decimal"/>
      <w:lvlText w:val="%1."/>
      <w:lvlJc w:val="left"/>
      <w:pPr>
        <w:tabs>
          <w:tab w:val="num" w:pos="360"/>
        </w:tabs>
        <w:ind w:left="360" w:hanging="360"/>
      </w:pPr>
    </w:lvl>
  </w:abstractNum>
  <w:abstractNum w:abstractNumId="676">
    <w:nsid w:val="68BE1FF2"/>
    <w:multiLevelType w:val="singleLevel"/>
    <w:tmpl w:val="1D06BCB4"/>
    <w:lvl w:ilvl="0">
      <w:start w:val="308"/>
      <w:numFmt w:val="decimal"/>
      <w:lvlText w:val="%1."/>
      <w:lvlJc w:val="left"/>
      <w:pPr>
        <w:tabs>
          <w:tab w:val="num" w:pos="360"/>
        </w:tabs>
        <w:ind w:left="360" w:hanging="360"/>
      </w:pPr>
    </w:lvl>
  </w:abstractNum>
  <w:abstractNum w:abstractNumId="677">
    <w:nsid w:val="68F30B0E"/>
    <w:multiLevelType w:val="singleLevel"/>
    <w:tmpl w:val="8DFA31DE"/>
    <w:lvl w:ilvl="0">
      <w:start w:val="371"/>
      <w:numFmt w:val="decimal"/>
      <w:lvlText w:val="%1."/>
      <w:lvlJc w:val="left"/>
      <w:pPr>
        <w:tabs>
          <w:tab w:val="num" w:pos="360"/>
        </w:tabs>
        <w:ind w:left="360" w:hanging="360"/>
      </w:pPr>
    </w:lvl>
  </w:abstractNum>
  <w:abstractNum w:abstractNumId="678">
    <w:nsid w:val="693022F6"/>
    <w:multiLevelType w:val="singleLevel"/>
    <w:tmpl w:val="F45E5A54"/>
    <w:lvl w:ilvl="0">
      <w:start w:val="52"/>
      <w:numFmt w:val="decimal"/>
      <w:lvlText w:val="%1."/>
      <w:lvlJc w:val="left"/>
      <w:pPr>
        <w:tabs>
          <w:tab w:val="num" w:pos="360"/>
        </w:tabs>
        <w:ind w:left="360" w:hanging="360"/>
      </w:pPr>
    </w:lvl>
  </w:abstractNum>
  <w:abstractNum w:abstractNumId="679">
    <w:nsid w:val="69453D5D"/>
    <w:multiLevelType w:val="singleLevel"/>
    <w:tmpl w:val="5CCA3436"/>
    <w:lvl w:ilvl="0">
      <w:start w:val="119"/>
      <w:numFmt w:val="decimal"/>
      <w:lvlText w:val="%1."/>
      <w:lvlJc w:val="left"/>
      <w:pPr>
        <w:tabs>
          <w:tab w:val="num" w:pos="360"/>
        </w:tabs>
        <w:ind w:left="360" w:hanging="360"/>
      </w:pPr>
    </w:lvl>
  </w:abstractNum>
  <w:abstractNum w:abstractNumId="680">
    <w:nsid w:val="694666DB"/>
    <w:multiLevelType w:val="singleLevel"/>
    <w:tmpl w:val="39361CE0"/>
    <w:lvl w:ilvl="0">
      <w:start w:val="3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1">
    <w:nsid w:val="697D2C5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82">
    <w:nsid w:val="69AA79F1"/>
    <w:multiLevelType w:val="singleLevel"/>
    <w:tmpl w:val="B3904CDA"/>
    <w:lvl w:ilvl="0">
      <w:start w:val="3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3">
    <w:nsid w:val="69B1779D"/>
    <w:multiLevelType w:val="singleLevel"/>
    <w:tmpl w:val="0419000F"/>
    <w:lvl w:ilvl="0">
      <w:start w:val="1"/>
      <w:numFmt w:val="decimal"/>
      <w:lvlText w:val="%1."/>
      <w:lvlJc w:val="left"/>
      <w:pPr>
        <w:tabs>
          <w:tab w:val="num" w:pos="360"/>
        </w:tabs>
        <w:ind w:left="360" w:hanging="360"/>
      </w:pPr>
    </w:lvl>
  </w:abstractNum>
  <w:abstractNum w:abstractNumId="684">
    <w:nsid w:val="6A661B22"/>
    <w:multiLevelType w:val="singleLevel"/>
    <w:tmpl w:val="29D41BE6"/>
    <w:lvl w:ilvl="0">
      <w:start w:val="4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5">
    <w:nsid w:val="6A813446"/>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86">
    <w:nsid w:val="6A824451"/>
    <w:multiLevelType w:val="singleLevel"/>
    <w:tmpl w:val="4C640D34"/>
    <w:lvl w:ilvl="0">
      <w:start w:val="224"/>
      <w:numFmt w:val="decimal"/>
      <w:lvlText w:val="%1."/>
      <w:lvlJc w:val="left"/>
      <w:pPr>
        <w:tabs>
          <w:tab w:val="num" w:pos="360"/>
        </w:tabs>
        <w:ind w:left="360" w:hanging="360"/>
      </w:pPr>
    </w:lvl>
  </w:abstractNum>
  <w:abstractNum w:abstractNumId="687">
    <w:nsid w:val="6A906862"/>
    <w:multiLevelType w:val="singleLevel"/>
    <w:tmpl w:val="710C5F5A"/>
    <w:lvl w:ilvl="0">
      <w:start w:val="100"/>
      <w:numFmt w:val="decimal"/>
      <w:lvlText w:val="%1."/>
      <w:lvlJc w:val="left"/>
      <w:pPr>
        <w:tabs>
          <w:tab w:val="num" w:pos="360"/>
        </w:tabs>
        <w:ind w:left="360" w:hanging="360"/>
      </w:pPr>
    </w:lvl>
  </w:abstractNum>
  <w:abstractNum w:abstractNumId="688">
    <w:nsid w:val="6AAD2E90"/>
    <w:multiLevelType w:val="singleLevel"/>
    <w:tmpl w:val="0419000F"/>
    <w:lvl w:ilvl="0">
      <w:start w:val="1"/>
      <w:numFmt w:val="decimal"/>
      <w:lvlText w:val="%1."/>
      <w:lvlJc w:val="left"/>
      <w:pPr>
        <w:tabs>
          <w:tab w:val="num" w:pos="360"/>
        </w:tabs>
        <w:ind w:left="360" w:hanging="360"/>
      </w:pPr>
    </w:lvl>
  </w:abstractNum>
  <w:abstractNum w:abstractNumId="689">
    <w:nsid w:val="6ACD0A38"/>
    <w:multiLevelType w:val="singleLevel"/>
    <w:tmpl w:val="798A0ED2"/>
    <w:lvl w:ilvl="0">
      <w:start w:val="281"/>
      <w:numFmt w:val="decimal"/>
      <w:lvlText w:val="%1."/>
      <w:lvlJc w:val="left"/>
      <w:pPr>
        <w:tabs>
          <w:tab w:val="num" w:pos="360"/>
        </w:tabs>
        <w:ind w:left="360" w:hanging="360"/>
      </w:pPr>
    </w:lvl>
  </w:abstractNum>
  <w:abstractNum w:abstractNumId="690">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91">
    <w:nsid w:val="6AF03D38"/>
    <w:multiLevelType w:val="singleLevel"/>
    <w:tmpl w:val="C0503B14"/>
    <w:lvl w:ilvl="0">
      <w:start w:val="4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2">
    <w:nsid w:val="6AF21556"/>
    <w:multiLevelType w:val="singleLevel"/>
    <w:tmpl w:val="0419000F"/>
    <w:lvl w:ilvl="0">
      <w:start w:val="1"/>
      <w:numFmt w:val="decimal"/>
      <w:lvlText w:val="%1."/>
      <w:lvlJc w:val="left"/>
      <w:pPr>
        <w:tabs>
          <w:tab w:val="num" w:pos="360"/>
        </w:tabs>
        <w:ind w:left="360" w:hanging="360"/>
      </w:pPr>
      <w:rPr>
        <w:rFonts w:hint="default"/>
      </w:rPr>
    </w:lvl>
  </w:abstractNum>
  <w:abstractNum w:abstractNumId="693">
    <w:nsid w:val="6B085947"/>
    <w:multiLevelType w:val="singleLevel"/>
    <w:tmpl w:val="4A6A58C4"/>
    <w:lvl w:ilvl="0">
      <w:start w:val="1"/>
      <w:numFmt w:val="bullet"/>
      <w:lvlText w:val=""/>
      <w:lvlJc w:val="left"/>
      <w:pPr>
        <w:tabs>
          <w:tab w:val="num" w:pos="1778"/>
        </w:tabs>
        <w:ind w:left="1701" w:hanging="283"/>
      </w:pPr>
      <w:rPr>
        <w:rFonts w:ascii="Symbol" w:hAnsi="Symbol" w:hint="default"/>
        <w:sz w:val="18"/>
      </w:rPr>
    </w:lvl>
  </w:abstractNum>
  <w:abstractNum w:abstractNumId="694">
    <w:nsid w:val="6B1963DB"/>
    <w:multiLevelType w:val="singleLevel"/>
    <w:tmpl w:val="250230A0"/>
    <w:lvl w:ilvl="0">
      <w:start w:val="331"/>
      <w:numFmt w:val="decimal"/>
      <w:lvlText w:val="%1."/>
      <w:lvlJc w:val="left"/>
      <w:pPr>
        <w:tabs>
          <w:tab w:val="num" w:pos="720"/>
        </w:tabs>
        <w:ind w:left="720" w:hanging="720"/>
      </w:pPr>
      <w:rPr>
        <w:rFonts w:hint="default"/>
      </w:rPr>
    </w:lvl>
  </w:abstractNum>
  <w:abstractNum w:abstractNumId="695">
    <w:nsid w:val="6B236112"/>
    <w:multiLevelType w:val="singleLevel"/>
    <w:tmpl w:val="8DF43F28"/>
    <w:lvl w:ilvl="0">
      <w:start w:val="399"/>
      <w:numFmt w:val="decimal"/>
      <w:lvlText w:val="%1."/>
      <w:lvlJc w:val="left"/>
      <w:pPr>
        <w:tabs>
          <w:tab w:val="num" w:pos="720"/>
        </w:tabs>
        <w:ind w:left="720" w:hanging="720"/>
      </w:pPr>
      <w:rPr>
        <w:rFonts w:hint="default"/>
      </w:rPr>
    </w:lvl>
  </w:abstractNum>
  <w:abstractNum w:abstractNumId="696">
    <w:nsid w:val="6B310637"/>
    <w:multiLevelType w:val="singleLevel"/>
    <w:tmpl w:val="61F69BBC"/>
    <w:lvl w:ilvl="0">
      <w:start w:val="114"/>
      <w:numFmt w:val="decimal"/>
      <w:lvlText w:val="%1."/>
      <w:lvlJc w:val="left"/>
      <w:pPr>
        <w:tabs>
          <w:tab w:val="num" w:pos="360"/>
        </w:tabs>
        <w:ind w:left="360" w:hanging="360"/>
      </w:pPr>
    </w:lvl>
  </w:abstractNum>
  <w:abstractNum w:abstractNumId="697">
    <w:nsid w:val="6B78331C"/>
    <w:multiLevelType w:val="singleLevel"/>
    <w:tmpl w:val="F4DC43CC"/>
    <w:lvl w:ilvl="0">
      <w:start w:val="36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8">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699">
    <w:nsid w:val="6B7A00B4"/>
    <w:multiLevelType w:val="singleLevel"/>
    <w:tmpl w:val="45149E4C"/>
    <w:lvl w:ilvl="0">
      <w:numFmt w:val="bullet"/>
      <w:lvlText w:val="–"/>
      <w:lvlJc w:val="left"/>
      <w:pPr>
        <w:tabs>
          <w:tab w:val="num" w:pos="360"/>
        </w:tabs>
        <w:ind w:left="360" w:hanging="360"/>
      </w:pPr>
      <w:rPr>
        <w:rFonts w:hint="default"/>
      </w:rPr>
    </w:lvl>
  </w:abstractNum>
  <w:abstractNum w:abstractNumId="700">
    <w:nsid w:val="6B8A519D"/>
    <w:multiLevelType w:val="singleLevel"/>
    <w:tmpl w:val="DDCA232C"/>
    <w:lvl w:ilvl="0">
      <w:start w:val="129"/>
      <w:numFmt w:val="decimal"/>
      <w:lvlText w:val="%1."/>
      <w:lvlJc w:val="left"/>
      <w:pPr>
        <w:tabs>
          <w:tab w:val="num" w:pos="360"/>
        </w:tabs>
        <w:ind w:left="360" w:hanging="360"/>
      </w:pPr>
    </w:lvl>
  </w:abstractNum>
  <w:abstractNum w:abstractNumId="701">
    <w:nsid w:val="6BCD7392"/>
    <w:multiLevelType w:val="singleLevel"/>
    <w:tmpl w:val="E64CB1F6"/>
    <w:lvl w:ilvl="0">
      <w:start w:val="4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02">
    <w:nsid w:val="6C1C4A01"/>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03">
    <w:nsid w:val="6C5B34B2"/>
    <w:multiLevelType w:val="singleLevel"/>
    <w:tmpl w:val="4E848D5A"/>
    <w:lvl w:ilvl="0">
      <w:start w:val="379"/>
      <w:numFmt w:val="decimal"/>
      <w:lvlText w:val="%1."/>
      <w:lvlJc w:val="left"/>
      <w:pPr>
        <w:tabs>
          <w:tab w:val="num" w:pos="360"/>
        </w:tabs>
        <w:ind w:left="360" w:hanging="360"/>
      </w:pPr>
    </w:lvl>
  </w:abstractNum>
  <w:abstractNum w:abstractNumId="704">
    <w:nsid w:val="6C5C463C"/>
    <w:multiLevelType w:val="singleLevel"/>
    <w:tmpl w:val="940AB8B2"/>
    <w:lvl w:ilvl="0">
      <w:start w:val="94"/>
      <w:numFmt w:val="decimal"/>
      <w:lvlText w:val="%1."/>
      <w:lvlJc w:val="left"/>
      <w:pPr>
        <w:tabs>
          <w:tab w:val="num" w:pos="360"/>
        </w:tabs>
        <w:ind w:left="360" w:hanging="360"/>
      </w:pPr>
    </w:lvl>
  </w:abstractNum>
  <w:abstractNum w:abstractNumId="705">
    <w:nsid w:val="6C7D57CA"/>
    <w:multiLevelType w:val="singleLevel"/>
    <w:tmpl w:val="286887F8"/>
    <w:lvl w:ilvl="0">
      <w:start w:val="289"/>
      <w:numFmt w:val="decimal"/>
      <w:lvlText w:val="%1."/>
      <w:lvlJc w:val="left"/>
      <w:pPr>
        <w:tabs>
          <w:tab w:val="num" w:pos="360"/>
        </w:tabs>
        <w:ind w:left="360" w:hanging="360"/>
      </w:pPr>
    </w:lvl>
  </w:abstractNum>
  <w:abstractNum w:abstractNumId="706">
    <w:nsid w:val="6CEB4C5D"/>
    <w:multiLevelType w:val="singleLevel"/>
    <w:tmpl w:val="0419000F"/>
    <w:lvl w:ilvl="0">
      <w:start w:val="1"/>
      <w:numFmt w:val="decimal"/>
      <w:lvlText w:val="%1."/>
      <w:lvlJc w:val="left"/>
      <w:pPr>
        <w:tabs>
          <w:tab w:val="num" w:pos="360"/>
        </w:tabs>
        <w:ind w:left="360" w:hanging="360"/>
      </w:pPr>
    </w:lvl>
  </w:abstractNum>
  <w:abstractNum w:abstractNumId="707">
    <w:nsid w:val="6CF9613C"/>
    <w:multiLevelType w:val="singleLevel"/>
    <w:tmpl w:val="05EA60FE"/>
    <w:lvl w:ilvl="0">
      <w:start w:val="332"/>
      <w:numFmt w:val="decimal"/>
      <w:lvlText w:val="%1."/>
      <w:lvlJc w:val="left"/>
      <w:pPr>
        <w:tabs>
          <w:tab w:val="num" w:pos="360"/>
        </w:tabs>
        <w:ind w:left="360" w:hanging="360"/>
      </w:pPr>
    </w:lvl>
  </w:abstractNum>
  <w:abstractNum w:abstractNumId="708">
    <w:nsid w:val="6D565C60"/>
    <w:multiLevelType w:val="singleLevel"/>
    <w:tmpl w:val="D2E6750C"/>
    <w:lvl w:ilvl="0">
      <w:start w:val="4"/>
      <w:numFmt w:val="lowerLetter"/>
      <w:lvlText w:val="%1)"/>
      <w:lvlJc w:val="left"/>
      <w:pPr>
        <w:tabs>
          <w:tab w:val="num" w:pos="360"/>
        </w:tabs>
        <w:ind w:left="360" w:hanging="360"/>
      </w:pPr>
    </w:lvl>
  </w:abstractNum>
  <w:abstractNum w:abstractNumId="709">
    <w:nsid w:val="6D900E37"/>
    <w:multiLevelType w:val="singleLevel"/>
    <w:tmpl w:val="EA72D116"/>
    <w:lvl w:ilvl="0">
      <w:start w:val="320"/>
      <w:numFmt w:val="decimal"/>
      <w:lvlText w:val="%1."/>
      <w:lvlJc w:val="left"/>
      <w:pPr>
        <w:tabs>
          <w:tab w:val="num" w:pos="360"/>
        </w:tabs>
        <w:ind w:left="360" w:hanging="360"/>
      </w:pPr>
    </w:lvl>
  </w:abstractNum>
  <w:abstractNum w:abstractNumId="710">
    <w:nsid w:val="6DB807FC"/>
    <w:multiLevelType w:val="singleLevel"/>
    <w:tmpl w:val="6F685B02"/>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11">
    <w:nsid w:val="6DCE3B37"/>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12">
    <w:nsid w:val="6DD01FE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13">
    <w:nsid w:val="6DE07D9B"/>
    <w:multiLevelType w:val="singleLevel"/>
    <w:tmpl w:val="42A06A96"/>
    <w:lvl w:ilvl="0">
      <w:start w:val="16"/>
      <w:numFmt w:val="decimal"/>
      <w:lvlText w:val="%1."/>
      <w:lvlJc w:val="left"/>
      <w:pPr>
        <w:tabs>
          <w:tab w:val="num" w:pos="360"/>
        </w:tabs>
        <w:ind w:left="360" w:hanging="360"/>
      </w:pPr>
    </w:lvl>
  </w:abstractNum>
  <w:abstractNum w:abstractNumId="714">
    <w:nsid w:val="6DE247B6"/>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15">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16">
    <w:nsid w:val="6E0049AA"/>
    <w:multiLevelType w:val="singleLevel"/>
    <w:tmpl w:val="0419000F"/>
    <w:lvl w:ilvl="0">
      <w:start w:val="1"/>
      <w:numFmt w:val="decimal"/>
      <w:lvlText w:val="%1."/>
      <w:lvlJc w:val="left"/>
      <w:pPr>
        <w:tabs>
          <w:tab w:val="num" w:pos="360"/>
        </w:tabs>
        <w:ind w:left="360" w:hanging="360"/>
      </w:pPr>
    </w:lvl>
  </w:abstractNum>
  <w:abstractNum w:abstractNumId="717">
    <w:nsid w:val="6E173CC7"/>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718">
    <w:nsid w:val="6E2A1D0A"/>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19">
    <w:nsid w:val="6E337C22"/>
    <w:multiLevelType w:val="singleLevel"/>
    <w:tmpl w:val="EA241B70"/>
    <w:lvl w:ilvl="0">
      <w:start w:val="3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0">
    <w:nsid w:val="6E90693C"/>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21">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722">
    <w:nsid w:val="6ECF482C"/>
    <w:multiLevelType w:val="singleLevel"/>
    <w:tmpl w:val="094C06AA"/>
    <w:lvl w:ilvl="0">
      <w:start w:val="3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3">
    <w:nsid w:val="6EE8030D"/>
    <w:multiLevelType w:val="singleLevel"/>
    <w:tmpl w:val="05362BFC"/>
    <w:lvl w:ilvl="0">
      <w:start w:val="210"/>
      <w:numFmt w:val="decimal"/>
      <w:lvlText w:val="%1."/>
      <w:lvlJc w:val="left"/>
      <w:pPr>
        <w:tabs>
          <w:tab w:val="num" w:pos="360"/>
        </w:tabs>
        <w:ind w:left="360" w:hanging="360"/>
      </w:pPr>
    </w:lvl>
  </w:abstractNum>
  <w:abstractNum w:abstractNumId="724">
    <w:nsid w:val="70536272"/>
    <w:multiLevelType w:val="singleLevel"/>
    <w:tmpl w:val="027CA574"/>
    <w:lvl w:ilvl="0">
      <w:start w:val="317"/>
      <w:numFmt w:val="decimal"/>
      <w:lvlText w:val="%1."/>
      <w:lvlJc w:val="left"/>
      <w:pPr>
        <w:tabs>
          <w:tab w:val="num" w:pos="360"/>
        </w:tabs>
        <w:ind w:left="360" w:hanging="360"/>
      </w:pPr>
    </w:lvl>
  </w:abstractNum>
  <w:abstractNum w:abstractNumId="725">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26">
    <w:nsid w:val="71203B80"/>
    <w:multiLevelType w:val="singleLevel"/>
    <w:tmpl w:val="F9086910"/>
    <w:lvl w:ilvl="0">
      <w:start w:val="75"/>
      <w:numFmt w:val="decimal"/>
      <w:lvlText w:val="%1."/>
      <w:lvlJc w:val="left"/>
      <w:pPr>
        <w:tabs>
          <w:tab w:val="num" w:pos="360"/>
        </w:tabs>
        <w:ind w:left="360" w:hanging="360"/>
      </w:pPr>
    </w:lvl>
  </w:abstractNum>
  <w:abstractNum w:abstractNumId="727">
    <w:nsid w:val="714E060F"/>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728">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29">
    <w:nsid w:val="7189729F"/>
    <w:multiLevelType w:val="singleLevel"/>
    <w:tmpl w:val="3C90D8EC"/>
    <w:lvl w:ilvl="0">
      <w:start w:val="4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0">
    <w:nsid w:val="71A62F20"/>
    <w:multiLevelType w:val="singleLevel"/>
    <w:tmpl w:val="2C8C75B4"/>
    <w:lvl w:ilvl="0">
      <w:start w:val="34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1">
    <w:nsid w:val="71B91E6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32">
    <w:nsid w:val="729621E3"/>
    <w:multiLevelType w:val="singleLevel"/>
    <w:tmpl w:val="D98C7C6A"/>
    <w:lvl w:ilvl="0">
      <w:numFmt w:val="bullet"/>
      <w:lvlText w:val="-"/>
      <w:lvlJc w:val="left"/>
      <w:pPr>
        <w:tabs>
          <w:tab w:val="num" w:pos="360"/>
        </w:tabs>
        <w:ind w:left="360" w:hanging="360"/>
      </w:pPr>
      <w:rPr>
        <w:rFonts w:hint="default"/>
      </w:rPr>
    </w:lvl>
  </w:abstractNum>
  <w:abstractNum w:abstractNumId="733">
    <w:nsid w:val="72A86A28"/>
    <w:multiLevelType w:val="singleLevel"/>
    <w:tmpl w:val="710C5F5A"/>
    <w:lvl w:ilvl="0">
      <w:start w:val="100"/>
      <w:numFmt w:val="decimal"/>
      <w:lvlText w:val="%1."/>
      <w:lvlJc w:val="left"/>
      <w:pPr>
        <w:tabs>
          <w:tab w:val="num" w:pos="360"/>
        </w:tabs>
        <w:ind w:left="360" w:hanging="360"/>
      </w:pPr>
    </w:lvl>
  </w:abstractNum>
  <w:abstractNum w:abstractNumId="734">
    <w:nsid w:val="730A1EC4"/>
    <w:multiLevelType w:val="singleLevel"/>
    <w:tmpl w:val="54222EEE"/>
    <w:lvl w:ilvl="0">
      <w:start w:val="133"/>
      <w:numFmt w:val="decimal"/>
      <w:lvlText w:val="%1."/>
      <w:lvlJc w:val="left"/>
      <w:pPr>
        <w:tabs>
          <w:tab w:val="num" w:pos="360"/>
        </w:tabs>
        <w:ind w:left="360" w:hanging="360"/>
      </w:pPr>
    </w:lvl>
  </w:abstractNum>
  <w:abstractNum w:abstractNumId="735">
    <w:nsid w:val="732F14C8"/>
    <w:multiLevelType w:val="singleLevel"/>
    <w:tmpl w:val="0419000F"/>
    <w:lvl w:ilvl="0">
      <w:start w:val="1"/>
      <w:numFmt w:val="decimal"/>
      <w:lvlText w:val="%1."/>
      <w:lvlJc w:val="left"/>
      <w:pPr>
        <w:tabs>
          <w:tab w:val="num" w:pos="360"/>
        </w:tabs>
        <w:ind w:left="360" w:hanging="360"/>
      </w:pPr>
    </w:lvl>
  </w:abstractNum>
  <w:abstractNum w:abstractNumId="736">
    <w:nsid w:val="7372224D"/>
    <w:multiLevelType w:val="singleLevel"/>
    <w:tmpl w:val="D98C7C6A"/>
    <w:lvl w:ilvl="0">
      <w:numFmt w:val="bullet"/>
      <w:lvlText w:val="-"/>
      <w:lvlJc w:val="left"/>
      <w:pPr>
        <w:tabs>
          <w:tab w:val="num" w:pos="360"/>
        </w:tabs>
        <w:ind w:left="360" w:hanging="360"/>
      </w:pPr>
      <w:rPr>
        <w:rFonts w:hint="default"/>
      </w:rPr>
    </w:lvl>
  </w:abstractNum>
  <w:abstractNum w:abstractNumId="737">
    <w:nsid w:val="739730C9"/>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38">
    <w:nsid w:val="73F55A3B"/>
    <w:multiLevelType w:val="singleLevel"/>
    <w:tmpl w:val="95382812"/>
    <w:lvl w:ilvl="0">
      <w:start w:val="40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9">
    <w:nsid w:val="74715624"/>
    <w:multiLevelType w:val="singleLevel"/>
    <w:tmpl w:val="7E5E5BDE"/>
    <w:lvl w:ilvl="0">
      <w:start w:val="347"/>
      <w:numFmt w:val="decimal"/>
      <w:lvlText w:val="%1."/>
      <w:lvlJc w:val="left"/>
      <w:pPr>
        <w:tabs>
          <w:tab w:val="num" w:pos="360"/>
        </w:tabs>
        <w:ind w:left="360" w:hanging="360"/>
      </w:pPr>
    </w:lvl>
  </w:abstractNum>
  <w:abstractNum w:abstractNumId="740">
    <w:nsid w:val="749D6991"/>
    <w:multiLevelType w:val="singleLevel"/>
    <w:tmpl w:val="48D47A94"/>
    <w:lvl w:ilvl="0">
      <w:start w:val="1"/>
      <w:numFmt w:val="decimal"/>
      <w:lvlText w:val="%1)"/>
      <w:lvlJc w:val="left"/>
      <w:pPr>
        <w:tabs>
          <w:tab w:val="num" w:pos="360"/>
        </w:tabs>
        <w:ind w:left="284" w:hanging="284"/>
      </w:pPr>
    </w:lvl>
  </w:abstractNum>
  <w:abstractNum w:abstractNumId="741">
    <w:nsid w:val="74B047D4"/>
    <w:multiLevelType w:val="singleLevel"/>
    <w:tmpl w:val="0419000F"/>
    <w:lvl w:ilvl="0">
      <w:start w:val="1"/>
      <w:numFmt w:val="decimal"/>
      <w:lvlText w:val="%1."/>
      <w:lvlJc w:val="left"/>
      <w:pPr>
        <w:tabs>
          <w:tab w:val="num" w:pos="360"/>
        </w:tabs>
        <w:ind w:left="360" w:hanging="360"/>
      </w:pPr>
    </w:lvl>
  </w:abstractNum>
  <w:abstractNum w:abstractNumId="742">
    <w:nsid w:val="759058B4"/>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43">
    <w:nsid w:val="75936514"/>
    <w:multiLevelType w:val="singleLevel"/>
    <w:tmpl w:val="67D01C16"/>
    <w:lvl w:ilvl="0">
      <w:start w:val="293"/>
      <w:numFmt w:val="decimal"/>
      <w:lvlText w:val="%1."/>
      <w:lvlJc w:val="left"/>
      <w:pPr>
        <w:tabs>
          <w:tab w:val="num" w:pos="360"/>
        </w:tabs>
        <w:ind w:left="360" w:hanging="360"/>
      </w:pPr>
    </w:lvl>
  </w:abstractNum>
  <w:abstractNum w:abstractNumId="744">
    <w:nsid w:val="75B4476C"/>
    <w:multiLevelType w:val="singleLevel"/>
    <w:tmpl w:val="7F12735E"/>
    <w:lvl w:ilvl="0">
      <w:start w:val="38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5">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746">
    <w:nsid w:val="75FC0CBD"/>
    <w:multiLevelType w:val="singleLevel"/>
    <w:tmpl w:val="D98C7C6A"/>
    <w:lvl w:ilvl="0">
      <w:numFmt w:val="bullet"/>
      <w:lvlText w:val="-"/>
      <w:lvlJc w:val="left"/>
      <w:pPr>
        <w:tabs>
          <w:tab w:val="num" w:pos="360"/>
        </w:tabs>
        <w:ind w:left="360" w:hanging="360"/>
      </w:pPr>
      <w:rPr>
        <w:rFonts w:hint="default"/>
      </w:rPr>
    </w:lvl>
  </w:abstractNum>
  <w:abstractNum w:abstractNumId="747">
    <w:nsid w:val="75FE575E"/>
    <w:multiLevelType w:val="singleLevel"/>
    <w:tmpl w:val="0419000F"/>
    <w:lvl w:ilvl="0">
      <w:start w:val="1"/>
      <w:numFmt w:val="decimal"/>
      <w:lvlText w:val="%1."/>
      <w:lvlJc w:val="left"/>
      <w:pPr>
        <w:tabs>
          <w:tab w:val="num" w:pos="360"/>
        </w:tabs>
        <w:ind w:left="360" w:hanging="360"/>
      </w:pPr>
    </w:lvl>
  </w:abstractNum>
  <w:abstractNum w:abstractNumId="748">
    <w:nsid w:val="76031518"/>
    <w:multiLevelType w:val="singleLevel"/>
    <w:tmpl w:val="D3726C24"/>
    <w:lvl w:ilvl="0">
      <w:start w:val="3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9">
    <w:nsid w:val="7608716A"/>
    <w:multiLevelType w:val="singleLevel"/>
    <w:tmpl w:val="5A6EC472"/>
    <w:lvl w:ilvl="0">
      <w:start w:val="36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0">
    <w:nsid w:val="760F78D3"/>
    <w:multiLevelType w:val="singleLevel"/>
    <w:tmpl w:val="F236C4E6"/>
    <w:lvl w:ilvl="0">
      <w:start w:val="3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1">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52">
    <w:nsid w:val="761C51BE"/>
    <w:multiLevelType w:val="singleLevel"/>
    <w:tmpl w:val="7C52DBE2"/>
    <w:lvl w:ilvl="0">
      <w:start w:val="159"/>
      <w:numFmt w:val="decimal"/>
      <w:lvlText w:val="%1."/>
      <w:lvlJc w:val="left"/>
      <w:pPr>
        <w:tabs>
          <w:tab w:val="num" w:pos="360"/>
        </w:tabs>
        <w:ind w:left="360" w:hanging="360"/>
      </w:pPr>
    </w:lvl>
  </w:abstractNum>
  <w:abstractNum w:abstractNumId="753">
    <w:nsid w:val="761E2CFF"/>
    <w:multiLevelType w:val="singleLevel"/>
    <w:tmpl w:val="FAB823DA"/>
    <w:lvl w:ilvl="0">
      <w:start w:val="328"/>
      <w:numFmt w:val="decimal"/>
      <w:lvlText w:val="%1."/>
      <w:lvlJc w:val="left"/>
      <w:pPr>
        <w:tabs>
          <w:tab w:val="num" w:pos="360"/>
        </w:tabs>
        <w:ind w:left="360" w:hanging="360"/>
      </w:pPr>
    </w:lvl>
  </w:abstractNum>
  <w:abstractNum w:abstractNumId="754">
    <w:nsid w:val="762670AA"/>
    <w:multiLevelType w:val="singleLevel"/>
    <w:tmpl w:val="11ECFD04"/>
    <w:lvl w:ilvl="0">
      <w:numFmt w:val="bullet"/>
      <w:lvlText w:val="–"/>
      <w:lvlJc w:val="left"/>
      <w:pPr>
        <w:tabs>
          <w:tab w:val="num" w:pos="360"/>
        </w:tabs>
        <w:ind w:left="360" w:hanging="360"/>
      </w:pPr>
      <w:rPr>
        <w:rFonts w:hint="default"/>
      </w:rPr>
    </w:lvl>
  </w:abstractNum>
  <w:abstractNum w:abstractNumId="755">
    <w:nsid w:val="76336711"/>
    <w:multiLevelType w:val="singleLevel"/>
    <w:tmpl w:val="B6E647CC"/>
    <w:lvl w:ilvl="0">
      <w:start w:val="233"/>
      <w:numFmt w:val="decimal"/>
      <w:lvlText w:val="%1."/>
      <w:lvlJc w:val="left"/>
      <w:pPr>
        <w:tabs>
          <w:tab w:val="num" w:pos="360"/>
        </w:tabs>
        <w:ind w:left="360" w:hanging="360"/>
      </w:pPr>
    </w:lvl>
  </w:abstractNum>
  <w:abstractNum w:abstractNumId="756">
    <w:nsid w:val="765A3F49"/>
    <w:multiLevelType w:val="singleLevel"/>
    <w:tmpl w:val="0419000F"/>
    <w:lvl w:ilvl="0">
      <w:start w:val="1"/>
      <w:numFmt w:val="decimal"/>
      <w:lvlText w:val="%1."/>
      <w:lvlJc w:val="left"/>
      <w:pPr>
        <w:tabs>
          <w:tab w:val="num" w:pos="360"/>
        </w:tabs>
        <w:ind w:left="360" w:hanging="360"/>
      </w:pPr>
    </w:lvl>
  </w:abstractNum>
  <w:abstractNum w:abstractNumId="757">
    <w:nsid w:val="76B1386D"/>
    <w:multiLevelType w:val="singleLevel"/>
    <w:tmpl w:val="B3A6698C"/>
    <w:lvl w:ilvl="0">
      <w:start w:val="350"/>
      <w:numFmt w:val="decimal"/>
      <w:lvlText w:val="%1."/>
      <w:lvlJc w:val="left"/>
      <w:pPr>
        <w:tabs>
          <w:tab w:val="num" w:pos="360"/>
        </w:tabs>
        <w:ind w:left="360" w:hanging="360"/>
      </w:pPr>
    </w:lvl>
  </w:abstractNum>
  <w:abstractNum w:abstractNumId="758">
    <w:nsid w:val="76B30109"/>
    <w:multiLevelType w:val="singleLevel"/>
    <w:tmpl w:val="0419000F"/>
    <w:lvl w:ilvl="0">
      <w:start w:val="1"/>
      <w:numFmt w:val="decimal"/>
      <w:lvlText w:val="%1."/>
      <w:lvlJc w:val="left"/>
      <w:pPr>
        <w:tabs>
          <w:tab w:val="num" w:pos="360"/>
        </w:tabs>
        <w:ind w:left="360" w:hanging="360"/>
      </w:pPr>
    </w:lvl>
  </w:abstractNum>
  <w:abstractNum w:abstractNumId="759">
    <w:nsid w:val="76F028D9"/>
    <w:multiLevelType w:val="singleLevel"/>
    <w:tmpl w:val="8622672E"/>
    <w:lvl w:ilvl="0">
      <w:start w:val="3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0">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61">
    <w:nsid w:val="772A65CB"/>
    <w:multiLevelType w:val="singleLevel"/>
    <w:tmpl w:val="BDCCEA6E"/>
    <w:lvl w:ilvl="0">
      <w:start w:val="123"/>
      <w:numFmt w:val="decimal"/>
      <w:lvlText w:val="%1."/>
      <w:lvlJc w:val="left"/>
      <w:pPr>
        <w:tabs>
          <w:tab w:val="num" w:pos="360"/>
        </w:tabs>
        <w:ind w:left="360" w:hanging="360"/>
      </w:pPr>
    </w:lvl>
  </w:abstractNum>
  <w:abstractNum w:abstractNumId="762">
    <w:nsid w:val="77524E97"/>
    <w:multiLevelType w:val="singleLevel"/>
    <w:tmpl w:val="0C8471B8"/>
    <w:lvl w:ilvl="0">
      <w:start w:val="60"/>
      <w:numFmt w:val="decimal"/>
      <w:lvlText w:val="%1."/>
      <w:lvlJc w:val="left"/>
      <w:pPr>
        <w:tabs>
          <w:tab w:val="num" w:pos="360"/>
        </w:tabs>
        <w:ind w:left="340" w:hanging="340"/>
      </w:pPr>
    </w:lvl>
  </w:abstractNum>
  <w:abstractNum w:abstractNumId="763">
    <w:nsid w:val="7752552C"/>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64">
    <w:nsid w:val="777D54BB"/>
    <w:multiLevelType w:val="singleLevel"/>
    <w:tmpl w:val="A192C624"/>
    <w:lvl w:ilvl="0">
      <w:start w:val="3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5">
    <w:nsid w:val="77B2496E"/>
    <w:multiLevelType w:val="singleLevel"/>
    <w:tmpl w:val="944EF4CA"/>
    <w:lvl w:ilvl="0">
      <w:start w:val="3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6">
    <w:nsid w:val="77BC43AA"/>
    <w:multiLevelType w:val="singleLevel"/>
    <w:tmpl w:val="0ABC0BBA"/>
    <w:lvl w:ilvl="0">
      <w:start w:val="4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7">
    <w:nsid w:val="77D45BFE"/>
    <w:multiLevelType w:val="singleLevel"/>
    <w:tmpl w:val="E112EB22"/>
    <w:lvl w:ilvl="0">
      <w:start w:val="36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8">
    <w:nsid w:val="77F0144B"/>
    <w:multiLevelType w:val="singleLevel"/>
    <w:tmpl w:val="D98C7C6A"/>
    <w:lvl w:ilvl="0">
      <w:numFmt w:val="bullet"/>
      <w:lvlText w:val="-"/>
      <w:lvlJc w:val="left"/>
      <w:pPr>
        <w:tabs>
          <w:tab w:val="num" w:pos="360"/>
        </w:tabs>
        <w:ind w:left="360" w:hanging="360"/>
      </w:pPr>
      <w:rPr>
        <w:rFonts w:hint="default"/>
      </w:rPr>
    </w:lvl>
  </w:abstractNum>
  <w:abstractNum w:abstractNumId="769">
    <w:nsid w:val="781168AF"/>
    <w:multiLevelType w:val="singleLevel"/>
    <w:tmpl w:val="BC8820A4"/>
    <w:lvl w:ilvl="0">
      <w:start w:val="39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0">
    <w:nsid w:val="78121EF6"/>
    <w:multiLevelType w:val="singleLevel"/>
    <w:tmpl w:val="20E6903C"/>
    <w:lvl w:ilvl="0">
      <w:start w:val="183"/>
      <w:numFmt w:val="decimal"/>
      <w:lvlText w:val="%1."/>
      <w:lvlJc w:val="left"/>
      <w:pPr>
        <w:tabs>
          <w:tab w:val="num" w:pos="360"/>
        </w:tabs>
        <w:ind w:left="360" w:hanging="360"/>
      </w:pPr>
    </w:lvl>
  </w:abstractNum>
  <w:abstractNum w:abstractNumId="771">
    <w:nsid w:val="78175D7F"/>
    <w:multiLevelType w:val="singleLevel"/>
    <w:tmpl w:val="1484923E"/>
    <w:lvl w:ilvl="0">
      <w:start w:val="36"/>
      <w:numFmt w:val="decimal"/>
      <w:lvlText w:val="%1."/>
      <w:lvlJc w:val="left"/>
      <w:pPr>
        <w:tabs>
          <w:tab w:val="num" w:pos="360"/>
        </w:tabs>
        <w:ind w:left="360" w:hanging="360"/>
      </w:pPr>
    </w:lvl>
  </w:abstractNum>
  <w:abstractNum w:abstractNumId="772">
    <w:nsid w:val="786F1A4B"/>
    <w:multiLevelType w:val="singleLevel"/>
    <w:tmpl w:val="F45E5A54"/>
    <w:lvl w:ilvl="0">
      <w:start w:val="52"/>
      <w:numFmt w:val="decimal"/>
      <w:lvlText w:val="%1."/>
      <w:lvlJc w:val="left"/>
      <w:pPr>
        <w:tabs>
          <w:tab w:val="num" w:pos="360"/>
        </w:tabs>
        <w:ind w:left="360" w:hanging="360"/>
      </w:pPr>
    </w:lvl>
  </w:abstractNum>
  <w:abstractNum w:abstractNumId="773">
    <w:nsid w:val="78715E7D"/>
    <w:multiLevelType w:val="singleLevel"/>
    <w:tmpl w:val="65BEC466"/>
    <w:lvl w:ilvl="0">
      <w:start w:val="1"/>
      <w:numFmt w:val="bullet"/>
      <w:lvlText w:val=""/>
      <w:lvlJc w:val="left"/>
      <w:pPr>
        <w:tabs>
          <w:tab w:val="num" w:pos="1381"/>
        </w:tabs>
        <w:ind w:left="1361" w:hanging="340"/>
      </w:pPr>
      <w:rPr>
        <w:rFonts w:ascii="Wingdings" w:hAnsi="Wingdings" w:hint="default"/>
        <w:sz w:val="22"/>
      </w:rPr>
    </w:lvl>
  </w:abstractNum>
  <w:abstractNum w:abstractNumId="774">
    <w:nsid w:val="78B46F49"/>
    <w:multiLevelType w:val="singleLevel"/>
    <w:tmpl w:val="286887F8"/>
    <w:lvl w:ilvl="0">
      <w:start w:val="289"/>
      <w:numFmt w:val="decimal"/>
      <w:lvlText w:val="%1."/>
      <w:lvlJc w:val="left"/>
      <w:pPr>
        <w:tabs>
          <w:tab w:val="num" w:pos="360"/>
        </w:tabs>
        <w:ind w:left="360" w:hanging="360"/>
      </w:pPr>
    </w:lvl>
  </w:abstractNum>
  <w:abstractNum w:abstractNumId="775">
    <w:nsid w:val="78D544DB"/>
    <w:multiLevelType w:val="singleLevel"/>
    <w:tmpl w:val="97785DC6"/>
    <w:lvl w:ilvl="0">
      <w:start w:val="3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6">
    <w:nsid w:val="78F070C6"/>
    <w:multiLevelType w:val="multilevel"/>
    <w:tmpl w:val="1C1A962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7">
    <w:nsid w:val="790D40E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8">
    <w:nsid w:val="791D19CD"/>
    <w:multiLevelType w:val="singleLevel"/>
    <w:tmpl w:val="67D01C16"/>
    <w:lvl w:ilvl="0">
      <w:start w:val="293"/>
      <w:numFmt w:val="decimal"/>
      <w:lvlText w:val="%1."/>
      <w:lvlJc w:val="left"/>
      <w:pPr>
        <w:tabs>
          <w:tab w:val="num" w:pos="360"/>
        </w:tabs>
        <w:ind w:left="360" w:hanging="360"/>
      </w:pPr>
    </w:lvl>
  </w:abstractNum>
  <w:abstractNum w:abstractNumId="779">
    <w:nsid w:val="793D5898"/>
    <w:multiLevelType w:val="singleLevel"/>
    <w:tmpl w:val="B0765612"/>
    <w:lvl w:ilvl="0">
      <w:start w:val="188"/>
      <w:numFmt w:val="decimal"/>
      <w:lvlText w:val="%1."/>
      <w:lvlJc w:val="left"/>
      <w:pPr>
        <w:tabs>
          <w:tab w:val="num" w:pos="360"/>
        </w:tabs>
        <w:ind w:left="360" w:hanging="360"/>
      </w:pPr>
    </w:lvl>
  </w:abstractNum>
  <w:abstractNum w:abstractNumId="780">
    <w:nsid w:val="79533422"/>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781">
    <w:nsid w:val="798834DF"/>
    <w:multiLevelType w:val="singleLevel"/>
    <w:tmpl w:val="322AF9A4"/>
    <w:lvl w:ilvl="0">
      <w:start w:val="3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2">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783">
    <w:nsid w:val="79AD2E1F"/>
    <w:multiLevelType w:val="singleLevel"/>
    <w:tmpl w:val="4CBAF956"/>
    <w:lvl w:ilvl="0">
      <w:start w:val="32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4">
    <w:nsid w:val="79B02B8E"/>
    <w:multiLevelType w:val="multilevel"/>
    <w:tmpl w:val="1F0EE6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5">
    <w:nsid w:val="79F57F5B"/>
    <w:multiLevelType w:val="singleLevel"/>
    <w:tmpl w:val="48484154"/>
    <w:lvl w:ilvl="0">
      <w:start w:val="3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6">
    <w:nsid w:val="7A50115F"/>
    <w:multiLevelType w:val="singleLevel"/>
    <w:tmpl w:val="262A5F3C"/>
    <w:lvl w:ilvl="0">
      <w:start w:val="3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7">
    <w:nsid w:val="7A612D02"/>
    <w:multiLevelType w:val="singleLevel"/>
    <w:tmpl w:val="D834F936"/>
    <w:lvl w:ilvl="0">
      <w:start w:val="35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8">
    <w:nsid w:val="7A62675B"/>
    <w:multiLevelType w:val="singleLevel"/>
    <w:tmpl w:val="9126EC2E"/>
    <w:lvl w:ilvl="0">
      <w:start w:val="3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9">
    <w:nsid w:val="7A764853"/>
    <w:multiLevelType w:val="singleLevel"/>
    <w:tmpl w:val="82B49A10"/>
    <w:lvl w:ilvl="0">
      <w:start w:val="229"/>
      <w:numFmt w:val="decimal"/>
      <w:lvlText w:val="%1."/>
      <w:lvlJc w:val="left"/>
      <w:pPr>
        <w:tabs>
          <w:tab w:val="num" w:pos="360"/>
        </w:tabs>
        <w:ind w:left="360" w:hanging="360"/>
      </w:pPr>
    </w:lvl>
  </w:abstractNum>
  <w:abstractNum w:abstractNumId="790">
    <w:nsid w:val="7ABE2788"/>
    <w:multiLevelType w:val="singleLevel"/>
    <w:tmpl w:val="100E6E1E"/>
    <w:lvl w:ilvl="0">
      <w:start w:val="268"/>
      <w:numFmt w:val="decimal"/>
      <w:lvlText w:val="%1."/>
      <w:lvlJc w:val="left"/>
      <w:pPr>
        <w:tabs>
          <w:tab w:val="num" w:pos="360"/>
        </w:tabs>
        <w:ind w:left="360" w:hanging="360"/>
      </w:pPr>
    </w:lvl>
  </w:abstractNum>
  <w:abstractNum w:abstractNumId="791">
    <w:nsid w:val="7AFC7558"/>
    <w:multiLevelType w:val="singleLevel"/>
    <w:tmpl w:val="14A2CC00"/>
    <w:lvl w:ilvl="0">
      <w:start w:val="383"/>
      <w:numFmt w:val="decimal"/>
      <w:lvlText w:val="%1."/>
      <w:lvlJc w:val="left"/>
      <w:pPr>
        <w:tabs>
          <w:tab w:val="num" w:pos="720"/>
        </w:tabs>
        <w:ind w:left="720" w:hanging="720"/>
      </w:pPr>
      <w:rPr>
        <w:rFonts w:hint="default"/>
      </w:rPr>
    </w:lvl>
  </w:abstractNum>
  <w:abstractNum w:abstractNumId="792">
    <w:nsid w:val="7B3451D5"/>
    <w:multiLevelType w:val="singleLevel"/>
    <w:tmpl w:val="B0FA0884"/>
    <w:lvl w:ilvl="0">
      <w:start w:val="401"/>
      <w:numFmt w:val="decimal"/>
      <w:lvlText w:val="%1."/>
      <w:lvlJc w:val="left"/>
      <w:pPr>
        <w:tabs>
          <w:tab w:val="num" w:pos="360"/>
        </w:tabs>
        <w:ind w:left="360" w:hanging="360"/>
      </w:pPr>
    </w:lvl>
  </w:abstractNum>
  <w:abstractNum w:abstractNumId="793">
    <w:nsid w:val="7B4E2B64"/>
    <w:multiLevelType w:val="singleLevel"/>
    <w:tmpl w:val="A8BCE92C"/>
    <w:lvl w:ilvl="0">
      <w:start w:val="34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94">
    <w:nsid w:val="7BAB27B0"/>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95">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796">
    <w:nsid w:val="7C022BFC"/>
    <w:multiLevelType w:val="singleLevel"/>
    <w:tmpl w:val="2B4C8064"/>
    <w:lvl w:ilvl="0">
      <w:start w:val="305"/>
      <w:numFmt w:val="decimal"/>
      <w:lvlText w:val="%1."/>
      <w:lvlJc w:val="left"/>
      <w:pPr>
        <w:tabs>
          <w:tab w:val="num" w:pos="360"/>
        </w:tabs>
        <w:ind w:left="360" w:hanging="360"/>
      </w:pPr>
    </w:lvl>
  </w:abstractNum>
  <w:abstractNum w:abstractNumId="797">
    <w:nsid w:val="7C3F5C8D"/>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798">
    <w:nsid w:val="7C4A6E3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9">
    <w:nsid w:val="7C6B6DBF"/>
    <w:multiLevelType w:val="singleLevel"/>
    <w:tmpl w:val="0419000F"/>
    <w:lvl w:ilvl="0">
      <w:start w:val="1"/>
      <w:numFmt w:val="decimal"/>
      <w:lvlText w:val="%1."/>
      <w:lvlJc w:val="left"/>
      <w:pPr>
        <w:tabs>
          <w:tab w:val="num" w:pos="360"/>
        </w:tabs>
        <w:ind w:left="360" w:hanging="360"/>
      </w:pPr>
    </w:lvl>
  </w:abstractNum>
  <w:abstractNum w:abstractNumId="800">
    <w:nsid w:val="7CC272AF"/>
    <w:multiLevelType w:val="multilevel"/>
    <w:tmpl w:val="E8BACB8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01">
    <w:nsid w:val="7CD254D6"/>
    <w:multiLevelType w:val="singleLevel"/>
    <w:tmpl w:val="B89840B8"/>
    <w:lvl w:ilvl="0">
      <w:start w:val="3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2">
    <w:nsid w:val="7D3F3B29"/>
    <w:multiLevelType w:val="singleLevel"/>
    <w:tmpl w:val="8A10F978"/>
    <w:lvl w:ilvl="0">
      <w:start w:val="3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3">
    <w:nsid w:val="7D46307E"/>
    <w:multiLevelType w:val="singleLevel"/>
    <w:tmpl w:val="9AEA7A36"/>
    <w:lvl w:ilvl="0">
      <w:start w:val="1"/>
      <w:numFmt w:val="lowerLetter"/>
      <w:lvlText w:val="%1)"/>
      <w:lvlJc w:val="left"/>
      <w:pPr>
        <w:tabs>
          <w:tab w:val="num" w:pos="360"/>
        </w:tabs>
        <w:ind w:left="360" w:hanging="360"/>
      </w:pPr>
    </w:lvl>
  </w:abstractNum>
  <w:abstractNum w:abstractNumId="804">
    <w:nsid w:val="7D4F04AE"/>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805">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806">
    <w:nsid w:val="7DAE56FE"/>
    <w:multiLevelType w:val="singleLevel"/>
    <w:tmpl w:val="0419000F"/>
    <w:lvl w:ilvl="0">
      <w:start w:val="1"/>
      <w:numFmt w:val="decimal"/>
      <w:lvlText w:val="%1."/>
      <w:lvlJc w:val="left"/>
      <w:pPr>
        <w:tabs>
          <w:tab w:val="num" w:pos="360"/>
        </w:tabs>
        <w:ind w:left="360" w:hanging="360"/>
      </w:pPr>
    </w:lvl>
  </w:abstractNum>
  <w:abstractNum w:abstractNumId="807">
    <w:nsid w:val="7DB257C4"/>
    <w:multiLevelType w:val="singleLevel"/>
    <w:tmpl w:val="86143BCC"/>
    <w:lvl w:ilvl="0">
      <w:start w:val="36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8">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809">
    <w:nsid w:val="7E1D0476"/>
    <w:multiLevelType w:val="singleLevel"/>
    <w:tmpl w:val="8C565DF6"/>
    <w:lvl w:ilvl="0">
      <w:start w:val="4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0">
    <w:nsid w:val="7E630073"/>
    <w:multiLevelType w:val="singleLevel"/>
    <w:tmpl w:val="DD0CB00A"/>
    <w:lvl w:ilvl="0">
      <w:start w:val="34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1">
    <w:nsid w:val="7E7B1307"/>
    <w:multiLevelType w:val="singleLevel"/>
    <w:tmpl w:val="80D87F62"/>
    <w:lvl w:ilvl="0">
      <w:start w:val="334"/>
      <w:numFmt w:val="decimal"/>
      <w:lvlText w:val="%1."/>
      <w:lvlJc w:val="left"/>
      <w:pPr>
        <w:tabs>
          <w:tab w:val="num" w:pos="360"/>
        </w:tabs>
        <w:ind w:left="360" w:hanging="360"/>
      </w:pPr>
    </w:lvl>
  </w:abstractNum>
  <w:abstractNum w:abstractNumId="812">
    <w:nsid w:val="7E901B9C"/>
    <w:multiLevelType w:val="singleLevel"/>
    <w:tmpl w:val="0419000F"/>
    <w:lvl w:ilvl="0">
      <w:start w:val="1"/>
      <w:numFmt w:val="decimal"/>
      <w:lvlText w:val="%1."/>
      <w:lvlJc w:val="left"/>
      <w:pPr>
        <w:tabs>
          <w:tab w:val="num" w:pos="360"/>
        </w:tabs>
        <w:ind w:left="360" w:hanging="360"/>
      </w:pPr>
    </w:lvl>
  </w:abstractNum>
  <w:abstractNum w:abstractNumId="813">
    <w:nsid w:val="7EA37FAB"/>
    <w:multiLevelType w:val="singleLevel"/>
    <w:tmpl w:val="EA72D116"/>
    <w:lvl w:ilvl="0">
      <w:start w:val="320"/>
      <w:numFmt w:val="decimal"/>
      <w:lvlText w:val="%1."/>
      <w:lvlJc w:val="left"/>
      <w:pPr>
        <w:tabs>
          <w:tab w:val="num" w:pos="360"/>
        </w:tabs>
        <w:ind w:left="360" w:hanging="360"/>
      </w:pPr>
    </w:lvl>
  </w:abstractNum>
  <w:abstractNum w:abstractNumId="814">
    <w:nsid w:val="7EED12A5"/>
    <w:multiLevelType w:val="singleLevel"/>
    <w:tmpl w:val="755E186A"/>
    <w:lvl w:ilvl="0">
      <w:start w:val="110"/>
      <w:numFmt w:val="decimal"/>
      <w:lvlText w:val="%1."/>
      <w:lvlJc w:val="left"/>
      <w:pPr>
        <w:tabs>
          <w:tab w:val="num" w:pos="360"/>
        </w:tabs>
        <w:ind w:left="360" w:hanging="360"/>
      </w:pPr>
    </w:lvl>
  </w:abstractNum>
  <w:abstractNum w:abstractNumId="815">
    <w:nsid w:val="7F164B95"/>
    <w:multiLevelType w:val="singleLevel"/>
    <w:tmpl w:val="D2D6DA9A"/>
    <w:lvl w:ilvl="0">
      <w:start w:val="3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6">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817">
    <w:nsid w:val="7F4425FD"/>
    <w:multiLevelType w:val="singleLevel"/>
    <w:tmpl w:val="98B265B2"/>
    <w:lvl w:ilvl="0">
      <w:start w:val="424"/>
      <w:numFmt w:val="decimal"/>
      <w:lvlText w:val="%1."/>
      <w:lvlJc w:val="left"/>
      <w:pPr>
        <w:tabs>
          <w:tab w:val="num" w:pos="360"/>
        </w:tabs>
        <w:ind w:left="360" w:hanging="360"/>
      </w:pPr>
    </w:lvl>
  </w:abstractNum>
  <w:abstractNum w:abstractNumId="818">
    <w:nsid w:val="7F5D701A"/>
    <w:multiLevelType w:val="singleLevel"/>
    <w:tmpl w:val="FBD0EE7A"/>
    <w:lvl w:ilvl="0">
      <w:start w:val="205"/>
      <w:numFmt w:val="decimal"/>
      <w:lvlText w:val="%1."/>
      <w:lvlJc w:val="left"/>
      <w:pPr>
        <w:tabs>
          <w:tab w:val="num" w:pos="360"/>
        </w:tabs>
        <w:ind w:left="360" w:hanging="360"/>
      </w:pPr>
    </w:lvl>
  </w:abstractNum>
  <w:abstractNum w:abstractNumId="819">
    <w:nsid w:val="7F762AB3"/>
    <w:multiLevelType w:val="multilevel"/>
    <w:tmpl w:val="A3C2C2C2"/>
    <w:lvl w:ilvl="0">
      <w:start w:val="1"/>
      <w:numFmt w:val="bullet"/>
      <w:lvlText w:val=""/>
      <w:lvlJc w:val="left"/>
      <w:pPr>
        <w:tabs>
          <w:tab w:val="num" w:pos="786"/>
        </w:tabs>
        <w:ind w:left="786" w:hanging="360"/>
      </w:pPr>
      <w:rPr>
        <w:rFonts w:ascii="Symbol" w:hAnsi="Symbol" w:hint="default"/>
      </w:r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820">
    <w:nsid w:val="7F8B39E2"/>
    <w:multiLevelType w:val="singleLevel"/>
    <w:tmpl w:val="55EA754A"/>
    <w:lvl w:ilvl="0">
      <w:start w:val="284"/>
      <w:numFmt w:val="decimal"/>
      <w:lvlText w:val="%1."/>
      <w:lvlJc w:val="left"/>
      <w:pPr>
        <w:tabs>
          <w:tab w:val="num" w:pos="360"/>
        </w:tabs>
        <w:ind w:left="360" w:hanging="360"/>
      </w:pPr>
    </w:lvl>
  </w:abstractNum>
  <w:abstractNum w:abstractNumId="821">
    <w:nsid w:val="7F8B4C22"/>
    <w:multiLevelType w:val="singleLevel"/>
    <w:tmpl w:val="61F69BBC"/>
    <w:lvl w:ilvl="0">
      <w:start w:val="114"/>
      <w:numFmt w:val="decimal"/>
      <w:lvlText w:val="%1."/>
      <w:lvlJc w:val="left"/>
      <w:pPr>
        <w:tabs>
          <w:tab w:val="num" w:pos="360"/>
        </w:tabs>
        <w:ind w:left="360" w:hanging="360"/>
      </w:pPr>
    </w:lvl>
  </w:abstractNum>
  <w:abstractNum w:abstractNumId="822">
    <w:nsid w:val="7FA1238F"/>
    <w:multiLevelType w:val="multilevel"/>
    <w:tmpl w:val="BBC056D8"/>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823">
    <w:nsid w:val="7FC615EA"/>
    <w:multiLevelType w:val="singleLevel"/>
    <w:tmpl w:val="F3A80684"/>
    <w:lvl w:ilvl="0">
      <w:start w:val="417"/>
      <w:numFmt w:val="decimal"/>
      <w:lvlText w:val="%1. "/>
      <w:legacy w:legacy="1" w:legacySpace="0" w:legacyIndent="283"/>
      <w:lvlJc w:val="left"/>
      <w:pPr>
        <w:ind w:left="283" w:hanging="283"/>
      </w:pPr>
      <w:rPr>
        <w:rFonts w:ascii="Times New Roman" w:hAnsi="Times New Roman" w:hint="default"/>
        <w:b w:val="0"/>
        <w:i w:val="0"/>
        <w:sz w:val="28"/>
        <w:u w:val="none"/>
      </w:rPr>
    </w:lvl>
  </w:abstractNum>
  <w:num w:numId="1">
    <w:abstractNumId w:val="627"/>
  </w:num>
  <w:num w:numId="2">
    <w:abstractNumId w:val="71"/>
  </w:num>
  <w:num w:numId="3">
    <w:abstractNumId w:val="510"/>
  </w:num>
  <w:num w:numId="4">
    <w:abstractNumId w:val="164"/>
  </w:num>
  <w:num w:numId="5">
    <w:abstractNumId w:val="751"/>
  </w:num>
  <w:num w:numId="6">
    <w:abstractNumId w:val="570"/>
  </w:num>
  <w:num w:numId="7">
    <w:abstractNumId w:val="13"/>
  </w:num>
  <w:num w:numId="8">
    <w:abstractNumId w:val="81"/>
  </w:num>
  <w:num w:numId="9">
    <w:abstractNumId w:val="472"/>
  </w:num>
  <w:num w:numId="10">
    <w:abstractNumId w:val="20"/>
  </w:num>
  <w:num w:numId="11">
    <w:abstractNumId w:val="257"/>
  </w:num>
  <w:num w:numId="12">
    <w:abstractNumId w:val="658"/>
  </w:num>
  <w:num w:numId="13">
    <w:abstractNumId w:val="39"/>
  </w:num>
  <w:num w:numId="14">
    <w:abstractNumId w:val="706"/>
  </w:num>
  <w:num w:numId="15">
    <w:abstractNumId w:val="166"/>
  </w:num>
  <w:num w:numId="16">
    <w:abstractNumId w:val="279"/>
  </w:num>
  <w:num w:numId="17">
    <w:abstractNumId w:val="112"/>
  </w:num>
  <w:num w:numId="18">
    <w:abstractNumId w:val="716"/>
  </w:num>
  <w:num w:numId="19">
    <w:abstractNumId w:val="463"/>
  </w:num>
  <w:num w:numId="20">
    <w:abstractNumId w:val="715"/>
  </w:num>
  <w:num w:numId="21">
    <w:abstractNumId w:val="477"/>
  </w:num>
  <w:num w:numId="22">
    <w:abstractNumId w:val="56"/>
  </w:num>
  <w:num w:numId="23">
    <w:abstractNumId w:val="329"/>
  </w:num>
  <w:num w:numId="24">
    <w:abstractNumId w:val="725"/>
  </w:num>
  <w:num w:numId="25">
    <w:abstractNumId w:val="162"/>
  </w:num>
  <w:num w:numId="26">
    <w:abstractNumId w:val="306"/>
  </w:num>
  <w:num w:numId="27">
    <w:abstractNumId w:val="91"/>
  </w:num>
  <w:num w:numId="28">
    <w:abstractNumId w:val="713"/>
  </w:num>
  <w:num w:numId="29">
    <w:abstractNumId w:val="670"/>
  </w:num>
  <w:num w:numId="30">
    <w:abstractNumId w:val="381"/>
  </w:num>
  <w:num w:numId="31">
    <w:abstractNumId w:val="256"/>
  </w:num>
  <w:num w:numId="32">
    <w:abstractNumId w:val="803"/>
  </w:num>
  <w:num w:numId="33">
    <w:abstractNumId w:val="26"/>
  </w:num>
  <w:num w:numId="34">
    <w:abstractNumId w:val="616"/>
  </w:num>
  <w:num w:numId="35">
    <w:abstractNumId w:val="461"/>
  </w:num>
  <w:num w:numId="36">
    <w:abstractNumId w:val="566"/>
  </w:num>
  <w:num w:numId="37">
    <w:abstractNumId w:val="244"/>
  </w:num>
  <w:num w:numId="38">
    <w:abstractNumId w:val="490"/>
  </w:num>
  <w:num w:numId="39">
    <w:abstractNumId w:val="338"/>
  </w:num>
  <w:num w:numId="40">
    <w:abstractNumId w:val="771"/>
  </w:num>
  <w:num w:numId="41">
    <w:abstractNumId w:val="448"/>
  </w:num>
  <w:num w:numId="42">
    <w:abstractNumId w:val="402"/>
  </w:num>
  <w:num w:numId="43">
    <w:abstractNumId w:val="310"/>
  </w:num>
  <w:num w:numId="44">
    <w:abstractNumId w:val="659"/>
  </w:num>
  <w:num w:numId="45">
    <w:abstractNumId w:val="812"/>
  </w:num>
  <w:num w:numId="46">
    <w:abstractNumId w:val="34"/>
  </w:num>
  <w:num w:numId="47">
    <w:abstractNumId w:val="625"/>
  </w:num>
  <w:num w:numId="48">
    <w:abstractNumId w:val="14"/>
  </w:num>
  <w:num w:numId="49">
    <w:abstractNumId w:val="420"/>
  </w:num>
  <w:num w:numId="50">
    <w:abstractNumId w:val="652"/>
  </w:num>
  <w:num w:numId="51">
    <w:abstractNumId w:val="319"/>
  </w:num>
  <w:num w:numId="52">
    <w:abstractNumId w:val="708"/>
  </w:num>
  <w:num w:numId="53">
    <w:abstractNumId w:val="621"/>
  </w:num>
  <w:num w:numId="54">
    <w:abstractNumId w:val="735"/>
  </w:num>
  <w:num w:numId="55">
    <w:abstractNumId w:val="678"/>
  </w:num>
  <w:num w:numId="56">
    <w:abstractNumId w:val="772"/>
  </w:num>
  <w:num w:numId="57">
    <w:abstractNumId w:val="762"/>
  </w:num>
  <w:num w:numId="58">
    <w:abstractNumId w:val="25"/>
  </w:num>
  <w:num w:numId="59">
    <w:abstractNumId w:val="293"/>
  </w:num>
  <w:num w:numId="60">
    <w:abstractNumId w:val="173"/>
  </w:num>
  <w:num w:numId="61">
    <w:abstractNumId w:val="99"/>
  </w:num>
  <w:num w:numId="62">
    <w:abstractNumId w:val="65"/>
  </w:num>
  <w:num w:numId="63">
    <w:abstractNumId w:val="243"/>
  </w:num>
  <w:num w:numId="64">
    <w:abstractNumId w:val="617"/>
  </w:num>
  <w:num w:numId="65">
    <w:abstractNumId w:val="163"/>
  </w:num>
  <w:num w:numId="66">
    <w:abstractNumId w:val="408"/>
  </w:num>
  <w:num w:numId="67">
    <w:abstractNumId w:val="146"/>
  </w:num>
  <w:num w:numId="68">
    <w:abstractNumId w:val="726"/>
  </w:num>
  <w:num w:numId="69">
    <w:abstractNumId w:val="530"/>
  </w:num>
  <w:num w:numId="70">
    <w:abstractNumId w:val="418"/>
  </w:num>
  <w:num w:numId="71">
    <w:abstractNumId w:val="513"/>
  </w:num>
  <w:num w:numId="72">
    <w:abstractNumId w:val="289"/>
  </w:num>
  <w:num w:numId="73">
    <w:abstractNumId w:val="424"/>
  </w:num>
  <w:num w:numId="74">
    <w:abstractNumId w:val="504"/>
  </w:num>
  <w:num w:numId="75">
    <w:abstractNumId w:val="458"/>
  </w:num>
  <w:num w:numId="76">
    <w:abstractNumId w:val="493"/>
  </w:num>
  <w:num w:numId="77">
    <w:abstractNumId w:val="741"/>
  </w:num>
  <w:num w:numId="78">
    <w:abstractNumId w:val="147"/>
  </w:num>
  <w:num w:numId="79">
    <w:abstractNumId w:val="536"/>
  </w:num>
  <w:num w:numId="80">
    <w:abstractNumId w:val="209"/>
  </w:num>
  <w:num w:numId="81">
    <w:abstractNumId w:val="499"/>
  </w:num>
  <w:num w:numId="82">
    <w:abstractNumId w:val="452"/>
  </w:num>
  <w:num w:numId="83">
    <w:abstractNumId w:val="111"/>
  </w:num>
  <w:num w:numId="84">
    <w:abstractNumId w:val="187"/>
  </w:num>
  <w:num w:numId="85">
    <w:abstractNumId w:val="294"/>
  </w:num>
  <w:num w:numId="86">
    <w:abstractNumId w:val="135"/>
  </w:num>
  <w:num w:numId="87">
    <w:abstractNumId w:val="704"/>
  </w:num>
  <w:num w:numId="88">
    <w:abstractNumId w:val="572"/>
  </w:num>
  <w:num w:numId="89">
    <w:abstractNumId w:val="70"/>
  </w:num>
  <w:num w:numId="90">
    <w:abstractNumId w:val="285"/>
  </w:num>
  <w:num w:numId="91">
    <w:abstractNumId w:val="50"/>
  </w:num>
  <w:num w:numId="92">
    <w:abstractNumId w:val="218"/>
  </w:num>
  <w:num w:numId="93">
    <w:abstractNumId w:val="82"/>
  </w:num>
  <w:num w:numId="94">
    <w:abstractNumId w:val="33"/>
  </w:num>
  <w:num w:numId="95">
    <w:abstractNumId w:val="756"/>
  </w:num>
  <w:num w:numId="96">
    <w:abstractNumId w:val="276"/>
  </w:num>
  <w:num w:numId="97">
    <w:abstractNumId w:val="206"/>
  </w:num>
  <w:num w:numId="98">
    <w:abstractNumId w:val="432"/>
  </w:num>
  <w:num w:numId="99">
    <w:abstractNumId w:val="460"/>
  </w:num>
  <w:num w:numId="100">
    <w:abstractNumId w:val="397"/>
  </w:num>
  <w:num w:numId="101">
    <w:abstractNumId w:val="212"/>
  </w:num>
  <w:num w:numId="102">
    <w:abstractNumId w:val="413"/>
  </w:num>
  <w:num w:numId="103">
    <w:abstractNumId w:val="733"/>
  </w:num>
  <w:num w:numId="104">
    <w:abstractNumId w:val="428"/>
  </w:num>
  <w:num w:numId="105">
    <w:abstractNumId w:val="687"/>
  </w:num>
  <w:num w:numId="106">
    <w:abstractNumId w:val="184"/>
  </w:num>
  <w:num w:numId="107">
    <w:abstractNumId w:val="390"/>
  </w:num>
  <w:num w:numId="108">
    <w:abstractNumId w:val="688"/>
  </w:num>
  <w:num w:numId="109">
    <w:abstractNumId w:val="129"/>
  </w:num>
  <w:num w:numId="110">
    <w:abstractNumId w:val="541"/>
  </w:num>
  <w:num w:numId="111">
    <w:abstractNumId w:val="237"/>
  </w:num>
  <w:num w:numId="112">
    <w:abstractNumId w:val="821"/>
  </w:num>
  <w:num w:numId="113">
    <w:abstractNumId w:val="696"/>
  </w:num>
  <w:num w:numId="114">
    <w:abstractNumId w:val="439"/>
  </w:num>
  <w:num w:numId="115">
    <w:abstractNumId w:val="679"/>
  </w:num>
  <w:num w:numId="116">
    <w:abstractNumId w:val="208"/>
  </w:num>
  <w:num w:numId="117">
    <w:abstractNumId w:val="761"/>
  </w:num>
  <w:num w:numId="118">
    <w:abstractNumId w:val="700"/>
  </w:num>
  <w:num w:numId="119">
    <w:abstractNumId w:val="354"/>
  </w:num>
  <w:num w:numId="120">
    <w:abstractNumId w:val="734"/>
  </w:num>
  <w:num w:numId="121">
    <w:abstractNumId w:val="100"/>
  </w:num>
  <w:num w:numId="122">
    <w:abstractNumId w:val="612"/>
  </w:num>
  <w:num w:numId="123">
    <w:abstractNumId w:val="440"/>
  </w:num>
  <w:num w:numId="124">
    <w:abstractNumId w:val="519"/>
  </w:num>
  <w:num w:numId="125">
    <w:abstractNumId w:val="591"/>
  </w:num>
  <w:num w:numId="126">
    <w:abstractNumId w:val="602"/>
  </w:num>
  <w:num w:numId="127">
    <w:abstractNumId w:val="269"/>
  </w:num>
  <w:num w:numId="128">
    <w:abstractNumId w:val="450"/>
  </w:num>
  <w:num w:numId="129">
    <w:abstractNumId w:val="235"/>
  </w:num>
  <w:num w:numId="130">
    <w:abstractNumId w:val="565"/>
  </w:num>
  <w:num w:numId="131">
    <w:abstractNumId w:val="736"/>
  </w:num>
  <w:num w:numId="132">
    <w:abstractNumId w:val="183"/>
  </w:num>
  <w:num w:numId="133">
    <w:abstractNumId w:val="63"/>
  </w:num>
  <w:num w:numId="134">
    <w:abstractNumId w:val="806"/>
  </w:num>
  <w:num w:numId="135">
    <w:abstractNumId w:val="216"/>
  </w:num>
  <w:num w:numId="136">
    <w:abstractNumId w:val="434"/>
  </w:num>
  <w:num w:numId="137">
    <w:abstractNumId w:val="619"/>
  </w:num>
  <w:num w:numId="138">
    <w:abstractNumId w:val="534"/>
  </w:num>
  <w:num w:numId="139">
    <w:abstractNumId w:val="106"/>
  </w:num>
  <w:num w:numId="140">
    <w:abstractNumId w:val="639"/>
  </w:num>
  <w:num w:numId="141">
    <w:abstractNumId w:val="130"/>
  </w:num>
  <w:num w:numId="142">
    <w:abstractNumId w:val="205"/>
  </w:num>
  <w:num w:numId="143">
    <w:abstractNumId w:val="372"/>
  </w:num>
  <w:num w:numId="144">
    <w:abstractNumId w:val="322"/>
  </w:num>
  <w:num w:numId="145">
    <w:abstractNumId w:val="752"/>
  </w:num>
  <w:num w:numId="146">
    <w:abstractNumId w:val="240"/>
  </w:num>
  <w:num w:numId="147">
    <w:abstractNumId w:val="754"/>
  </w:num>
  <w:num w:numId="148">
    <w:abstractNumId w:val="653"/>
  </w:num>
  <w:num w:numId="149">
    <w:abstractNumId w:val="247"/>
  </w:num>
  <w:num w:numId="150">
    <w:abstractNumId w:val="674"/>
  </w:num>
  <w:num w:numId="151">
    <w:abstractNumId w:val="636"/>
  </w:num>
  <w:num w:numId="152">
    <w:abstractNumId w:val="641"/>
  </w:num>
  <w:num w:numId="153">
    <w:abstractNumId w:val="37"/>
  </w:num>
  <w:num w:numId="154">
    <w:abstractNumId w:val="651"/>
  </w:num>
  <w:num w:numId="155">
    <w:abstractNumId w:val="221"/>
  </w:num>
  <w:num w:numId="156">
    <w:abstractNumId w:val="538"/>
  </w:num>
  <w:num w:numId="157">
    <w:abstractNumId w:val="553"/>
  </w:num>
  <w:num w:numId="158">
    <w:abstractNumId w:val="489"/>
  </w:num>
  <w:num w:numId="159">
    <w:abstractNumId w:val="548"/>
  </w:num>
  <w:num w:numId="160">
    <w:abstractNumId w:val="559"/>
  </w:num>
  <w:num w:numId="161">
    <w:abstractNumId w:val="227"/>
  </w:num>
  <w:num w:numId="162">
    <w:abstractNumId w:val="410"/>
  </w:num>
  <w:num w:numId="163">
    <w:abstractNumId w:val="567"/>
  </w:num>
  <w:num w:numId="164">
    <w:abstractNumId w:val="376"/>
  </w:num>
  <w:num w:numId="165">
    <w:abstractNumId w:val="191"/>
  </w:num>
  <w:num w:numId="166">
    <w:abstractNumId w:val="258"/>
  </w:num>
  <w:num w:numId="167">
    <w:abstractNumId w:val="770"/>
  </w:num>
  <w:num w:numId="168">
    <w:abstractNumId w:val="105"/>
  </w:num>
  <w:num w:numId="169">
    <w:abstractNumId w:val="40"/>
  </w:num>
  <w:num w:numId="170">
    <w:abstractNumId w:val="170"/>
  </w:num>
  <w:num w:numId="171">
    <w:abstractNumId w:val="301"/>
  </w:num>
  <w:num w:numId="172">
    <w:abstractNumId w:val="779"/>
  </w:num>
  <w:num w:numId="173">
    <w:abstractNumId w:val="539"/>
  </w:num>
  <w:num w:numId="174">
    <w:abstractNumId w:val="94"/>
  </w:num>
  <w:num w:numId="175">
    <w:abstractNumId w:val="260"/>
  </w:num>
  <w:num w:numId="176">
    <w:abstractNumId w:val="818"/>
  </w:num>
  <w:num w:numId="177">
    <w:abstractNumId w:val="657"/>
  </w:num>
  <w:num w:numId="178">
    <w:abstractNumId w:val="747"/>
  </w:num>
  <w:num w:numId="179">
    <w:abstractNumId w:val="723"/>
  </w:num>
  <w:num w:numId="180">
    <w:abstractNumId w:val="365"/>
  </w:num>
  <w:num w:numId="181">
    <w:abstractNumId w:val="425"/>
  </w:num>
  <w:num w:numId="182">
    <w:abstractNumId w:val="127"/>
  </w:num>
  <w:num w:numId="183">
    <w:abstractNumId w:val="31"/>
  </w:num>
  <w:num w:numId="184">
    <w:abstractNumId w:val="686"/>
  </w:num>
  <w:num w:numId="185">
    <w:abstractNumId w:val="267"/>
  </w:num>
  <w:num w:numId="186">
    <w:abstractNumId w:val="255"/>
  </w:num>
  <w:num w:numId="187">
    <w:abstractNumId w:val="144"/>
  </w:num>
  <w:num w:numId="188">
    <w:abstractNumId w:val="789"/>
  </w:num>
  <w:num w:numId="189">
    <w:abstractNumId w:val="560"/>
  </w:num>
  <w:num w:numId="190">
    <w:abstractNumId w:val="755"/>
  </w:num>
  <w:num w:numId="191">
    <w:abstractNumId w:val="352"/>
  </w:num>
  <w:num w:numId="192">
    <w:abstractNumId w:val="96"/>
  </w:num>
  <w:num w:numId="193">
    <w:abstractNumId w:val="422"/>
  </w:num>
  <w:num w:numId="194">
    <w:abstractNumId w:val="471"/>
  </w:num>
  <w:num w:numId="195">
    <w:abstractNumId w:val="436"/>
  </w:num>
  <w:num w:numId="196">
    <w:abstractNumId w:val="357"/>
  </w:num>
  <w:num w:numId="197">
    <w:abstractNumId w:val="535"/>
  </w:num>
  <w:num w:numId="198">
    <w:abstractNumId w:val="488"/>
  </w:num>
  <w:num w:numId="199">
    <w:abstractNumId w:val="110"/>
  </w:num>
  <w:num w:numId="200">
    <w:abstractNumId w:val="246"/>
  </w:num>
  <w:num w:numId="201">
    <w:abstractNumId w:val="547"/>
  </w:num>
  <w:num w:numId="202">
    <w:abstractNumId w:val="280"/>
  </w:num>
  <w:num w:numId="203">
    <w:abstractNumId w:val="515"/>
  </w:num>
  <w:num w:numId="204">
    <w:abstractNumId w:val="656"/>
  </w:num>
  <w:num w:numId="205">
    <w:abstractNumId w:val="503"/>
  </w:num>
  <w:num w:numId="206">
    <w:abstractNumId w:val="189"/>
  </w:num>
  <w:num w:numId="207">
    <w:abstractNumId w:val="508"/>
  </w:num>
  <w:num w:numId="208">
    <w:abstractNumId w:val="683"/>
  </w:num>
  <w:num w:numId="209">
    <w:abstractNumId w:val="790"/>
  </w:num>
  <w:num w:numId="210">
    <w:abstractNumId w:val="557"/>
  </w:num>
  <w:num w:numId="211">
    <w:abstractNumId w:val="179"/>
  </w:num>
  <w:num w:numId="212">
    <w:abstractNumId w:val="387"/>
  </w:num>
  <w:num w:numId="213">
    <w:abstractNumId w:val="167"/>
  </w:num>
  <w:num w:numId="214">
    <w:abstractNumId w:val="265"/>
  </w:num>
  <w:num w:numId="215">
    <w:abstractNumId w:val="48"/>
  </w:num>
  <w:num w:numId="216">
    <w:abstractNumId w:val="97"/>
  </w:num>
  <w:num w:numId="217">
    <w:abstractNumId w:val="346"/>
  </w:num>
  <w:num w:numId="218">
    <w:abstractNumId w:val="689"/>
  </w:num>
  <w:num w:numId="219">
    <w:abstractNumId w:val="820"/>
  </w:num>
  <w:num w:numId="220">
    <w:abstractNumId w:val="500"/>
  </w:num>
  <w:num w:numId="221">
    <w:abstractNumId w:val="705"/>
  </w:num>
  <w:num w:numId="222">
    <w:abstractNumId w:val="178"/>
  </w:num>
  <w:num w:numId="223">
    <w:abstractNumId w:val="774"/>
  </w:num>
  <w:num w:numId="224">
    <w:abstractNumId w:val="331"/>
  </w:num>
  <w:num w:numId="225">
    <w:abstractNumId w:val="27"/>
  </w:num>
  <w:num w:numId="226">
    <w:abstractNumId w:val="629"/>
  </w:num>
  <w:num w:numId="227">
    <w:abstractNumId w:val="635"/>
  </w:num>
  <w:num w:numId="228">
    <w:abstractNumId w:val="10"/>
  </w:num>
  <w:num w:numId="229">
    <w:abstractNumId w:val="297"/>
  </w:num>
  <w:num w:numId="230">
    <w:abstractNumId w:val="814"/>
  </w:num>
  <w:num w:numId="231">
    <w:abstractNumId w:val="67"/>
  </w:num>
  <w:num w:numId="232">
    <w:abstractNumId w:val="141"/>
  </w:num>
  <w:num w:numId="233">
    <w:abstractNumId w:val="746"/>
  </w:num>
  <w:num w:numId="234">
    <w:abstractNumId w:val="581"/>
  </w:num>
  <w:num w:numId="235">
    <w:abstractNumId w:val="699"/>
  </w:num>
  <w:num w:numId="236">
    <w:abstractNumId w:val="124"/>
  </w:num>
  <w:num w:numId="237">
    <w:abstractNumId w:val="728"/>
  </w:num>
  <w:num w:numId="238">
    <w:abstractNumId w:val="308"/>
  </w:num>
  <w:num w:numId="239">
    <w:abstractNumId w:val="342"/>
  </w:num>
  <w:num w:numId="240">
    <w:abstractNumId w:val="778"/>
  </w:num>
  <w:num w:numId="241">
    <w:abstractNumId w:val="743"/>
  </w:num>
  <w:num w:numId="242">
    <w:abstractNumId w:val="745"/>
  </w:num>
  <w:num w:numId="243">
    <w:abstractNumId w:val="46"/>
  </w:num>
  <w:num w:numId="244">
    <w:abstractNumId w:val="675"/>
  </w:num>
  <w:num w:numId="245">
    <w:abstractNumId w:val="600"/>
  </w:num>
  <w:num w:numId="246">
    <w:abstractNumId w:val="299"/>
  </w:num>
  <w:num w:numId="247">
    <w:abstractNumId w:val="676"/>
  </w:num>
  <w:num w:numId="248">
    <w:abstractNumId w:val="336"/>
  </w:num>
  <w:num w:numId="249">
    <w:abstractNumId w:val="533"/>
  </w:num>
  <w:num w:numId="250">
    <w:abstractNumId w:val="626"/>
  </w:num>
  <w:num w:numId="251">
    <w:abstractNumId w:val="724"/>
  </w:num>
  <w:num w:numId="252">
    <w:abstractNumId w:val="709"/>
  </w:num>
  <w:num w:numId="253">
    <w:abstractNumId w:val="813"/>
  </w:num>
  <w:num w:numId="254">
    <w:abstractNumId w:val="607"/>
  </w:num>
  <w:num w:numId="255">
    <w:abstractNumId w:val="261"/>
  </w:num>
  <w:num w:numId="256">
    <w:abstractNumId w:val="521"/>
  </w:num>
  <w:num w:numId="257">
    <w:abstractNumId w:val="486"/>
  </w:num>
  <w:num w:numId="258">
    <w:abstractNumId w:val="753"/>
  </w:num>
  <w:num w:numId="259">
    <w:abstractNumId w:val="228"/>
  </w:num>
  <w:num w:numId="260">
    <w:abstractNumId w:val="707"/>
  </w:num>
  <w:num w:numId="261">
    <w:abstractNumId w:val="304"/>
  </w:num>
  <w:num w:numId="262">
    <w:abstractNumId w:val="811"/>
  </w:num>
  <w:num w:numId="263">
    <w:abstractNumId w:val="259"/>
  </w:num>
  <w:num w:numId="264">
    <w:abstractNumId w:val="207"/>
  </w:num>
  <w:num w:numId="265">
    <w:abstractNumId w:val="125"/>
  </w:num>
  <w:num w:numId="266">
    <w:abstractNumId w:val="298"/>
  </w:num>
  <w:num w:numId="267">
    <w:abstractNumId w:val="295"/>
  </w:num>
  <w:num w:numId="268">
    <w:abstractNumId w:val="6"/>
  </w:num>
  <w:num w:numId="269">
    <w:abstractNumId w:val="608"/>
  </w:num>
  <w:num w:numId="270">
    <w:abstractNumId w:val="32"/>
  </w:num>
  <w:num w:numId="271">
    <w:abstractNumId w:val="86"/>
  </w:num>
  <w:num w:numId="272">
    <w:abstractNumId w:val="358"/>
  </w:num>
  <w:num w:numId="273">
    <w:abstractNumId w:val="126"/>
  </w:num>
  <w:num w:numId="274">
    <w:abstractNumId w:val="551"/>
  </w:num>
  <w:num w:numId="275">
    <w:abstractNumId w:val="664"/>
  </w:num>
  <w:num w:numId="276">
    <w:abstractNumId w:val="613"/>
  </w:num>
  <w:num w:numId="277">
    <w:abstractNumId w:val="363"/>
  </w:num>
  <w:num w:numId="278">
    <w:abstractNumId w:val="462"/>
  </w:num>
  <w:num w:numId="279">
    <w:abstractNumId w:val="443"/>
  </w:num>
  <w:num w:numId="280">
    <w:abstractNumId w:val="76"/>
  </w:num>
  <w:num w:numId="281">
    <w:abstractNumId w:val="2"/>
  </w:num>
  <w:num w:numId="282">
    <w:abstractNumId w:val="380"/>
  </w:num>
  <w:num w:numId="283">
    <w:abstractNumId w:val="514"/>
  </w:num>
  <w:num w:numId="284">
    <w:abstractNumId w:val="388"/>
  </w:num>
  <w:num w:numId="285">
    <w:abstractNumId w:val="192"/>
  </w:num>
  <w:num w:numId="286">
    <w:abstractNumId w:val="44"/>
  </w:num>
  <w:num w:numId="287">
    <w:abstractNumId w:val="291"/>
  </w:num>
  <w:num w:numId="288">
    <w:abstractNumId w:val="140"/>
  </w:num>
  <w:num w:numId="289">
    <w:abstractNumId w:val="361"/>
  </w:num>
  <w:num w:numId="290">
    <w:abstractNumId w:val="5"/>
  </w:num>
  <w:num w:numId="291">
    <w:abstractNumId w:val="95"/>
  </w:num>
  <w:num w:numId="292">
    <w:abstractNumId w:val="211"/>
  </w:num>
  <w:num w:numId="293">
    <w:abstractNumId w:val="80"/>
  </w:num>
  <w:num w:numId="294">
    <w:abstractNumId w:val="571"/>
  </w:num>
  <w:num w:numId="295">
    <w:abstractNumId w:val="649"/>
  </w:num>
  <w:num w:numId="296">
    <w:abstractNumId w:val="760"/>
  </w:num>
  <w:num w:numId="297">
    <w:abstractNumId w:val="309"/>
  </w:num>
  <w:num w:numId="298">
    <w:abstractNumId w:val="632"/>
  </w:num>
  <w:num w:numId="299">
    <w:abstractNumId w:val="412"/>
  </w:num>
  <w:num w:numId="300">
    <w:abstractNumId w:val="350"/>
  </w:num>
  <w:num w:numId="301">
    <w:abstractNumId w:val="795"/>
  </w:num>
  <w:num w:numId="302">
    <w:abstractNumId w:val="758"/>
  </w:num>
  <w:num w:numId="303">
    <w:abstractNumId w:val="757"/>
  </w:num>
  <w:num w:numId="304">
    <w:abstractNumId w:val="582"/>
  </w:num>
  <w:num w:numId="305">
    <w:abstractNumId w:val="396"/>
  </w:num>
  <w:num w:numId="306">
    <w:abstractNumId w:val="564"/>
  </w:num>
  <w:num w:numId="307">
    <w:abstractNumId w:val="347"/>
  </w:num>
  <w:num w:numId="308">
    <w:abstractNumId w:val="433"/>
  </w:num>
  <w:num w:numId="309">
    <w:abstractNumId w:val="414"/>
  </w:num>
  <w:num w:numId="310">
    <w:abstractNumId w:val="175"/>
  </w:num>
  <w:num w:numId="311">
    <w:abstractNumId w:val="606"/>
  </w:num>
  <w:num w:numId="312">
    <w:abstractNumId w:val="133"/>
  </w:num>
  <w:num w:numId="313">
    <w:abstractNumId w:val="324"/>
  </w:num>
  <w:num w:numId="314">
    <w:abstractNumId w:val="537"/>
  </w:num>
  <w:num w:numId="315">
    <w:abstractNumId w:val="248"/>
  </w:num>
  <w:num w:numId="316">
    <w:abstractNumId w:val="392"/>
  </w:num>
  <w:num w:numId="317">
    <w:abstractNumId w:val="703"/>
  </w:num>
  <w:num w:numId="318">
    <w:abstractNumId w:val="517"/>
  </w:num>
  <w:num w:numId="319">
    <w:abstractNumId w:val="174"/>
  </w:num>
  <w:num w:numId="320">
    <w:abstractNumId w:val="579"/>
  </w:num>
  <w:num w:numId="321">
    <w:abstractNumId w:val="69"/>
  </w:num>
  <w:num w:numId="322">
    <w:abstractNumId w:val="792"/>
  </w:num>
  <w:num w:numId="323">
    <w:abstractNumId w:val="118"/>
  </w:num>
  <w:num w:numId="324">
    <w:abstractNumId w:val="545"/>
  </w:num>
  <w:num w:numId="325">
    <w:abstractNumId w:val="721"/>
  </w:num>
  <w:num w:numId="326">
    <w:abstractNumId w:val="158"/>
  </w:num>
  <w:num w:numId="327">
    <w:abstractNumId w:val="215"/>
  </w:num>
  <w:num w:numId="328">
    <w:abstractNumId w:val="543"/>
  </w:num>
  <w:num w:numId="329">
    <w:abstractNumId w:val="698"/>
  </w:num>
  <w:num w:numId="330">
    <w:abstractNumId w:val="271"/>
  </w:num>
  <w:num w:numId="331">
    <w:abstractNumId w:val="107"/>
  </w:num>
  <w:num w:numId="332">
    <w:abstractNumId w:val="796"/>
  </w:num>
  <w:num w:numId="333">
    <w:abstractNumId w:val="152"/>
  </w:num>
  <w:num w:numId="334">
    <w:abstractNumId w:val="115"/>
  </w:num>
  <w:num w:numId="335">
    <w:abstractNumId w:val="739"/>
  </w:num>
  <w:num w:numId="336">
    <w:abstractNumId w:val="677"/>
  </w:num>
  <w:num w:numId="337">
    <w:abstractNumId w:val="580"/>
  </w:num>
  <w:num w:numId="338">
    <w:abstractNumId w:val="315"/>
  </w:num>
  <w:num w:numId="339">
    <w:abstractNumId w:val="16"/>
  </w:num>
  <w:num w:numId="340">
    <w:abstractNumId w:val="370"/>
  </w:num>
  <w:num w:numId="341">
    <w:abstractNumId w:val="373"/>
  </w:num>
  <w:num w:numId="342">
    <w:abstractNumId w:val="395"/>
  </w:num>
  <w:num w:numId="343">
    <w:abstractNumId w:val="732"/>
  </w:num>
  <w:num w:numId="344">
    <w:abstractNumId w:val="576"/>
  </w:num>
  <w:num w:numId="345">
    <w:abstractNumId w:val="391"/>
  </w:num>
  <w:num w:numId="346">
    <w:abstractNumId w:val="262"/>
  </w:num>
  <w:num w:numId="347">
    <w:abstractNumId w:val="168"/>
  </w:num>
  <w:num w:numId="348">
    <w:abstractNumId w:val="665"/>
  </w:num>
  <w:num w:numId="349">
    <w:abstractNumId w:val="640"/>
  </w:num>
  <w:num w:numId="350">
    <w:abstractNumId w:val="620"/>
  </w:num>
  <w:num w:numId="351">
    <w:abstractNumId w:val="427"/>
  </w:num>
  <w:num w:numId="352">
    <w:abstractNumId w:val="817"/>
  </w:num>
  <w:num w:numId="353">
    <w:abstractNumId w:val="214"/>
  </w:num>
  <w:num w:numId="354">
    <w:abstractNumId w:val="12"/>
  </w:num>
  <w:num w:numId="355">
    <w:abstractNumId w:val="302"/>
  </w:num>
  <w:num w:numId="356">
    <w:abstractNumId w:val="226"/>
  </w:num>
  <w:num w:numId="357">
    <w:abstractNumId w:val="594"/>
  </w:num>
  <w:num w:numId="358">
    <w:abstractNumId w:val="62"/>
  </w:num>
  <w:num w:numId="359">
    <w:abstractNumId w:val="35"/>
  </w:num>
  <w:num w:numId="360">
    <w:abstractNumId w:val="103"/>
  </w:num>
  <w:num w:numId="361">
    <w:abstractNumId w:val="549"/>
  </w:num>
  <w:num w:numId="362">
    <w:abstractNumId w:val="17"/>
  </w:num>
  <w:num w:numId="363">
    <w:abstractNumId w:val="558"/>
  </w:num>
  <w:num w:numId="364">
    <w:abstractNumId w:val="79"/>
  </w:num>
  <w:num w:numId="365">
    <w:abstractNumId w:val="41"/>
  </w:num>
  <w:num w:numId="366">
    <w:abstractNumId w:val="303"/>
  </w:num>
  <w:num w:numId="367">
    <w:abstractNumId w:val="277"/>
  </w:num>
  <w:num w:numId="368">
    <w:abstractNumId w:val="87"/>
  </w:num>
  <w:num w:numId="369">
    <w:abstractNumId w:val="333"/>
  </w:num>
  <w:num w:numId="370">
    <w:abstractNumId w:val="497"/>
  </w:num>
  <w:num w:numId="371">
    <w:abstractNumId w:val="270"/>
  </w:num>
  <w:num w:numId="372">
    <w:abstractNumId w:val="672"/>
  </w:num>
  <w:num w:numId="373">
    <w:abstractNumId w:val="177"/>
  </w:num>
  <w:num w:numId="374">
    <w:abstractNumId w:val="808"/>
  </w:num>
  <w:num w:numId="375">
    <w:abstractNumId w:val="165"/>
  </w:num>
  <w:num w:numId="376">
    <w:abstractNumId w:val="768"/>
  </w:num>
  <w:num w:numId="377">
    <w:abstractNumId w:val="196"/>
  </w:num>
  <w:num w:numId="378">
    <w:abstractNumId w:val="475"/>
  </w:num>
  <w:num w:numId="379">
    <w:abstractNumId w:val="217"/>
  </w:num>
  <w:num w:numId="380">
    <w:abstractNumId w:val="241"/>
  </w:num>
  <w:num w:numId="381">
    <w:abstractNumId w:val="421"/>
  </w:num>
  <w:num w:numId="382">
    <w:abstractNumId w:val="593"/>
  </w:num>
  <w:num w:numId="383">
    <w:abstractNumId w:val="283"/>
  </w:num>
  <w:num w:numId="384">
    <w:abstractNumId w:val="740"/>
  </w:num>
  <w:num w:numId="385">
    <w:abstractNumId w:val="610"/>
  </w:num>
  <w:num w:numId="386">
    <w:abstractNumId w:val="587"/>
  </w:num>
  <w:num w:numId="387">
    <w:abstractNumId w:val="213"/>
  </w:num>
  <w:num w:numId="388">
    <w:abstractNumId w:val="374"/>
  </w:num>
  <w:num w:numId="389">
    <w:abstractNumId w:val="176"/>
  </w:num>
  <w:num w:numId="390">
    <w:abstractNumId w:val="318"/>
  </w:num>
  <w:num w:numId="391">
    <w:abstractNumId w:val="137"/>
  </w:num>
  <w:num w:numId="392">
    <w:abstractNumId w:val="51"/>
  </w:num>
  <w:num w:numId="393">
    <w:abstractNumId w:val="401"/>
  </w:num>
  <w:num w:numId="394">
    <w:abstractNumId w:val="401"/>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36"/>
  </w:num>
  <w:num w:numId="396">
    <w:abstractNumId w:val="36"/>
    <w:lvlOverride w:ilvl="0">
      <w:lvl w:ilvl="0">
        <w:start w:val="1"/>
        <w:numFmt w:val="decimal"/>
        <w:lvlText w:val="%1. "/>
        <w:legacy w:legacy="1" w:legacySpace="0" w:legacyIndent="283"/>
        <w:lvlJc w:val="left"/>
        <w:pPr>
          <w:ind w:left="283" w:hanging="283"/>
        </w:pPr>
        <w:rPr>
          <w:b w:val="0"/>
          <w:i w:val="0"/>
          <w:sz w:val="24"/>
        </w:rPr>
      </w:lvl>
    </w:lvlOverride>
  </w:num>
  <w:num w:numId="397">
    <w:abstractNumId w:val="193"/>
  </w:num>
  <w:num w:numId="398">
    <w:abstractNumId w:val="193"/>
    <w:lvlOverride w:ilvl="0">
      <w:lvl w:ilvl="0">
        <w:start w:val="1"/>
        <w:numFmt w:val="decimal"/>
        <w:lvlText w:val="%1. "/>
        <w:legacy w:legacy="1" w:legacySpace="0" w:legacyIndent="283"/>
        <w:lvlJc w:val="left"/>
        <w:pPr>
          <w:ind w:left="283" w:hanging="283"/>
        </w:pPr>
        <w:rPr>
          <w:b w:val="0"/>
          <w:i w:val="0"/>
          <w:sz w:val="24"/>
        </w:rPr>
      </w:lvl>
    </w:lvlOverride>
  </w:num>
  <w:num w:numId="399">
    <w:abstractNumId w:val="314"/>
  </w:num>
  <w:num w:numId="400">
    <w:abstractNumId w:val="654"/>
  </w:num>
  <w:num w:numId="401">
    <w:abstractNumId w:val="544"/>
  </w:num>
  <w:num w:numId="402">
    <w:abstractNumId w:val="690"/>
  </w:num>
  <w:num w:numId="403">
    <w:abstractNumId w:val="233"/>
  </w:num>
  <w:num w:numId="404">
    <w:abstractNumId w:val="121"/>
  </w:num>
  <w:num w:numId="405">
    <w:abstractNumId w:val="782"/>
  </w:num>
  <w:num w:numId="406">
    <w:abstractNumId w:val="78"/>
  </w:num>
  <w:num w:numId="407">
    <w:abstractNumId w:val="316"/>
  </w:num>
  <w:num w:numId="408">
    <w:abstractNumId w:val="317"/>
  </w:num>
  <w:num w:numId="409">
    <w:abstractNumId w:val="650"/>
  </w:num>
  <w:num w:numId="410">
    <w:abstractNumId w:val="799"/>
  </w:num>
  <w:num w:numId="411">
    <w:abstractNumId w:val="83"/>
  </w:num>
  <w:num w:numId="412">
    <w:abstractNumId w:val="426"/>
  </w:num>
  <w:num w:numId="413">
    <w:abstractNumId w:val="816"/>
  </w:num>
  <w:num w:numId="414">
    <w:abstractNumId w:val="563"/>
  </w:num>
  <w:num w:numId="415">
    <w:abstractNumId w:val="451"/>
  </w:num>
  <w:num w:numId="416">
    <w:abstractNumId w:val="3"/>
  </w:num>
  <w:num w:numId="417">
    <w:abstractNumId w:val="385"/>
  </w:num>
  <w:num w:numId="418">
    <w:abstractNumId w:val="595"/>
  </w:num>
  <w:num w:numId="419">
    <w:abstractNumId w:val="245"/>
  </w:num>
  <w:num w:numId="420">
    <w:abstractNumId w:val="326"/>
  </w:num>
  <w:num w:numId="421">
    <w:abstractNumId w:val="573"/>
  </w:num>
  <w:num w:numId="422">
    <w:abstractNumId w:val="506"/>
  </w:num>
  <w:num w:numId="423">
    <w:abstractNumId w:val="119"/>
  </w:num>
  <w:num w:numId="424">
    <w:abstractNumId w:val="526"/>
  </w:num>
  <w:num w:numId="425">
    <w:abstractNumId w:val="194"/>
  </w:num>
  <w:num w:numId="426">
    <w:abstractNumId w:val="805"/>
  </w:num>
  <w:num w:numId="427">
    <w:abstractNumId w:val="195"/>
  </w:num>
  <w:num w:numId="428">
    <w:abstractNumId w:val="43"/>
  </w:num>
  <w:num w:numId="429">
    <w:abstractNumId w:val="492"/>
  </w:num>
  <w:num w:numId="430">
    <w:abstractNumId w:val="73"/>
  </w:num>
  <w:num w:numId="431">
    <w:abstractNumId w:val="114"/>
  </w:num>
  <w:num w:numId="432">
    <w:abstractNumId w:val="84"/>
  </w:num>
  <w:num w:numId="433">
    <w:abstractNumId w:val="577"/>
  </w:num>
  <w:num w:numId="434">
    <w:abstractNumId w:val="312"/>
  </w:num>
  <w:num w:numId="435">
    <w:abstractNumId w:val="132"/>
  </w:num>
  <w:num w:numId="436">
    <w:abstractNumId w:val="344"/>
  </w:num>
  <w:num w:numId="437">
    <w:abstractNumId w:val="52"/>
  </w:num>
  <w:num w:numId="438">
    <w:abstractNumId w:val="353"/>
  </w:num>
  <w:num w:numId="439">
    <w:abstractNumId w:val="101"/>
  </w:num>
  <w:num w:numId="440">
    <w:abstractNumId w:val="511"/>
  </w:num>
  <w:num w:numId="441">
    <w:abstractNumId w:val="776"/>
  </w:num>
  <w:num w:numId="442">
    <w:abstractNumId w:val="229"/>
  </w:num>
  <w:num w:numId="443">
    <w:abstractNumId w:val="660"/>
  </w:num>
  <w:num w:numId="444">
    <w:abstractNumId w:val="11"/>
  </w:num>
  <w:num w:numId="445">
    <w:abstractNumId w:val="345"/>
  </w:num>
  <w:num w:numId="446">
    <w:abstractNumId w:val="58"/>
  </w:num>
  <w:num w:numId="447">
    <w:abstractNumId w:val="800"/>
  </w:num>
  <w:num w:numId="448">
    <w:abstractNumId w:val="321"/>
  </w:num>
  <w:num w:numId="449">
    <w:abstractNumId w:val="822"/>
  </w:num>
  <w:num w:numId="450">
    <w:abstractNumId w:val="784"/>
  </w:num>
  <w:num w:numId="451">
    <w:abstractNumId w:val="819"/>
  </w:num>
  <w:num w:numId="452">
    <w:abstractNumId w:val="77"/>
  </w:num>
  <w:num w:numId="453">
    <w:abstractNumId w:val="431"/>
  </w:num>
  <w:num w:numId="454">
    <w:abstractNumId w:val="113"/>
  </w:num>
  <w:num w:numId="455">
    <w:abstractNumId w:val="151"/>
  </w:num>
  <w:num w:numId="456">
    <w:abstractNumId w:val="337"/>
  </w:num>
  <w:num w:numId="457">
    <w:abstractNumId w:val="611"/>
  </w:num>
  <w:num w:numId="458">
    <w:abstractNumId w:val="66"/>
  </w:num>
  <w:num w:numId="459">
    <w:abstractNumId w:val="456"/>
  </w:num>
  <w:num w:numId="460">
    <w:abstractNumId w:val="482"/>
  </w:num>
  <w:num w:numId="461">
    <w:abstractNumId w:val="710"/>
  </w:num>
  <w:num w:numId="462">
    <w:abstractNumId w:val="466"/>
  </w:num>
  <w:num w:numId="463">
    <w:abstractNumId w:val="483"/>
  </w:num>
  <w:num w:numId="464">
    <w:abstractNumId w:val="182"/>
  </w:num>
  <w:num w:numId="465">
    <w:abstractNumId w:val="623"/>
  </w:num>
  <w:num w:numId="466">
    <w:abstractNumId w:val="685"/>
  </w:num>
  <w:num w:numId="467">
    <w:abstractNumId w:val="251"/>
  </w:num>
  <w:num w:numId="468">
    <w:abstractNumId w:val="362"/>
  </w:num>
  <w:num w:numId="469">
    <w:abstractNumId w:val="494"/>
  </w:num>
  <w:num w:numId="470">
    <w:abstractNumId w:val="647"/>
  </w:num>
  <w:num w:numId="471">
    <w:abstractNumId w:val="145"/>
  </w:num>
  <w:num w:numId="472">
    <w:abstractNumId w:val="242"/>
  </w:num>
  <w:num w:numId="473">
    <w:abstractNumId w:val="59"/>
  </w:num>
  <w:num w:numId="474">
    <w:abstractNumId w:val="763"/>
  </w:num>
  <w:num w:numId="475">
    <w:abstractNumId w:val="386"/>
  </w:num>
  <w:num w:numId="476">
    <w:abstractNumId w:val="64"/>
  </w:num>
  <w:num w:numId="477">
    <w:abstractNumId w:val="737"/>
  </w:num>
  <w:num w:numId="478">
    <w:abstractNumId w:val="484"/>
  </w:num>
  <w:num w:numId="479">
    <w:abstractNumId w:val="622"/>
  </w:num>
  <w:num w:numId="480">
    <w:abstractNumId w:val="712"/>
  </w:num>
  <w:num w:numId="481">
    <w:abstractNumId w:val="180"/>
  </w:num>
  <w:num w:numId="482">
    <w:abstractNumId w:val="148"/>
  </w:num>
  <w:num w:numId="483">
    <w:abstractNumId w:val="369"/>
  </w:num>
  <w:num w:numId="484">
    <w:abstractNumId w:val="341"/>
  </w:num>
  <w:num w:numId="485">
    <w:abstractNumId w:val="667"/>
  </w:num>
  <w:num w:numId="486">
    <w:abstractNumId w:val="592"/>
  </w:num>
  <w:num w:numId="487">
    <w:abstractNumId w:val="681"/>
  </w:num>
  <w:num w:numId="488">
    <w:abstractNumId w:val="585"/>
  </w:num>
  <w:num w:numId="489">
    <w:abstractNumId w:val="718"/>
  </w:num>
  <w:num w:numId="490">
    <w:abstractNumId w:val="360"/>
  </w:num>
  <w:num w:numId="491">
    <w:abstractNumId w:val="630"/>
  </w:num>
  <w:num w:numId="492">
    <w:abstractNumId w:val="201"/>
  </w:num>
  <w:num w:numId="493">
    <w:abstractNumId w:val="281"/>
  </w:num>
  <w:num w:numId="494">
    <w:abstractNumId w:val="556"/>
  </w:num>
  <w:num w:numId="495">
    <w:abstractNumId w:val="339"/>
  </w:num>
  <w:num w:numId="496">
    <w:abstractNumId w:val="780"/>
  </w:num>
  <w:num w:numId="497">
    <w:abstractNumId w:val="403"/>
  </w:num>
  <w:num w:numId="498">
    <w:abstractNumId w:val="717"/>
  </w:num>
  <w:num w:numId="499">
    <w:abstractNumId w:val="19"/>
  </w:num>
  <w:num w:numId="500">
    <w:abstractNumId w:val="364"/>
  </w:num>
  <w:num w:numId="501">
    <w:abstractNumId w:val="569"/>
  </w:num>
  <w:num w:numId="502">
    <w:abstractNumId w:val="648"/>
  </w:num>
  <w:num w:numId="503">
    <w:abstractNumId w:val="773"/>
  </w:num>
  <w:num w:numId="504">
    <w:abstractNumId w:val="225"/>
  </w:num>
  <w:num w:numId="505">
    <w:abstractNumId w:val="615"/>
  </w:num>
  <w:num w:numId="506">
    <w:abstractNumId w:val="631"/>
  </w:num>
  <w:num w:numId="507">
    <w:abstractNumId w:val="720"/>
  </w:num>
  <w:num w:numId="508">
    <w:abstractNumId w:val="643"/>
  </w:num>
  <w:num w:numId="509">
    <w:abstractNumId w:val="644"/>
  </w:num>
  <w:num w:numId="510">
    <w:abstractNumId w:val="123"/>
  </w:num>
  <w:num w:numId="511">
    <w:abstractNumId w:val="692"/>
  </w:num>
  <w:num w:numId="512">
    <w:abstractNumId w:val="286"/>
  </w:num>
  <w:num w:numId="513">
    <w:abstractNumId w:val="323"/>
  </w:num>
  <w:num w:numId="514">
    <w:abstractNumId w:val="449"/>
  </w:num>
  <w:num w:numId="515">
    <w:abstractNumId w:val="604"/>
  </w:num>
  <w:num w:numId="516">
    <w:abstractNumId w:val="575"/>
  </w:num>
  <w:num w:numId="517">
    <w:abstractNumId w:val="502"/>
  </w:num>
  <w:num w:numId="518">
    <w:abstractNumId w:val="53"/>
  </w:num>
  <w:num w:numId="519">
    <w:abstractNumId w:val="777"/>
  </w:num>
  <w:num w:numId="520">
    <w:abstractNumId w:val="798"/>
  </w:num>
  <w:num w:numId="521">
    <w:abstractNumId w:val="266"/>
  </w:num>
  <w:num w:numId="522">
    <w:abstractNumId w:val="618"/>
  </w:num>
  <w:num w:numId="523">
    <w:abstractNumId w:val="220"/>
  </w:num>
  <w:num w:numId="524">
    <w:abstractNumId w:val="272"/>
  </w:num>
  <w:num w:numId="525">
    <w:abstractNumId w:val="343"/>
  </w:num>
  <w:num w:numId="526">
    <w:abstractNumId w:val="596"/>
  </w:num>
  <w:num w:numId="527">
    <w:abstractNumId w:val="181"/>
  </w:num>
  <w:num w:numId="528">
    <w:abstractNumId w:val="453"/>
  </w:num>
  <w:num w:numId="529">
    <w:abstractNumId w:val="28"/>
  </w:num>
  <w:num w:numId="530">
    <w:abstractNumId w:val="186"/>
  </w:num>
  <w:num w:numId="531">
    <w:abstractNumId w:val="693"/>
  </w:num>
  <w:num w:numId="532">
    <w:abstractNumId w:val="328"/>
  </w:num>
  <w:num w:numId="533">
    <w:abstractNumId w:val="646"/>
  </w:num>
  <w:num w:numId="534">
    <w:abstractNumId w:val="407"/>
  </w:num>
  <w:num w:numId="535">
    <w:abstractNumId w:val="409"/>
  </w:num>
  <w:num w:numId="536">
    <w:abstractNumId w:val="128"/>
  </w:num>
  <w:num w:numId="537">
    <w:abstractNumId w:val="7"/>
  </w:num>
  <w:num w:numId="538">
    <w:abstractNumId w:val="731"/>
  </w:num>
  <w:num w:numId="539">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540">
    <w:abstractNumId w:val="561"/>
  </w:num>
  <w:num w:numId="541">
    <w:abstractNumId w:val="476"/>
  </w:num>
  <w:num w:numId="542">
    <w:abstractNumId w:val="599"/>
  </w:num>
  <w:num w:numId="543">
    <w:abstractNumId w:val="185"/>
  </w:num>
  <w:num w:numId="544">
    <w:abstractNumId w:val="236"/>
  </w:num>
  <w:num w:numId="545">
    <w:abstractNumId w:val="785"/>
  </w:num>
  <w:num w:numId="546">
    <w:abstractNumId w:val="588"/>
  </w:num>
  <w:num w:numId="547">
    <w:abstractNumId w:val="765"/>
  </w:num>
  <w:num w:numId="548">
    <w:abstractNumId w:val="495"/>
  </w:num>
  <w:num w:numId="549">
    <w:abstractNumId w:val="199"/>
  </w:num>
  <w:num w:numId="550">
    <w:abstractNumId w:val="284"/>
  </w:num>
  <w:num w:numId="551">
    <w:abstractNumId w:val="759"/>
  </w:num>
  <w:num w:numId="552">
    <w:abstractNumId w:val="682"/>
  </w:num>
  <w:num w:numId="553">
    <w:abstractNumId w:val="507"/>
  </w:num>
  <w:num w:numId="554">
    <w:abstractNumId w:val="507"/>
    <w:lvlOverride w:ilvl="0">
      <w:lvl w:ilvl="0">
        <w:start w:val="324"/>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555">
    <w:abstractNumId w:val="722"/>
  </w:num>
  <w:num w:numId="556">
    <w:abstractNumId w:val="750"/>
  </w:num>
  <w:num w:numId="557">
    <w:abstractNumId w:val="122"/>
  </w:num>
  <w:num w:numId="558">
    <w:abstractNumId w:val="455"/>
  </w:num>
  <w:num w:numId="559">
    <w:abstractNumId w:val="49"/>
  </w:num>
  <w:num w:numId="560">
    <w:abstractNumId w:val="603"/>
  </w:num>
  <w:num w:numId="561">
    <w:abstractNumId w:val="775"/>
  </w:num>
  <w:num w:numId="562">
    <w:abstractNumId w:val="60"/>
  </w:num>
  <w:num w:numId="563">
    <w:abstractNumId w:val="638"/>
  </w:num>
  <w:num w:numId="564">
    <w:abstractNumId w:val="4"/>
  </w:num>
  <w:num w:numId="565">
    <w:abstractNumId w:val="264"/>
  </w:num>
  <w:num w:numId="566">
    <w:abstractNumId w:val="263"/>
  </w:num>
  <w:num w:numId="567">
    <w:abstractNumId w:val="525"/>
  </w:num>
  <w:num w:numId="568">
    <w:abstractNumId w:val="307"/>
  </w:num>
  <w:num w:numId="569">
    <w:abstractNumId w:val="108"/>
  </w:num>
  <w:num w:numId="570">
    <w:abstractNumId w:val="669"/>
  </w:num>
  <w:num w:numId="571">
    <w:abstractNumId w:val="624"/>
  </w:num>
  <w:num w:numId="572">
    <w:abstractNumId w:val="21"/>
  </w:num>
  <w:num w:numId="573">
    <w:abstractNumId w:val="160"/>
  </w:num>
  <w:num w:numId="574">
    <w:abstractNumId w:val="487"/>
  </w:num>
  <w:num w:numId="575">
    <w:abstractNumId w:val="72"/>
  </w:num>
  <w:num w:numId="576">
    <w:abstractNumId w:val="332"/>
  </w:num>
  <w:num w:numId="577">
    <w:abstractNumId w:val="300"/>
  </w:num>
  <w:num w:numId="578">
    <w:abstractNumId w:val="61"/>
  </w:num>
  <w:num w:numId="579">
    <w:abstractNumId w:val="6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580">
    <w:abstractNumId w:val="1"/>
  </w:num>
  <w:num w:numId="581">
    <w:abstractNumId w:val="481"/>
  </w:num>
  <w:num w:numId="582">
    <w:abstractNumId w:val="282"/>
  </w:num>
  <w:num w:numId="583">
    <w:abstractNumId w:val="231"/>
  </w:num>
  <w:num w:numId="584">
    <w:abstractNumId w:val="680"/>
  </w:num>
  <w:num w:numId="585">
    <w:abstractNumId w:val="47"/>
  </w:num>
  <w:num w:numId="586">
    <w:abstractNumId w:val="254"/>
  </w:num>
  <w:num w:numId="587">
    <w:abstractNumId w:val="459"/>
  </w:num>
  <w:num w:numId="588">
    <w:abstractNumId w:val="375"/>
  </w:num>
  <w:num w:numId="589">
    <w:abstractNumId w:val="697"/>
  </w:num>
  <w:num w:numId="590">
    <w:abstractNumId w:val="399"/>
  </w:num>
  <w:num w:numId="591">
    <w:abstractNumId w:val="445"/>
  </w:num>
  <w:num w:numId="592">
    <w:abstractNumId w:val="749"/>
  </w:num>
  <w:num w:numId="593">
    <w:abstractNumId w:val="748"/>
  </w:num>
  <w:num w:numId="594">
    <w:abstractNumId w:val="230"/>
  </w:num>
  <w:num w:numId="595">
    <w:abstractNumId w:val="23"/>
  </w:num>
  <w:num w:numId="596">
    <w:abstractNumId w:val="223"/>
  </w:num>
  <w:num w:numId="597">
    <w:abstractNumId w:val="22"/>
  </w:num>
  <w:num w:numId="598">
    <w:abstractNumId w:val="351"/>
  </w:num>
  <w:num w:numId="599">
    <w:abstractNumId w:val="42"/>
  </w:num>
  <w:num w:numId="600">
    <w:abstractNumId w:val="232"/>
  </w:num>
  <w:num w:numId="601">
    <w:abstractNumId w:val="377"/>
  </w:num>
  <w:num w:numId="602">
    <w:abstractNumId w:val="663"/>
  </w:num>
  <w:num w:numId="603">
    <w:abstractNumId w:val="222"/>
  </w:num>
  <w:num w:numId="604">
    <w:abstractNumId w:val="131"/>
  </w:num>
  <w:num w:numId="605">
    <w:abstractNumId w:val="423"/>
  </w:num>
  <w:num w:numId="606">
    <w:abstractNumId w:val="157"/>
  </w:num>
  <w:num w:numId="607">
    <w:abstractNumId w:val="136"/>
  </w:num>
  <w:num w:numId="608">
    <w:abstractNumId w:val="335"/>
  </w:num>
  <w:num w:numId="609">
    <w:abstractNumId w:val="442"/>
  </w:num>
  <w:num w:numId="610">
    <w:abstractNumId w:val="415"/>
  </w:num>
  <w:num w:numId="611">
    <w:abstractNumId w:val="367"/>
  </w:num>
  <w:num w:numId="612">
    <w:abstractNumId w:val="89"/>
  </w:num>
  <w:num w:numId="613">
    <w:abstractNumId w:val="287"/>
  </w:num>
  <w:num w:numId="614">
    <w:abstractNumId w:val="116"/>
  </w:num>
  <w:num w:numId="615">
    <w:abstractNumId w:val="496"/>
  </w:num>
  <w:num w:numId="616">
    <w:abstractNumId w:val="117"/>
  </w:num>
  <w:num w:numId="617">
    <w:abstractNumId w:val="198"/>
  </w:num>
  <w:num w:numId="618">
    <w:abstractNumId w:val="633"/>
  </w:num>
  <w:num w:numId="619">
    <w:abstractNumId w:val="143"/>
  </w:num>
  <w:num w:numId="620">
    <w:abstractNumId w:val="224"/>
  </w:num>
  <w:num w:numId="621">
    <w:abstractNumId w:val="90"/>
  </w:num>
  <w:num w:numId="622">
    <w:abstractNumId w:val="470"/>
  </w:num>
  <w:num w:numId="623">
    <w:abstractNumId w:val="501"/>
  </w:num>
  <w:num w:numId="624">
    <w:abstractNumId w:val="238"/>
  </w:num>
  <w:num w:numId="625">
    <w:abstractNumId w:val="203"/>
  </w:num>
  <w:num w:numId="626">
    <w:abstractNumId w:val="296"/>
  </w:num>
  <w:num w:numId="627">
    <w:abstractNumId w:val="250"/>
  </w:num>
  <w:num w:numId="628">
    <w:abstractNumId w:val="330"/>
  </w:num>
  <w:num w:numId="629">
    <w:abstractNumId w:val="204"/>
  </w:num>
  <w:num w:numId="630">
    <w:abstractNumId w:val="444"/>
  </w:num>
  <w:num w:numId="631">
    <w:abstractNumId w:val="29"/>
  </w:num>
  <w:num w:numId="632">
    <w:abstractNumId w:val="394"/>
  </w:num>
  <w:num w:numId="633">
    <w:abstractNumId w:val="98"/>
  </w:num>
  <w:num w:numId="634">
    <w:abstractNumId w:val="469"/>
  </w:num>
  <w:num w:numId="635">
    <w:abstractNumId w:val="498"/>
  </w:num>
  <w:num w:numId="636">
    <w:abstractNumId w:val="419"/>
  </w:num>
  <w:num w:numId="637">
    <w:abstractNumId w:val="290"/>
  </w:num>
  <w:num w:numId="638">
    <w:abstractNumId w:val="668"/>
  </w:num>
  <w:num w:numId="639">
    <w:abstractNumId w:val="210"/>
  </w:num>
  <w:num w:numId="640">
    <w:abstractNumId w:val="809"/>
  </w:num>
  <w:num w:numId="641">
    <w:abstractNumId w:val="823"/>
  </w:num>
  <w:num w:numId="642">
    <w:abstractNumId w:val="393"/>
  </w:num>
  <w:num w:numId="643">
    <w:abstractNumId w:val="349"/>
  </w:num>
  <w:num w:numId="644">
    <w:abstractNumId w:val="457"/>
  </w:num>
  <w:num w:numId="645">
    <w:abstractNumId w:val="531"/>
  </w:num>
  <w:num w:numId="646">
    <w:abstractNumId w:val="169"/>
  </w:num>
  <w:num w:numId="647">
    <w:abstractNumId w:val="200"/>
  </w:num>
  <w:num w:numId="648">
    <w:abstractNumId w:val="9"/>
  </w:num>
  <w:num w:numId="649">
    <w:abstractNumId w:val="447"/>
  </w:num>
  <w:num w:numId="650">
    <w:abstractNumId w:val="348"/>
  </w:num>
  <w:num w:numId="651">
    <w:abstractNumId w:val="159"/>
  </w:num>
  <w:num w:numId="652">
    <w:abstractNumId w:val="159"/>
    <w:lvlOverride w:ilvl="0">
      <w:lvl w:ilvl="0">
        <w:start w:val="429"/>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653">
    <w:abstractNumId w:val="491"/>
  </w:num>
  <w:num w:numId="654">
    <w:abstractNumId w:val="406"/>
  </w:num>
  <w:num w:numId="655">
    <w:abstractNumId w:val="430"/>
  </w:num>
  <w:num w:numId="656">
    <w:abstractNumId w:val="379"/>
  </w:num>
  <w:num w:numId="657">
    <w:abstractNumId w:val="468"/>
  </w:num>
  <w:num w:numId="658">
    <w:abstractNumId w:val="389"/>
  </w:num>
  <w:num w:numId="659">
    <w:abstractNumId w:val="172"/>
  </w:num>
  <w:num w:numId="660">
    <w:abstractNumId w:val="142"/>
  </w:num>
  <w:num w:numId="661">
    <w:abstractNumId w:val="518"/>
  </w:num>
  <w:num w:numId="662">
    <w:abstractNumId w:val="671"/>
  </w:num>
  <w:num w:numId="663">
    <w:abstractNumId w:val="662"/>
  </w:num>
  <w:num w:numId="664">
    <w:abstractNumId w:val="791"/>
  </w:num>
  <w:num w:numId="665">
    <w:abstractNumId w:val="574"/>
  </w:num>
  <w:num w:numId="666">
    <w:abstractNumId w:val="695"/>
  </w:num>
  <w:num w:numId="667">
    <w:abstractNumId w:val="155"/>
  </w:num>
  <w:num w:numId="668">
    <w:abstractNumId w:val="478"/>
  </w:num>
  <w:num w:numId="669">
    <w:abstractNumId w:val="666"/>
  </w:num>
  <w:num w:numId="670">
    <w:abstractNumId w:val="15"/>
  </w:num>
  <w:num w:numId="671">
    <w:abstractNumId w:val="694"/>
  </w:num>
  <w:num w:numId="672">
    <w:abstractNumId w:val="529"/>
  </w:num>
  <w:num w:numId="673">
    <w:abstractNumId w:val="398"/>
  </w:num>
  <w:num w:numId="674">
    <w:abstractNumId w:val="804"/>
  </w:num>
  <w:num w:numId="675">
    <w:abstractNumId w:val="311"/>
  </w:num>
  <w:num w:numId="676">
    <w:abstractNumId w:val="628"/>
  </w:num>
  <w:num w:numId="677">
    <w:abstractNumId w:val="505"/>
  </w:num>
  <w:num w:numId="678">
    <w:abstractNumId w:val="589"/>
  </w:num>
  <w:num w:numId="679">
    <w:abstractNumId w:val="441"/>
  </w:num>
  <w:num w:numId="680">
    <w:abstractNumId w:val="661"/>
  </w:num>
  <w:num w:numId="681">
    <w:abstractNumId w:val="794"/>
  </w:num>
  <w:num w:numId="682">
    <w:abstractNumId w:val="378"/>
  </w:num>
  <w:num w:numId="683">
    <w:abstractNumId w:val="727"/>
  </w:num>
  <w:num w:numId="684">
    <w:abstractNumId w:val="268"/>
  </w:num>
  <w:num w:numId="685">
    <w:abstractNumId w:val="88"/>
  </w:num>
  <w:num w:numId="686">
    <w:abstractNumId w:val="8"/>
  </w:num>
  <w:num w:numId="687">
    <w:abstractNumId w:val="104"/>
  </w:num>
  <w:num w:numId="688">
    <w:abstractNumId w:val="120"/>
  </w:num>
  <w:num w:numId="689">
    <w:abstractNumId w:val="568"/>
  </w:num>
  <w:num w:numId="690">
    <w:abstractNumId w:val="366"/>
  </w:num>
  <w:num w:numId="691">
    <w:abstractNumId w:val="404"/>
  </w:num>
  <w:num w:numId="692">
    <w:abstractNumId w:val="405"/>
  </w:num>
  <w:num w:numId="693">
    <w:abstractNumId w:val="400"/>
  </w:num>
  <w:num w:numId="694">
    <w:abstractNumId w:val="509"/>
  </w:num>
  <w:num w:numId="695">
    <w:abstractNumId w:val="38"/>
  </w:num>
  <w:num w:numId="696">
    <w:abstractNumId w:val="202"/>
  </w:num>
  <w:num w:numId="697">
    <w:abstractNumId w:val="305"/>
  </w:num>
  <w:num w:numId="698">
    <w:abstractNumId w:val="139"/>
  </w:num>
  <w:num w:numId="699">
    <w:abstractNumId w:val="416"/>
  </w:num>
  <w:num w:numId="700">
    <w:abstractNumId w:val="786"/>
  </w:num>
  <w:num w:numId="701">
    <w:abstractNumId w:val="764"/>
  </w:num>
  <w:num w:numId="702">
    <w:abstractNumId w:val="788"/>
  </w:num>
  <w:num w:numId="703">
    <w:abstractNumId w:val="334"/>
  </w:num>
  <w:num w:numId="704">
    <w:abstractNumId w:val="417"/>
  </w:num>
  <w:num w:numId="705">
    <w:abstractNumId w:val="454"/>
  </w:num>
  <w:num w:numId="706">
    <w:abstractNumId w:val="523"/>
  </w:num>
  <w:num w:numId="707">
    <w:abstractNumId w:val="637"/>
  </w:num>
  <w:num w:numId="708">
    <w:abstractNumId w:val="801"/>
  </w:num>
  <w:num w:numId="709">
    <w:abstractNumId w:val="171"/>
  </w:num>
  <w:num w:numId="710">
    <w:abstractNumId w:val="384"/>
  </w:num>
  <w:num w:numId="711">
    <w:abstractNumId w:val="384"/>
    <w:lvlOverride w:ilvl="0">
      <w:lvl w:ilvl="0">
        <w:start w:val="324"/>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712">
    <w:abstractNumId w:val="149"/>
  </w:num>
  <w:num w:numId="713">
    <w:abstractNumId w:val="528"/>
  </w:num>
  <w:num w:numId="714">
    <w:abstractNumId w:val="188"/>
  </w:num>
  <w:num w:numId="715">
    <w:abstractNumId w:val="783"/>
  </w:num>
  <w:num w:numId="716">
    <w:abstractNumId w:val="85"/>
  </w:num>
  <w:num w:numId="717">
    <w:abstractNumId w:val="153"/>
  </w:num>
  <w:num w:numId="718">
    <w:abstractNumId w:val="578"/>
  </w:num>
  <w:num w:numId="719">
    <w:abstractNumId w:val="437"/>
  </w:num>
  <w:num w:numId="720">
    <w:abstractNumId w:val="134"/>
  </w:num>
  <w:num w:numId="721">
    <w:abstractNumId w:val="156"/>
  </w:num>
  <w:num w:numId="722">
    <w:abstractNumId w:val="150"/>
  </w:num>
  <w:num w:numId="723">
    <w:abstractNumId w:val="730"/>
  </w:num>
  <w:num w:numId="724">
    <w:abstractNumId w:val="802"/>
  </w:num>
  <w:num w:numId="725">
    <w:abstractNumId w:val="781"/>
  </w:num>
  <w:num w:numId="726">
    <w:abstractNumId w:val="540"/>
  </w:num>
  <w:num w:numId="727">
    <w:abstractNumId w:val="793"/>
  </w:num>
  <w:num w:numId="728">
    <w:abstractNumId w:val="810"/>
  </w:num>
  <w:num w:numId="729">
    <w:abstractNumId w:val="719"/>
  </w:num>
  <w:num w:numId="730">
    <w:abstractNumId w:val="55"/>
  </w:num>
  <w:num w:numId="731">
    <w:abstractNumId w:val="356"/>
  </w:num>
  <w:num w:numId="732">
    <w:abstractNumId w:val="359"/>
  </w:num>
  <w:num w:numId="733">
    <w:abstractNumId w:val="429"/>
  </w:num>
  <w:num w:numId="734">
    <w:abstractNumId w:val="787"/>
  </w:num>
  <w:num w:numId="735">
    <w:abstractNumId w:val="313"/>
  </w:num>
  <w:num w:numId="736">
    <w:abstractNumId w:val="31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737">
    <w:abstractNumId w:val="109"/>
  </w:num>
  <w:num w:numId="738">
    <w:abstractNumId w:val="275"/>
  </w:num>
  <w:num w:numId="739">
    <w:abstractNumId w:val="642"/>
  </w:num>
  <w:num w:numId="740">
    <w:abstractNumId w:val="542"/>
  </w:num>
  <w:num w:numId="741">
    <w:abstractNumId w:val="465"/>
  </w:num>
  <w:num w:numId="742">
    <w:abstractNumId w:val="485"/>
  </w:num>
  <w:num w:numId="743">
    <w:abstractNumId w:val="634"/>
  </w:num>
  <w:num w:numId="744">
    <w:abstractNumId w:val="288"/>
  </w:num>
  <w:num w:numId="745">
    <w:abstractNumId w:val="57"/>
  </w:num>
  <w:num w:numId="746">
    <w:abstractNumId w:val="45"/>
  </w:num>
  <w:num w:numId="747">
    <w:abstractNumId w:val="473"/>
  </w:num>
  <w:num w:numId="748">
    <w:abstractNumId w:val="552"/>
  </w:num>
  <w:num w:numId="749">
    <w:abstractNumId w:val="807"/>
  </w:num>
  <w:num w:numId="750">
    <w:abstractNumId w:val="383"/>
  </w:num>
  <w:num w:numId="751">
    <w:abstractNumId w:val="522"/>
  </w:num>
  <w:num w:numId="752">
    <w:abstractNumId w:val="815"/>
  </w:num>
  <w:num w:numId="753">
    <w:abstractNumId w:val="767"/>
  </w:num>
  <w:num w:numId="754">
    <w:abstractNumId w:val="161"/>
  </w:num>
  <w:num w:numId="755">
    <w:abstractNumId w:val="190"/>
  </w:num>
  <w:num w:numId="756">
    <w:abstractNumId w:val="584"/>
  </w:num>
  <w:num w:numId="757">
    <w:abstractNumId w:val="327"/>
  </w:num>
  <w:num w:numId="758">
    <w:abstractNumId w:val="512"/>
  </w:num>
  <w:num w:numId="759">
    <w:abstractNumId w:val="479"/>
  </w:num>
  <w:num w:numId="760">
    <w:abstractNumId w:val="411"/>
  </w:num>
  <w:num w:numId="761">
    <w:abstractNumId w:val="219"/>
  </w:num>
  <w:num w:numId="762">
    <w:abstractNumId w:val="154"/>
  </w:num>
  <w:num w:numId="763">
    <w:abstractNumId w:val="673"/>
  </w:num>
  <w:num w:numId="764">
    <w:abstractNumId w:val="92"/>
  </w:num>
  <w:num w:numId="765">
    <w:abstractNumId w:val="744"/>
  </w:num>
  <w:num w:numId="766">
    <w:abstractNumId w:val="371"/>
  </w:num>
  <w:num w:numId="767">
    <w:abstractNumId w:val="467"/>
  </w:num>
  <w:num w:numId="768">
    <w:abstractNumId w:val="292"/>
  </w:num>
  <w:num w:numId="769">
    <w:abstractNumId w:val="252"/>
  </w:num>
  <w:num w:numId="770">
    <w:abstractNumId w:val="197"/>
  </w:num>
  <w:num w:numId="771">
    <w:abstractNumId w:val="609"/>
  </w:num>
  <w:num w:numId="772">
    <w:abstractNumId w:val="102"/>
  </w:num>
  <w:num w:numId="773">
    <w:abstractNumId w:val="597"/>
  </w:num>
  <w:num w:numId="774">
    <w:abstractNumId w:val="769"/>
  </w:num>
  <w:num w:numId="775">
    <w:abstractNumId w:val="516"/>
  </w:num>
  <w:num w:numId="776">
    <w:abstractNumId w:val="550"/>
  </w:num>
  <w:num w:numId="777">
    <w:abstractNumId w:val="320"/>
  </w:num>
  <w:num w:numId="778">
    <w:abstractNumId w:val="438"/>
  </w:num>
  <w:num w:numId="779">
    <w:abstractNumId w:val="249"/>
  </w:num>
  <w:num w:numId="780">
    <w:abstractNumId w:val="234"/>
  </w:num>
  <w:num w:numId="781">
    <w:abstractNumId w:val="605"/>
  </w:num>
  <w:num w:numId="782">
    <w:abstractNumId w:val="562"/>
  </w:num>
  <w:num w:numId="783">
    <w:abstractNumId w:val="68"/>
  </w:num>
  <w:num w:numId="784">
    <w:abstractNumId w:val="54"/>
  </w:num>
  <w:num w:numId="785">
    <w:abstractNumId w:val="738"/>
  </w:num>
  <w:num w:numId="786">
    <w:abstractNumId w:val="555"/>
  </w:num>
  <w:num w:numId="787">
    <w:abstractNumId w:val="24"/>
  </w:num>
  <w:num w:numId="788">
    <w:abstractNumId w:val="18"/>
  </w:num>
  <w:num w:numId="789">
    <w:abstractNumId w:val="590"/>
  </w:num>
  <w:num w:numId="790">
    <w:abstractNumId w:val="701"/>
  </w:num>
  <w:num w:numId="791">
    <w:abstractNumId w:val="586"/>
  </w:num>
  <w:num w:numId="792">
    <w:abstractNumId w:val="520"/>
  </w:num>
  <w:num w:numId="793">
    <w:abstractNumId w:val="30"/>
  </w:num>
  <w:num w:numId="794">
    <w:abstractNumId w:val="325"/>
  </w:num>
  <w:num w:numId="795">
    <w:abstractNumId w:val="273"/>
  </w:num>
  <w:num w:numId="796">
    <w:abstractNumId w:val="368"/>
  </w:num>
  <w:num w:numId="797">
    <w:abstractNumId w:val="382"/>
  </w:num>
  <w:num w:numId="798">
    <w:abstractNumId w:val="601"/>
  </w:num>
  <w:num w:numId="799">
    <w:abstractNumId w:val="340"/>
  </w:num>
  <w:num w:numId="800">
    <w:abstractNumId w:val="464"/>
  </w:num>
  <w:num w:numId="801">
    <w:abstractNumId w:val="684"/>
  </w:num>
  <w:num w:numId="802">
    <w:abstractNumId w:val="239"/>
  </w:num>
  <w:num w:numId="803">
    <w:abstractNumId w:val="729"/>
  </w:num>
  <w:num w:numId="804">
    <w:abstractNumId w:val="435"/>
  </w:num>
  <w:num w:numId="805">
    <w:abstractNumId w:val="355"/>
  </w:num>
  <w:num w:numId="806">
    <w:abstractNumId w:val="93"/>
  </w:num>
  <w:num w:numId="807">
    <w:abstractNumId w:val="278"/>
  </w:num>
  <w:num w:numId="808">
    <w:abstractNumId w:val="655"/>
  </w:num>
  <w:num w:numId="809">
    <w:abstractNumId w:val="655"/>
    <w:lvlOverride w:ilvl="0">
      <w:lvl w:ilvl="0">
        <w:start w:val="429"/>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810">
    <w:abstractNumId w:val="532"/>
  </w:num>
  <w:num w:numId="811">
    <w:abstractNumId w:val="766"/>
  </w:num>
  <w:num w:numId="812">
    <w:abstractNumId w:val="274"/>
  </w:num>
  <w:num w:numId="813">
    <w:abstractNumId w:val="645"/>
  </w:num>
  <w:num w:numId="814">
    <w:abstractNumId w:val="598"/>
  </w:num>
  <w:num w:numId="815">
    <w:abstractNumId w:val="691"/>
  </w:num>
  <w:num w:numId="816">
    <w:abstractNumId w:val="74"/>
  </w:num>
  <w:num w:numId="817">
    <w:abstractNumId w:val="527"/>
  </w:num>
  <w:num w:numId="818">
    <w:abstractNumId w:val="253"/>
  </w:num>
  <w:num w:numId="819">
    <w:abstractNumId w:val="797"/>
  </w:num>
  <w:num w:numId="820">
    <w:abstractNumId w:val="614"/>
  </w:num>
  <w:num w:numId="821">
    <w:abstractNumId w:val="711"/>
  </w:num>
  <w:num w:numId="822">
    <w:abstractNumId w:val="702"/>
  </w:num>
  <w:num w:numId="823">
    <w:abstractNumId w:val="583"/>
  </w:num>
  <w:num w:numId="824">
    <w:abstractNumId w:val="742"/>
  </w:num>
  <w:num w:numId="825">
    <w:abstractNumId w:val="474"/>
  </w:num>
  <w:num w:numId="826">
    <w:abstractNumId w:val="138"/>
  </w:num>
  <w:num w:numId="827">
    <w:abstractNumId w:val="714"/>
  </w:num>
  <w:num w:numId="828">
    <w:abstractNumId w:val="480"/>
  </w:num>
  <w:num w:numId="829">
    <w:abstractNumId w:val="524"/>
  </w:num>
  <w:num w:numId="830">
    <w:abstractNumId w:val="75"/>
  </w:num>
  <w:num w:numId="831">
    <w:abstractNumId w:val="446"/>
  </w:num>
  <w:num w:numId="832">
    <w:abstractNumId w:val="554"/>
  </w:num>
  <w:num w:numId="833">
    <w:abstractNumId w:val="5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124903R"/>
    <w:docVar w:name="Symbol1" w:val="CEDAW/C/TTO/1-3"/>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340"/>
        <w:tab w:val="left" w:pos="680"/>
      </w:tabs>
      <w:spacing w:after="240" w:line="240" w:lineRule="exact"/>
      <w:jc w:val="both"/>
    </w:pPr>
    <w:rPr>
      <w:lang w:val="ru-RU" w:eastAsia="ru-RU"/>
    </w:rPr>
  </w:style>
  <w:style w:type="paragraph" w:styleId="Heading1">
    <w:name w:val="heading 1"/>
    <w:basedOn w:val="Normal"/>
    <w:next w:val="Normal"/>
    <w:qFormat/>
    <w:pPr>
      <w:keepNext/>
      <w:tabs>
        <w:tab w:val="clear" w:pos="680"/>
        <w:tab w:val="left" w:pos="397"/>
      </w:tabs>
      <w:spacing w:before="120" w:after="480" w:line="240" w:lineRule="auto"/>
      <w:jc w:val="center"/>
      <w:outlineLvl w:val="0"/>
    </w:pPr>
    <w:rPr>
      <w:b/>
      <w:sz w:val="28"/>
    </w:rPr>
  </w:style>
  <w:style w:type="paragraph" w:styleId="Heading2">
    <w:name w:val="heading 2"/>
    <w:basedOn w:val="Heading1"/>
    <w:next w:val="Normal"/>
    <w:qFormat/>
    <w:pPr>
      <w:spacing w:after="240" w:line="240" w:lineRule="exact"/>
      <w:jc w:val="left"/>
      <w:outlineLvl w:val="1"/>
    </w:pPr>
    <w:rPr>
      <w:sz w:val="22"/>
    </w:rPr>
  </w:style>
  <w:style w:type="paragraph" w:styleId="Heading3">
    <w:name w:val="heading 3"/>
    <w:basedOn w:val="Heading2"/>
    <w:next w:val="Normal"/>
    <w:qFormat/>
    <w:pPr>
      <w:spacing w:before="240"/>
      <w:jc w:val="center"/>
      <w:outlineLvl w:val="2"/>
    </w:pPr>
    <w:rPr>
      <w:sz w:val="24"/>
    </w:rPr>
  </w:style>
  <w:style w:type="paragraph" w:styleId="Heading4">
    <w:name w:val="heading 4"/>
    <w:basedOn w:val="Normal"/>
    <w:next w:val="Normal"/>
    <w:qFormat/>
    <w:pPr>
      <w:keepNext/>
      <w:spacing w:line="480" w:lineRule="auto"/>
      <w:outlineLvl w:val="3"/>
    </w:pPr>
    <w:rPr>
      <w:b/>
      <w:sz w:val="24"/>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s>
      <w:spacing w:before="40" w:after="0" w:line="240" w:lineRule="auto"/>
      <w:ind w:firstLine="275"/>
      <w:jc w:val="left"/>
      <w:outlineLvl w:val="5"/>
    </w:pPr>
    <w:rPr>
      <w:b/>
    </w:rPr>
  </w:style>
  <w:style w:type="paragraph" w:styleId="Heading7">
    <w:name w:val="heading 7"/>
    <w:basedOn w:val="Normal"/>
    <w:next w:val="Normal"/>
    <w:qFormat/>
    <w:pPr>
      <w:keepNext/>
      <w:tabs>
        <w:tab w:val="clear" w:pos="680"/>
      </w:tabs>
      <w:spacing w:after="0" w:line="360" w:lineRule="auto"/>
      <w:ind w:right="98"/>
      <w:outlineLvl w:val="6"/>
    </w:pPr>
    <w:rPr>
      <w:b/>
      <w:sz w:val="24"/>
    </w:rPr>
  </w:style>
  <w:style w:type="paragraph" w:styleId="Heading8">
    <w:name w:val="heading 8"/>
    <w:basedOn w:val="Normal"/>
    <w:next w:val="Normal"/>
    <w:qFormat/>
    <w:pPr>
      <w:keepNext/>
      <w:outlineLvl w:val="7"/>
    </w:pPr>
    <w:rPr>
      <w:i/>
      <w:noProof/>
      <w:color w:val="00000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pPr>
    <w:rPr>
      <w:sz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sz w:val="24"/>
    </w:rPr>
  </w:style>
  <w:style w:type="paragraph" w:styleId="Caption">
    <w:name w:val="caption"/>
    <w:basedOn w:val="Normal"/>
    <w:next w:val="Normal"/>
    <w:qFormat/>
    <w:pPr>
      <w:spacing w:line="480" w:lineRule="auto"/>
    </w:pPr>
    <w:rPr>
      <w:b/>
      <w:bCs/>
      <w:sz w:val="24"/>
    </w:rPr>
  </w:style>
  <w:style w:type="paragraph" w:styleId="BodyTextIndent">
    <w:name w:val="Body Text Indent"/>
    <w:basedOn w:val="Normal"/>
    <w:semiHidden/>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basedOn w:val="Normal"/>
    <w:semiHidden/>
    <w:rPr>
      <w:color w:val="000000"/>
      <w:lang w:val="fr-FR"/>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vertAlign w:val="superscript"/>
    </w:rPr>
  </w:style>
  <w:style w:type="paragraph" w:customStyle="1" w:styleId="1">
    <w:name w:val="Стиль1"/>
    <w:basedOn w:val="BodyTextIndent"/>
    <w:pPr>
      <w:tabs>
        <w:tab w:val="clear" w:pos="680"/>
      </w:tabs>
      <w:spacing w:after="0" w:line="240" w:lineRule="auto"/>
      <w:ind w:left="-1800"/>
    </w:pPr>
    <w:rPr>
      <w:rFonts w:ascii="Arial" w:hAnsi="Arial"/>
      <w:color w:val="auto"/>
      <w:sz w:val="22"/>
    </w:rPr>
  </w:style>
  <w:style w:type="paragraph" w:styleId="Subtitle">
    <w:name w:val="Subtitle"/>
    <w:basedOn w:val="Normal"/>
    <w:qFormat/>
    <w:pPr>
      <w:tabs>
        <w:tab w:val="clear" w:pos="680"/>
      </w:tabs>
      <w:spacing w:after="0" w:line="240" w:lineRule="auto"/>
    </w:pPr>
    <w:rPr>
      <w:rFonts w:ascii="Arial" w:hAnsi="Arial"/>
      <w:sz w:val="22"/>
      <w:u w:val="single"/>
    </w:rPr>
  </w:style>
  <w:style w:type="paragraph" w:customStyle="1" w:styleId="2">
    <w:name w:val="Стиль2"/>
    <w:basedOn w:val="Subtitle"/>
  </w:style>
  <w:style w:type="paragraph" w:styleId="BlockText">
    <w:name w:val="Block Text"/>
    <w:basedOn w:val="Normal"/>
    <w:semiHidden/>
    <w:pPr>
      <w:tabs>
        <w:tab w:val="clear" w:pos="680"/>
      </w:tabs>
      <w:spacing w:after="0" w:line="240" w:lineRule="auto"/>
      <w:ind w:left="708" w:right="-365"/>
    </w:pPr>
    <w:rPr>
      <w:rFonts w:ascii="Arial" w:hAnsi="Arial"/>
      <w:sz w:val="24"/>
    </w:rPr>
  </w:style>
  <w:style w:type="paragraph" w:styleId="DocumentMap">
    <w:name w:val="Document Map"/>
    <w:basedOn w:val="Normal"/>
    <w:semiHidden/>
    <w:pPr>
      <w:shd w:val="clear" w:color="auto" w:fill="000080"/>
      <w:tabs>
        <w:tab w:val="clear" w:pos="680"/>
      </w:tabs>
      <w:spacing w:after="0" w:line="240" w:lineRule="auto"/>
    </w:pPr>
    <w:rPr>
      <w:rFonts w:ascii="Tahoma" w:hAnsi="Tahoma"/>
      <w:sz w:val="24"/>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oleObject" Target="embeddings/oleObject2.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4.wmf"/><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image" Target="media/image2.wmf"/><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4.xml"/><Relationship Id="rId22" Type="http://schemas.openxmlformats.org/officeDocument/2006/relationships/oleObject" Target="embeddings/oleObject4.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62627</Words>
  <Characters>356975</Characters>
  <Application>Microsoft Office Word</Application>
  <DocSecurity>4</DocSecurity>
  <Lines>2974</Lines>
  <Paragraphs>713</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438390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cp:lastModifiedBy>DGAACS User</cp:lastModifiedBy>
  <cp:revision>4</cp:revision>
  <cp:lastPrinted>2001-05-10T11:43:00Z</cp:lastPrinted>
  <dcterms:created xsi:type="dcterms:W3CDTF">2001-05-14T14:09:00Z</dcterms:created>
  <dcterms:modified xsi:type="dcterms:W3CDTF">2001-05-14T14:14:00Z</dcterms:modified>
</cp:coreProperties>
</file>