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7001" w:rsidRDefault="00907001" w:rsidP="00907001">
      <w:pPr>
        <w:spacing w:line="60" w:lineRule="exact"/>
        <w:sectPr w:rsidR="00907001" w:rsidSect="0090700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4pt;margin-top:682.55pt;width:57.35pt;height:57.35pt;z-index:1;mso-position-horizontal-relative:page;mso-position-vertical-relative:page" o:preferrelative="f" filled="t">
            <v:imagedata r:id="rId13" o:title="222Size =1Lang = C"/>
            <w10:wrap anchorx="page" anchory="page"/>
          </v:shape>
        </w:pict>
      </w:r>
      <w:commentRangeEnd w:id="0"/>
      <w:r>
        <w:rPr>
          <w:rStyle w:val="CommentReference"/>
        </w:rPr>
        <w:commentReference w:id="0"/>
      </w:r>
    </w:p>
    <w:p w:rsidR="00907001" w:rsidRDefault="00907001" w:rsidP="00907001">
      <w:pPr>
        <w:spacing w:line="60" w:lineRule="exact"/>
      </w:pPr>
    </w:p>
    <w:p w:rsidR="004F2CD1" w:rsidRPr="004F2CD1" w:rsidRDefault="004F2CD1" w:rsidP="004F2CD1">
      <w:pPr>
        <w:pStyle w:val="SingleTxt"/>
        <w:spacing w:after="60"/>
        <w:ind w:left="0"/>
        <w:rPr>
          <w:rFonts w:ascii="SimHei" w:eastAsia="SimHei" w:hint="eastAsia"/>
        </w:rPr>
      </w:pPr>
      <w:r w:rsidRPr="004F2CD1">
        <w:rPr>
          <w:rFonts w:ascii="SimHei" w:eastAsia="SimHei" w:hint="eastAsia"/>
        </w:rPr>
        <w:t>第六十七届会议</w:t>
      </w:r>
    </w:p>
    <w:p w:rsidR="004F2CD1" w:rsidRDefault="004F2CD1" w:rsidP="004F2CD1">
      <w:pPr>
        <w:pStyle w:val="SingleTxt"/>
        <w:spacing w:after="60"/>
        <w:ind w:left="0"/>
      </w:pPr>
      <w:r>
        <w:rPr>
          <w:rFonts w:hint="eastAsia"/>
        </w:rPr>
        <w:t>临时议程</w:t>
      </w:r>
      <w:r w:rsidR="006D38CE" w:rsidRPr="006D38CE">
        <w:rPr>
          <w:vertAlign w:val="superscript"/>
        </w:rPr>
        <w:t>*</w:t>
      </w:r>
      <w:r>
        <w:t xml:space="preserve"> </w:t>
      </w:r>
      <w:r>
        <w:rPr>
          <w:rFonts w:hint="eastAsia"/>
        </w:rPr>
        <w:t>项目</w:t>
      </w:r>
      <w:r>
        <w:t>70</w:t>
      </w:r>
      <w:r>
        <w:rPr>
          <w:rFonts w:hint="eastAsia"/>
        </w:rPr>
        <w:t>(</w:t>
      </w:r>
      <w:r>
        <w:t>a</w:t>
      </w:r>
      <w:r>
        <w:rPr>
          <w:rFonts w:hint="eastAsia"/>
        </w:rPr>
        <w:t>)</w:t>
      </w:r>
    </w:p>
    <w:p w:rsidR="00212279" w:rsidRPr="00212279" w:rsidRDefault="00212279" w:rsidP="00212279">
      <w:pPr>
        <w:framePr w:w="9792" w:h="432" w:hSpace="180" w:wrap="around" w:hAnchor="page" w:x="1210" w:yAlign="bottom"/>
        <w:spacing w:line="100" w:lineRule="exact"/>
        <w:rPr>
          <w:sz w:val="10"/>
        </w:rPr>
      </w:pPr>
    </w:p>
    <w:p w:rsidR="00212279" w:rsidRPr="00212279" w:rsidRDefault="00212279" w:rsidP="00212279">
      <w:pPr>
        <w:framePr w:w="9792" w:h="432" w:hSpace="180" w:wrap="around" w:hAnchor="page" w:x="1210" w:yAlign="bottom"/>
        <w:spacing w:line="60" w:lineRule="exact"/>
        <w:rPr>
          <w:sz w:val="6"/>
        </w:rPr>
      </w:pPr>
      <w:r w:rsidRPr="00212279">
        <w:rPr>
          <w:noProof/>
          <w:sz w:val="6"/>
        </w:rPr>
        <w:pict>
          <v:line id="_x0000_s1027" style="position:absolute;left:0;text-align:left;z-index:2;mso-position-horizontal-relative:page" from="108pt,-1pt" to="180pt,-1pt" strokeweight=".25pt">
            <w10:wrap anchorx="page"/>
          </v:line>
        </w:pict>
      </w:r>
    </w:p>
    <w:p w:rsidR="00212279" w:rsidRPr="00212279" w:rsidRDefault="00212279" w:rsidP="00212279">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rFonts w:hint="eastAsia"/>
        </w:rPr>
      </w:pPr>
      <w:r>
        <w:rPr>
          <w:sz w:val="18"/>
        </w:rPr>
        <w:tab/>
      </w:r>
      <w:r w:rsidRPr="00212279">
        <w:rPr>
          <w:rFonts w:ascii="Times New Roman"/>
          <w:szCs w:val="21"/>
          <w:vertAlign w:val="superscript"/>
        </w:rPr>
        <w:t>*</w:t>
      </w:r>
      <w:r>
        <w:rPr>
          <w:sz w:val="18"/>
        </w:rPr>
        <w:tab/>
        <w:t>A/67/150</w:t>
      </w:r>
      <w:r>
        <w:rPr>
          <w:rFonts w:hint="eastAsia"/>
        </w:rPr>
        <w:t>。</w:t>
      </w:r>
    </w:p>
    <w:p w:rsidR="004F2CD1" w:rsidRPr="004F2CD1" w:rsidRDefault="004F2CD1" w:rsidP="004F2CD1">
      <w:pPr>
        <w:pStyle w:val="SingleTxt"/>
        <w:spacing w:after="360"/>
        <w:ind w:left="0"/>
        <w:rPr>
          <w:rFonts w:ascii="SimHei" w:eastAsia="SimHei" w:hint="eastAsia"/>
        </w:rPr>
      </w:pPr>
      <w:r w:rsidRPr="004F2CD1">
        <w:rPr>
          <w:rFonts w:ascii="SimHei" w:eastAsia="SimHei" w:hint="eastAsia"/>
        </w:rPr>
        <w:t>促进和保护人权</w:t>
      </w:r>
    </w:p>
    <w:p w:rsidR="004F2CD1" w:rsidRDefault="004F2CD1" w:rsidP="004F2CD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人权文书的执行情况</w:t>
      </w:r>
    </w:p>
    <w:p w:rsidR="004F2CD1" w:rsidRDefault="004F2CD1" w:rsidP="004F2C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秘书长的说明</w:t>
      </w:r>
    </w:p>
    <w:p w:rsidR="004F2CD1" w:rsidRPr="006D38CE" w:rsidRDefault="004F2CD1" w:rsidP="004F2CD1">
      <w:pPr>
        <w:pStyle w:val="SingleTxt"/>
        <w:rPr>
          <w:spacing w:val="-2"/>
        </w:rPr>
      </w:pPr>
      <w:r>
        <w:rPr>
          <w:rFonts w:hint="eastAsia"/>
        </w:rPr>
        <w:tab/>
      </w:r>
      <w:r w:rsidRPr="006D38CE">
        <w:rPr>
          <w:rFonts w:hint="eastAsia"/>
          <w:spacing w:val="-2"/>
        </w:rPr>
        <w:t>秘书长谨依照大会第57/202号决议规定，向大会转交各人权条约机构主席关于2012年6月25日至29日在亚的斯亚贝巴召开的第二十四次主席会议的报告。</w:t>
      </w:r>
    </w:p>
    <w:p w:rsidR="00212279" w:rsidRDefault="00212279" w:rsidP="004F2CD1">
      <w:pPr>
        <w:pStyle w:val="SingleTxt"/>
      </w:pPr>
    </w:p>
    <w:p w:rsidR="004F2CD1" w:rsidRDefault="00212279" w:rsidP="0021227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br w:type="page"/>
      </w:r>
      <w:r w:rsidR="004F2CD1">
        <w:rPr>
          <w:rFonts w:hint="eastAsia"/>
        </w:rPr>
        <w:tab/>
      </w:r>
      <w:r w:rsidR="004F2CD1">
        <w:rPr>
          <w:rFonts w:hint="eastAsia"/>
        </w:rPr>
        <w:tab/>
        <w:t>人权条约机构主席关于第二十四次主席会议的报告</w:t>
      </w:r>
    </w:p>
    <w:tbl>
      <w:tblPr>
        <w:tblW w:w="0" w:type="auto"/>
        <w:tblBorders>
          <w:left w:val="single" w:sz="2" w:space="0" w:color="auto"/>
          <w:right w:val="single" w:sz="2" w:space="0" w:color="auto"/>
        </w:tblBorders>
        <w:tblLayout w:type="fixed"/>
        <w:tblCellMar>
          <w:left w:w="0" w:type="dxa"/>
          <w:right w:w="0" w:type="dxa"/>
        </w:tblCellMar>
        <w:tblLook w:val="0000"/>
      </w:tblPr>
      <w:tblGrid>
        <w:gridCol w:w="9850"/>
      </w:tblGrid>
      <w:tr w:rsidR="00212279" w:rsidTr="00212279">
        <w:tblPrEx>
          <w:tblCellMar>
            <w:top w:w="0" w:type="dxa"/>
            <w:bottom w:w="0" w:type="dxa"/>
          </w:tblCellMar>
        </w:tblPrEx>
        <w:tc>
          <w:tcPr>
            <w:tcW w:w="9850" w:type="dxa"/>
            <w:tcBorders>
              <w:top w:val="single" w:sz="2" w:space="0" w:color="auto"/>
            </w:tcBorders>
            <w:shd w:val="clear" w:color="auto" w:fill="auto"/>
          </w:tcPr>
          <w:p w:rsidR="00212279" w:rsidRPr="00212279" w:rsidRDefault="00212279" w:rsidP="00212279">
            <w:pPr>
              <w:tabs>
                <w:tab w:val="left" w:pos="240"/>
              </w:tabs>
              <w:spacing w:before="240" w:after="120"/>
              <w:rPr>
                <w:rFonts w:eastAsia="KaiTi_GB2312"/>
                <w:sz w:val="24"/>
              </w:rPr>
            </w:pPr>
            <w:r>
              <w:rPr>
                <w:rFonts w:eastAsia="KaiTi_GB2312" w:hint="eastAsia"/>
                <w:sz w:val="24"/>
              </w:rPr>
              <w:tab/>
            </w:r>
            <w:r>
              <w:rPr>
                <w:rFonts w:eastAsia="KaiTi_GB2312" w:hint="eastAsia"/>
                <w:sz w:val="24"/>
              </w:rPr>
              <w:t>摘要</w:t>
            </w:r>
          </w:p>
        </w:tc>
      </w:tr>
      <w:tr w:rsidR="00212279" w:rsidTr="00212279">
        <w:tblPrEx>
          <w:tblCellMar>
            <w:top w:w="0" w:type="dxa"/>
            <w:bottom w:w="0" w:type="dxa"/>
          </w:tblCellMar>
        </w:tblPrEx>
        <w:tc>
          <w:tcPr>
            <w:tcW w:w="9850" w:type="dxa"/>
            <w:shd w:val="clear" w:color="auto" w:fill="auto"/>
          </w:tcPr>
          <w:p w:rsidR="00212279" w:rsidRPr="00212279" w:rsidRDefault="00212279" w:rsidP="00212279">
            <w:pPr>
              <w:pStyle w:val="SingleTxt"/>
            </w:pPr>
            <w:r>
              <w:tab/>
            </w:r>
            <w:r>
              <w:rPr>
                <w:rFonts w:hint="eastAsia"/>
              </w:rPr>
              <w:t>大会第57/202号决议请秘书长向大会提交人权条约机构主席关于其定期会议的报告。本文件载有关于2012年6月25日至29日在亚的斯亚贝巴召开的人权条约机构主席第二十四次会议的报告。每年依照大会第49/178号决议召开的主席会议是第二次在日内瓦以外举行，以期使条约机构更贴近执行层面和提高对它们在区域一级工作的认识，从而使国际和区域人权机制和机构之间以及与其利益攸关方加强联系和强化协同增效作用。主席们：审议了贯彻执行第二十三次会议建议的情况并审查了与条约机构工作有关的动态；讨论了联合国人权事务高级专员关于加强人权条约机构的报告；认可了条约机构成员独立性和公正性准则。主席们还会见了非洲人权机制的代表，这些机制包括非洲人权和人民权利委员会、非洲儿童权利与福利问题专家委员会、非洲同行审议机制、非洲人权和人民权利法院、东非法院和西非国家经济共同体法院以及一批利益攸关方，其中包括联合国机构、国家人权机构和民间社会组织，以讨论国际与区域人权系统之间的互补作用。主席们通过的建议载于本报第六节。</w:t>
            </w:r>
          </w:p>
        </w:tc>
      </w:tr>
      <w:tr w:rsidR="00212279" w:rsidTr="00212279">
        <w:tblPrEx>
          <w:tblCellMar>
            <w:top w:w="0" w:type="dxa"/>
            <w:bottom w:w="0" w:type="dxa"/>
          </w:tblCellMar>
        </w:tblPrEx>
        <w:tc>
          <w:tcPr>
            <w:tcW w:w="9850" w:type="dxa"/>
            <w:tcBorders>
              <w:bottom w:val="single" w:sz="2" w:space="0" w:color="auto"/>
            </w:tcBorders>
            <w:shd w:val="clear" w:color="auto" w:fill="auto"/>
          </w:tcPr>
          <w:p w:rsidR="00212279" w:rsidRPr="00212279" w:rsidRDefault="00212279" w:rsidP="00212279">
            <w:pPr>
              <w:pStyle w:val="SingleTxt"/>
              <w:spacing w:after="0" w:line="120" w:lineRule="exact"/>
            </w:pPr>
          </w:p>
        </w:tc>
      </w:tr>
    </w:tbl>
    <w:p w:rsidR="004F2CD1" w:rsidRDefault="004F2CD1" w:rsidP="004F2CD1">
      <w:pPr>
        <w:pStyle w:val="SingleTxt"/>
      </w:pPr>
    </w:p>
    <w:p w:rsidR="00212279" w:rsidRDefault="00212279" w:rsidP="00212279">
      <w:pPr>
        <w:pStyle w:val="HCh6"/>
      </w:pPr>
      <w:r>
        <w:br w:type="page"/>
      </w:r>
      <w:r>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212279" w:rsidRPr="00E53517">
        <w:tblPrEx>
          <w:tblCellMar>
            <w:top w:w="0" w:type="dxa"/>
            <w:bottom w:w="0" w:type="dxa"/>
          </w:tblCellMar>
        </w:tblPrEx>
        <w:tc>
          <w:tcPr>
            <w:tcW w:w="1060" w:type="dxa"/>
          </w:tcPr>
          <w:p w:rsidR="00212279" w:rsidRPr="00E53517" w:rsidRDefault="00212279" w:rsidP="00212279">
            <w:pPr>
              <w:pStyle w:val="GB23126"/>
            </w:pPr>
          </w:p>
        </w:tc>
        <w:tc>
          <w:tcPr>
            <w:tcW w:w="7315" w:type="dxa"/>
          </w:tcPr>
          <w:p w:rsidR="00212279" w:rsidRPr="00E53517" w:rsidRDefault="00212279">
            <w:pPr>
              <w:spacing w:after="120" w:line="240" w:lineRule="auto"/>
              <w:rPr>
                <w:rFonts w:eastAsia="KaiTi_GB2312"/>
                <w:color w:val="0000FF"/>
                <w:sz w:val="15"/>
                <w:szCs w:val="15"/>
              </w:rPr>
            </w:pPr>
          </w:p>
        </w:tc>
        <w:tc>
          <w:tcPr>
            <w:tcW w:w="994" w:type="dxa"/>
          </w:tcPr>
          <w:p w:rsidR="00212279" w:rsidRPr="00E53517" w:rsidRDefault="00212279" w:rsidP="00212279">
            <w:pPr>
              <w:pStyle w:val="GB23126"/>
            </w:pPr>
          </w:p>
        </w:tc>
        <w:tc>
          <w:tcPr>
            <w:tcW w:w="533" w:type="dxa"/>
          </w:tcPr>
          <w:p w:rsidR="00212279" w:rsidRPr="00E53517" w:rsidRDefault="00212279" w:rsidP="00212279">
            <w:pPr>
              <w:pStyle w:val="GB23126"/>
            </w:pPr>
            <w:r w:rsidRPr="00E53517">
              <w:rPr>
                <w:rFonts w:hint="eastAsia"/>
              </w:rPr>
              <w:t>页次</w:t>
            </w:r>
          </w:p>
        </w:tc>
      </w:tr>
      <w:tr w:rsidR="00667043" w:rsidTr="00667043">
        <w:tblPrEx>
          <w:tblCellMar>
            <w:top w:w="0" w:type="dxa"/>
            <w:bottom w:w="0" w:type="dxa"/>
          </w:tblCellMar>
        </w:tblPrEx>
        <w:trPr>
          <w:cantSplit/>
        </w:trPr>
        <w:tc>
          <w:tcPr>
            <w:tcW w:w="9369" w:type="dxa"/>
            <w:gridSpan w:val="3"/>
          </w:tcPr>
          <w:p w:rsidR="00667043" w:rsidRDefault="00667043" w:rsidP="00667043">
            <w:pPr>
              <w:numPr>
                <w:ilvl w:val="0"/>
                <w:numId w:val="1"/>
              </w:numPr>
              <w:tabs>
                <w:tab w:val="right" w:leader="dot" w:pos="9369"/>
              </w:tabs>
              <w:spacing w:after="140"/>
              <w:rPr>
                <w:rFonts w:hint="eastAsia"/>
              </w:rPr>
            </w:pPr>
            <w:r>
              <w:rPr>
                <w:rFonts w:hint="eastAsia"/>
              </w:rPr>
              <w:t>导言</w:t>
            </w:r>
            <w:r>
              <w:tab/>
            </w:r>
          </w:p>
        </w:tc>
        <w:tc>
          <w:tcPr>
            <w:tcW w:w="533" w:type="dxa"/>
            <w:vAlign w:val="bottom"/>
          </w:tcPr>
          <w:p w:rsidR="00667043" w:rsidRDefault="0047128D" w:rsidP="00667043">
            <w:pPr>
              <w:spacing w:after="140"/>
              <w:ind w:right="28"/>
              <w:jc w:val="right"/>
            </w:pPr>
            <w:r>
              <w:t>4</w:t>
            </w:r>
          </w:p>
        </w:tc>
      </w:tr>
      <w:tr w:rsidR="00667043" w:rsidTr="00667043">
        <w:tblPrEx>
          <w:tblCellMar>
            <w:top w:w="0" w:type="dxa"/>
            <w:bottom w:w="0" w:type="dxa"/>
          </w:tblCellMar>
        </w:tblPrEx>
        <w:trPr>
          <w:cantSplit/>
        </w:trPr>
        <w:tc>
          <w:tcPr>
            <w:tcW w:w="9369" w:type="dxa"/>
            <w:gridSpan w:val="3"/>
          </w:tcPr>
          <w:p w:rsidR="00667043" w:rsidRDefault="0047128D" w:rsidP="00667043">
            <w:pPr>
              <w:numPr>
                <w:ilvl w:val="0"/>
                <w:numId w:val="1"/>
              </w:numPr>
              <w:tabs>
                <w:tab w:val="right" w:leader="dot" w:pos="9369"/>
              </w:tabs>
              <w:spacing w:after="140"/>
              <w:rPr>
                <w:rFonts w:hint="eastAsia"/>
              </w:rPr>
            </w:pPr>
            <w:r>
              <w:rPr>
                <w:rFonts w:hint="eastAsia"/>
              </w:rPr>
              <w:t>会议安排</w:t>
            </w:r>
            <w:r w:rsidR="00667043">
              <w:tab/>
            </w:r>
          </w:p>
        </w:tc>
        <w:tc>
          <w:tcPr>
            <w:tcW w:w="533" w:type="dxa"/>
            <w:vAlign w:val="bottom"/>
          </w:tcPr>
          <w:p w:rsidR="00667043" w:rsidRDefault="0047128D" w:rsidP="00667043">
            <w:pPr>
              <w:spacing w:after="140"/>
              <w:ind w:right="28"/>
              <w:jc w:val="right"/>
            </w:pPr>
            <w:r>
              <w:t>4</w:t>
            </w:r>
          </w:p>
        </w:tc>
      </w:tr>
      <w:tr w:rsidR="00667043" w:rsidTr="00667043">
        <w:tblPrEx>
          <w:tblCellMar>
            <w:top w:w="0" w:type="dxa"/>
            <w:bottom w:w="0" w:type="dxa"/>
          </w:tblCellMar>
        </w:tblPrEx>
        <w:trPr>
          <w:cantSplit/>
        </w:trPr>
        <w:tc>
          <w:tcPr>
            <w:tcW w:w="9369" w:type="dxa"/>
            <w:gridSpan w:val="3"/>
          </w:tcPr>
          <w:p w:rsidR="00667043" w:rsidRDefault="0047128D" w:rsidP="00667043">
            <w:pPr>
              <w:numPr>
                <w:ilvl w:val="0"/>
                <w:numId w:val="1"/>
              </w:numPr>
              <w:tabs>
                <w:tab w:val="right" w:leader="dot" w:pos="9369"/>
              </w:tabs>
              <w:spacing w:after="140"/>
              <w:rPr>
                <w:rFonts w:hint="eastAsia"/>
              </w:rPr>
            </w:pPr>
            <w:r>
              <w:rPr>
                <w:rFonts w:hint="eastAsia"/>
              </w:rPr>
              <w:t>增强各条约机构功效：采用协调一致方法开展条约机构工作</w:t>
            </w:r>
            <w:r w:rsidR="00667043">
              <w:tab/>
            </w:r>
          </w:p>
        </w:tc>
        <w:tc>
          <w:tcPr>
            <w:tcW w:w="533" w:type="dxa"/>
            <w:vAlign w:val="bottom"/>
          </w:tcPr>
          <w:p w:rsidR="00667043" w:rsidRDefault="0047128D" w:rsidP="00667043">
            <w:pPr>
              <w:spacing w:after="140"/>
              <w:ind w:right="28"/>
              <w:jc w:val="right"/>
            </w:pPr>
            <w:r>
              <w:t>5</w:t>
            </w:r>
          </w:p>
        </w:tc>
      </w:tr>
      <w:tr w:rsidR="00667043" w:rsidTr="00667043">
        <w:tblPrEx>
          <w:tblCellMar>
            <w:top w:w="0" w:type="dxa"/>
            <w:bottom w:w="0" w:type="dxa"/>
          </w:tblCellMar>
        </w:tblPrEx>
        <w:trPr>
          <w:cantSplit/>
        </w:trPr>
        <w:tc>
          <w:tcPr>
            <w:tcW w:w="9369" w:type="dxa"/>
            <w:gridSpan w:val="3"/>
          </w:tcPr>
          <w:p w:rsidR="00667043" w:rsidRDefault="0047128D" w:rsidP="00667043">
            <w:pPr>
              <w:numPr>
                <w:ilvl w:val="1"/>
                <w:numId w:val="1"/>
              </w:numPr>
              <w:tabs>
                <w:tab w:val="right" w:leader="dot" w:pos="9369"/>
              </w:tabs>
              <w:spacing w:after="140"/>
              <w:rPr>
                <w:rFonts w:hint="eastAsia"/>
              </w:rPr>
            </w:pPr>
            <w:r>
              <w:rPr>
                <w:rFonts w:hint="eastAsia"/>
              </w:rPr>
              <w:t>联合国人权事务高级专员关于加强联合国人权条约机构的报告</w:t>
            </w:r>
            <w:r w:rsidR="00667043">
              <w:tab/>
            </w:r>
          </w:p>
        </w:tc>
        <w:tc>
          <w:tcPr>
            <w:tcW w:w="533" w:type="dxa"/>
            <w:vAlign w:val="bottom"/>
          </w:tcPr>
          <w:p w:rsidR="00667043" w:rsidRDefault="0047128D" w:rsidP="00667043">
            <w:pPr>
              <w:spacing w:after="140"/>
              <w:ind w:right="28"/>
              <w:jc w:val="right"/>
            </w:pPr>
            <w:r>
              <w:t>5</w:t>
            </w:r>
          </w:p>
        </w:tc>
      </w:tr>
      <w:tr w:rsidR="00667043" w:rsidTr="00667043">
        <w:tblPrEx>
          <w:tblCellMar>
            <w:top w:w="0" w:type="dxa"/>
            <w:bottom w:w="0" w:type="dxa"/>
          </w:tblCellMar>
        </w:tblPrEx>
        <w:trPr>
          <w:cantSplit/>
        </w:trPr>
        <w:tc>
          <w:tcPr>
            <w:tcW w:w="9369" w:type="dxa"/>
            <w:gridSpan w:val="3"/>
          </w:tcPr>
          <w:p w:rsidR="00667043" w:rsidRDefault="0047128D" w:rsidP="00667043">
            <w:pPr>
              <w:numPr>
                <w:ilvl w:val="1"/>
                <w:numId w:val="1"/>
              </w:numPr>
              <w:tabs>
                <w:tab w:val="right" w:leader="dot" w:pos="9369"/>
              </w:tabs>
              <w:spacing w:after="140"/>
              <w:rPr>
                <w:rFonts w:hint="eastAsia"/>
              </w:rPr>
            </w:pPr>
            <w:r>
              <w:rPr>
                <w:rFonts w:hint="eastAsia"/>
              </w:rPr>
              <w:t>人权条约机构成员独立性和公正性准则</w:t>
            </w:r>
            <w:r w:rsidR="00667043">
              <w:tab/>
            </w:r>
          </w:p>
        </w:tc>
        <w:tc>
          <w:tcPr>
            <w:tcW w:w="533" w:type="dxa"/>
            <w:vAlign w:val="bottom"/>
          </w:tcPr>
          <w:p w:rsidR="00667043" w:rsidRDefault="0047128D" w:rsidP="00667043">
            <w:pPr>
              <w:spacing w:after="140"/>
              <w:ind w:right="28"/>
              <w:jc w:val="right"/>
            </w:pPr>
            <w:r>
              <w:t>6</w:t>
            </w:r>
          </w:p>
        </w:tc>
      </w:tr>
      <w:tr w:rsidR="00667043" w:rsidTr="00667043">
        <w:tblPrEx>
          <w:tblCellMar>
            <w:top w:w="0" w:type="dxa"/>
            <w:bottom w:w="0" w:type="dxa"/>
          </w:tblCellMar>
        </w:tblPrEx>
        <w:trPr>
          <w:cantSplit/>
        </w:trPr>
        <w:tc>
          <w:tcPr>
            <w:tcW w:w="9369" w:type="dxa"/>
            <w:gridSpan w:val="3"/>
          </w:tcPr>
          <w:p w:rsidR="00667043" w:rsidRDefault="0047128D" w:rsidP="00667043">
            <w:pPr>
              <w:numPr>
                <w:ilvl w:val="0"/>
                <w:numId w:val="1"/>
              </w:numPr>
              <w:tabs>
                <w:tab w:val="right" w:leader="dot" w:pos="9369"/>
              </w:tabs>
              <w:spacing w:after="140"/>
              <w:rPr>
                <w:rFonts w:hint="eastAsia"/>
              </w:rPr>
            </w:pPr>
            <w:r>
              <w:rPr>
                <w:rFonts w:hint="eastAsia"/>
              </w:rPr>
              <w:t>与非洲人权机制、机构和利益攸关方对话</w:t>
            </w:r>
            <w:r w:rsidR="00667043">
              <w:tab/>
            </w:r>
          </w:p>
        </w:tc>
        <w:tc>
          <w:tcPr>
            <w:tcW w:w="533" w:type="dxa"/>
            <w:vAlign w:val="bottom"/>
          </w:tcPr>
          <w:p w:rsidR="00667043" w:rsidRDefault="0047128D" w:rsidP="00667043">
            <w:pPr>
              <w:spacing w:after="140"/>
              <w:ind w:right="28"/>
              <w:jc w:val="right"/>
            </w:pPr>
            <w:r>
              <w:t>6</w:t>
            </w:r>
          </w:p>
        </w:tc>
      </w:tr>
      <w:tr w:rsidR="00667043" w:rsidTr="00667043">
        <w:tblPrEx>
          <w:tblCellMar>
            <w:top w:w="0" w:type="dxa"/>
            <w:bottom w:w="0" w:type="dxa"/>
          </w:tblCellMar>
        </w:tblPrEx>
        <w:trPr>
          <w:cantSplit/>
        </w:trPr>
        <w:tc>
          <w:tcPr>
            <w:tcW w:w="9369" w:type="dxa"/>
            <w:gridSpan w:val="3"/>
          </w:tcPr>
          <w:p w:rsidR="00667043" w:rsidRDefault="0047128D" w:rsidP="00667043">
            <w:pPr>
              <w:numPr>
                <w:ilvl w:val="1"/>
                <w:numId w:val="1"/>
              </w:numPr>
              <w:tabs>
                <w:tab w:val="right" w:leader="dot" w:pos="9369"/>
              </w:tabs>
              <w:spacing w:after="140"/>
              <w:rPr>
                <w:rFonts w:hint="eastAsia"/>
              </w:rPr>
            </w:pPr>
            <w:r>
              <w:rPr>
                <w:rFonts w:hint="eastAsia"/>
              </w:rPr>
              <w:t>圆桌讨论一：联合国人权条约机构同非洲人权机制系统之间的互补性，</w:t>
            </w:r>
            <w:r>
              <w:br/>
            </w:r>
            <w:r>
              <w:rPr>
                <w:rFonts w:hint="eastAsia"/>
              </w:rPr>
              <w:t>包括促进执行其各自建议的联合战略</w:t>
            </w:r>
            <w:r w:rsidR="00667043">
              <w:tab/>
            </w:r>
          </w:p>
        </w:tc>
        <w:tc>
          <w:tcPr>
            <w:tcW w:w="533" w:type="dxa"/>
            <w:vAlign w:val="bottom"/>
          </w:tcPr>
          <w:p w:rsidR="00667043" w:rsidRDefault="0047128D" w:rsidP="00667043">
            <w:pPr>
              <w:spacing w:after="140"/>
              <w:ind w:right="28"/>
              <w:jc w:val="right"/>
            </w:pPr>
            <w:r>
              <w:t>7</w:t>
            </w:r>
          </w:p>
        </w:tc>
      </w:tr>
      <w:tr w:rsidR="00667043" w:rsidTr="00667043">
        <w:tblPrEx>
          <w:tblCellMar>
            <w:top w:w="0" w:type="dxa"/>
            <w:bottom w:w="0" w:type="dxa"/>
          </w:tblCellMar>
        </w:tblPrEx>
        <w:trPr>
          <w:cantSplit/>
        </w:trPr>
        <w:tc>
          <w:tcPr>
            <w:tcW w:w="9369" w:type="dxa"/>
            <w:gridSpan w:val="3"/>
          </w:tcPr>
          <w:p w:rsidR="00667043" w:rsidRDefault="0047128D" w:rsidP="00667043">
            <w:pPr>
              <w:numPr>
                <w:ilvl w:val="1"/>
                <w:numId w:val="1"/>
              </w:numPr>
              <w:tabs>
                <w:tab w:val="right" w:leader="dot" w:pos="9369"/>
              </w:tabs>
              <w:spacing w:after="140"/>
              <w:rPr>
                <w:rFonts w:hint="eastAsia"/>
              </w:rPr>
            </w:pPr>
            <w:r>
              <w:rPr>
                <w:rFonts w:hint="eastAsia"/>
              </w:rPr>
              <w:t>圆桌讨论二：联合国人权条约机构和区域及次区域人权机制对个人投诉的审议</w:t>
            </w:r>
            <w:r w:rsidR="00667043">
              <w:tab/>
            </w:r>
          </w:p>
        </w:tc>
        <w:tc>
          <w:tcPr>
            <w:tcW w:w="533" w:type="dxa"/>
            <w:vAlign w:val="bottom"/>
          </w:tcPr>
          <w:p w:rsidR="00667043" w:rsidRDefault="0047128D" w:rsidP="00667043">
            <w:pPr>
              <w:spacing w:after="140"/>
              <w:ind w:right="28"/>
              <w:jc w:val="right"/>
            </w:pPr>
            <w:r>
              <w:t>8</w:t>
            </w:r>
          </w:p>
        </w:tc>
      </w:tr>
      <w:tr w:rsidR="00667043" w:rsidTr="00667043">
        <w:tblPrEx>
          <w:tblCellMar>
            <w:top w:w="0" w:type="dxa"/>
            <w:bottom w:w="0" w:type="dxa"/>
          </w:tblCellMar>
        </w:tblPrEx>
        <w:trPr>
          <w:cantSplit/>
        </w:trPr>
        <w:tc>
          <w:tcPr>
            <w:tcW w:w="9369" w:type="dxa"/>
            <w:gridSpan w:val="3"/>
          </w:tcPr>
          <w:p w:rsidR="00667043" w:rsidRDefault="0047128D" w:rsidP="00667043">
            <w:pPr>
              <w:numPr>
                <w:ilvl w:val="0"/>
                <w:numId w:val="1"/>
              </w:numPr>
              <w:tabs>
                <w:tab w:val="right" w:leader="dot" w:pos="9369"/>
              </w:tabs>
              <w:spacing w:after="140"/>
              <w:rPr>
                <w:rFonts w:hint="eastAsia"/>
              </w:rPr>
            </w:pPr>
            <w:r>
              <w:rPr>
                <w:rFonts w:hint="eastAsia"/>
              </w:rPr>
              <w:t>与埃塞俄比亚政府部委的会晤</w:t>
            </w:r>
            <w:r w:rsidR="00667043">
              <w:tab/>
            </w:r>
          </w:p>
        </w:tc>
        <w:tc>
          <w:tcPr>
            <w:tcW w:w="533" w:type="dxa"/>
            <w:vAlign w:val="bottom"/>
          </w:tcPr>
          <w:p w:rsidR="00667043" w:rsidRDefault="0047128D" w:rsidP="00667043">
            <w:pPr>
              <w:spacing w:after="140"/>
              <w:ind w:right="28"/>
              <w:jc w:val="right"/>
            </w:pPr>
            <w:r>
              <w:t>8</w:t>
            </w:r>
          </w:p>
        </w:tc>
      </w:tr>
      <w:tr w:rsidR="00667043" w:rsidTr="00667043">
        <w:tblPrEx>
          <w:tblCellMar>
            <w:top w:w="0" w:type="dxa"/>
            <w:bottom w:w="0" w:type="dxa"/>
          </w:tblCellMar>
        </w:tblPrEx>
        <w:trPr>
          <w:cantSplit/>
        </w:trPr>
        <w:tc>
          <w:tcPr>
            <w:tcW w:w="9369" w:type="dxa"/>
            <w:gridSpan w:val="3"/>
          </w:tcPr>
          <w:p w:rsidR="00667043" w:rsidRDefault="0047128D" w:rsidP="00667043">
            <w:pPr>
              <w:numPr>
                <w:ilvl w:val="0"/>
                <w:numId w:val="1"/>
              </w:numPr>
              <w:tabs>
                <w:tab w:val="right" w:leader="dot" w:pos="9369"/>
              </w:tabs>
              <w:spacing w:after="140"/>
              <w:rPr>
                <w:rFonts w:hint="eastAsia"/>
              </w:rPr>
            </w:pPr>
            <w:r>
              <w:rPr>
                <w:rFonts w:hint="eastAsia"/>
              </w:rPr>
              <w:t>决定和建议</w:t>
            </w:r>
            <w:r w:rsidR="00667043">
              <w:tab/>
            </w:r>
          </w:p>
        </w:tc>
        <w:tc>
          <w:tcPr>
            <w:tcW w:w="533" w:type="dxa"/>
            <w:vAlign w:val="bottom"/>
          </w:tcPr>
          <w:p w:rsidR="00667043" w:rsidRDefault="0047128D">
            <w:pPr>
              <w:spacing w:after="140"/>
              <w:ind w:right="28"/>
              <w:jc w:val="right"/>
            </w:pPr>
            <w:r>
              <w:t>9</w:t>
            </w:r>
          </w:p>
        </w:tc>
      </w:tr>
      <w:tr w:rsidR="00212279">
        <w:tblPrEx>
          <w:tblCellMar>
            <w:top w:w="0" w:type="dxa"/>
            <w:bottom w:w="0" w:type="dxa"/>
          </w:tblCellMar>
        </w:tblPrEx>
        <w:trPr>
          <w:cantSplit/>
        </w:trPr>
        <w:tc>
          <w:tcPr>
            <w:tcW w:w="9369" w:type="dxa"/>
            <w:gridSpan w:val="3"/>
          </w:tcPr>
          <w:p w:rsidR="00212279" w:rsidRDefault="00212279">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附件</w:t>
            </w:r>
          </w:p>
        </w:tc>
        <w:tc>
          <w:tcPr>
            <w:tcW w:w="533" w:type="dxa"/>
            <w:vAlign w:val="bottom"/>
          </w:tcPr>
          <w:p w:rsidR="00212279" w:rsidRDefault="00212279">
            <w:pPr>
              <w:spacing w:after="120"/>
              <w:jc w:val="right"/>
              <w:rPr>
                <w:rFonts w:hint="eastAsia"/>
              </w:rPr>
            </w:pPr>
          </w:p>
        </w:tc>
      </w:tr>
      <w:tr w:rsidR="00212279">
        <w:tblPrEx>
          <w:tblCellMar>
            <w:top w:w="0" w:type="dxa"/>
            <w:bottom w:w="0" w:type="dxa"/>
          </w:tblCellMar>
        </w:tblPrEx>
        <w:trPr>
          <w:cantSplit/>
        </w:trPr>
        <w:tc>
          <w:tcPr>
            <w:tcW w:w="9369" w:type="dxa"/>
            <w:gridSpan w:val="3"/>
          </w:tcPr>
          <w:p w:rsidR="00212279" w:rsidRDefault="00212279">
            <w:pPr>
              <w:numPr>
                <w:ilvl w:val="0"/>
                <w:numId w:val="2"/>
              </w:numPr>
              <w:tabs>
                <w:tab w:val="right" w:pos="1080"/>
                <w:tab w:val="right" w:leader="dot" w:pos="9371"/>
              </w:tabs>
              <w:spacing w:after="120"/>
              <w:rPr>
                <w:rFonts w:hint="eastAsia"/>
              </w:rPr>
            </w:pPr>
            <w:r>
              <w:tab/>
            </w:r>
            <w:r w:rsidR="0047128D" w:rsidRPr="00724C84">
              <w:rPr>
                <w:rFonts w:hint="eastAsia"/>
                <w:spacing w:val="-6"/>
              </w:rPr>
              <w:t>人权条约机构成员独立性和公正性准则(“亚的斯亚贝巴准则”)</w:t>
            </w:r>
            <w:r>
              <w:tab/>
            </w:r>
          </w:p>
        </w:tc>
        <w:tc>
          <w:tcPr>
            <w:tcW w:w="533" w:type="dxa"/>
            <w:vAlign w:val="bottom"/>
          </w:tcPr>
          <w:p w:rsidR="00212279" w:rsidRDefault="0047128D">
            <w:pPr>
              <w:spacing w:after="120"/>
              <w:ind w:right="28"/>
              <w:jc w:val="right"/>
            </w:pPr>
            <w:r>
              <w:t>11</w:t>
            </w:r>
          </w:p>
        </w:tc>
      </w:tr>
      <w:tr w:rsidR="00212279">
        <w:tblPrEx>
          <w:tblCellMar>
            <w:top w:w="0" w:type="dxa"/>
            <w:bottom w:w="0" w:type="dxa"/>
          </w:tblCellMar>
        </w:tblPrEx>
        <w:trPr>
          <w:cantSplit/>
        </w:trPr>
        <w:tc>
          <w:tcPr>
            <w:tcW w:w="9369" w:type="dxa"/>
            <w:gridSpan w:val="3"/>
          </w:tcPr>
          <w:p w:rsidR="00212279" w:rsidRDefault="00212279">
            <w:pPr>
              <w:numPr>
                <w:ilvl w:val="0"/>
                <w:numId w:val="2"/>
              </w:numPr>
              <w:tabs>
                <w:tab w:val="right" w:pos="1080"/>
                <w:tab w:val="right" w:leader="dot" w:pos="9371"/>
              </w:tabs>
              <w:spacing w:after="120"/>
            </w:pPr>
            <w:r>
              <w:rPr>
                <w:rFonts w:hint="eastAsia"/>
              </w:rPr>
              <w:tab/>
            </w:r>
            <w:r w:rsidR="0047128D" w:rsidRPr="0047128D">
              <w:rPr>
                <w:rFonts w:hint="eastAsia"/>
              </w:rPr>
              <w:t>联合国人权条约机构主席们与非洲人权机制关于缔约国报告程序及个人</w:t>
            </w:r>
            <w:r w:rsidR="0047128D">
              <w:rPr>
                <w:rFonts w:hint="eastAsia"/>
              </w:rPr>
              <w:t>来文的对话</w:t>
            </w:r>
            <w:r>
              <w:tab/>
            </w:r>
          </w:p>
        </w:tc>
        <w:tc>
          <w:tcPr>
            <w:tcW w:w="533" w:type="dxa"/>
            <w:vAlign w:val="bottom"/>
          </w:tcPr>
          <w:p w:rsidR="00212279" w:rsidRDefault="0047128D">
            <w:pPr>
              <w:spacing w:after="120"/>
              <w:ind w:right="28"/>
              <w:jc w:val="right"/>
            </w:pPr>
            <w:r>
              <w:t>14</w:t>
            </w:r>
          </w:p>
        </w:tc>
      </w:tr>
    </w:tbl>
    <w:p w:rsidR="004F2CD1" w:rsidRDefault="004F2CD1" w:rsidP="004F2CD1">
      <w:pPr>
        <w:pStyle w:val="SingleTxt"/>
      </w:pPr>
    </w:p>
    <w:p w:rsidR="004F2CD1" w:rsidRDefault="00667043" w:rsidP="0066704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br w:type="page"/>
      </w:r>
      <w:r>
        <w:tab/>
      </w:r>
      <w:r w:rsidR="004F2CD1">
        <w:rPr>
          <w:rFonts w:hint="eastAsia"/>
        </w:rPr>
        <w:t>一</w:t>
      </w:r>
      <w:r>
        <w:rPr>
          <w:rFonts w:hint="eastAsia"/>
        </w:rPr>
        <w:t>.</w:t>
      </w:r>
      <w:r>
        <w:rPr>
          <w:rFonts w:hint="eastAsia"/>
        </w:rPr>
        <w:tab/>
      </w:r>
      <w:r w:rsidR="004F2CD1">
        <w:rPr>
          <w:rFonts w:hint="eastAsia"/>
        </w:rPr>
        <w:t>导言</w:t>
      </w:r>
    </w:p>
    <w:p w:rsidR="004F2CD1" w:rsidRDefault="004F2CD1" w:rsidP="00724C84">
      <w:pPr>
        <w:pStyle w:val="SingleTxt"/>
        <w:spacing w:after="260"/>
        <w:rPr>
          <w:rFonts w:hint="eastAsia"/>
        </w:rPr>
      </w:pPr>
      <w:r>
        <w:rPr>
          <w:rFonts w:hint="eastAsia"/>
        </w:rPr>
        <w:t>1</w:t>
      </w:r>
      <w:r w:rsidR="00667043">
        <w:rPr>
          <w:rFonts w:hint="eastAsia"/>
        </w:rPr>
        <w:t>.</w:t>
      </w:r>
      <w:r w:rsidR="00667043">
        <w:rPr>
          <w:rFonts w:hint="eastAsia"/>
        </w:rPr>
        <w:tab/>
      </w:r>
      <w:r>
        <w:rPr>
          <w:rFonts w:hint="eastAsia"/>
        </w:rPr>
        <w:t>人权条约机构第二十四次主席会议于2012年6月25日至29日在亚的斯亚贝巴举行。依照大会第49/178号决议召开的这一年度会议通常在日内瓦举行。在日内瓦以外召开会议是为了：(a)</w:t>
      </w:r>
      <w:r w:rsidR="006D38CE">
        <w:t xml:space="preserve"> </w:t>
      </w:r>
      <w:r>
        <w:rPr>
          <w:rFonts w:hint="eastAsia"/>
        </w:rPr>
        <w:t>加强国际和区域人权机制、机构和利益攸关方之间的协同和互补作用；(b)</w:t>
      </w:r>
      <w:r w:rsidR="006D38CE">
        <w:t xml:space="preserve"> </w:t>
      </w:r>
      <w:r>
        <w:rPr>
          <w:rFonts w:hint="eastAsia"/>
        </w:rPr>
        <w:t>加强各条约机构的易近度和能见度，尤其是通过与基层民间社会组织的会晤做到这一点；(c)</w:t>
      </w:r>
      <w:r w:rsidR="006D38CE">
        <w:t xml:space="preserve"> </w:t>
      </w:r>
      <w:r>
        <w:rPr>
          <w:rFonts w:hint="eastAsia"/>
        </w:rPr>
        <w:t>通过向与会者介绍条约机构在国家一级的工作提高对其工作的认识。2010年在布鲁塞尔举行第二十二次主席会议之后，这是第二次举行这种会议。联合国人权事务高级专员办事处(人权高专办)设于亚的斯亚贝巴的东非区域办事处为会议提供了便利。</w:t>
      </w:r>
    </w:p>
    <w:p w:rsidR="004F2CD1" w:rsidRDefault="00667043" w:rsidP="0066704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ascii="Times New Roman"/>
        </w:rPr>
        <w:tab/>
      </w:r>
      <w:r w:rsidR="004F2CD1">
        <w:rPr>
          <w:rFonts w:hint="eastAsia"/>
        </w:rPr>
        <w:t>二</w:t>
      </w:r>
      <w:r>
        <w:rPr>
          <w:rFonts w:hint="eastAsia"/>
        </w:rPr>
        <w:t>.</w:t>
      </w:r>
      <w:r>
        <w:rPr>
          <w:rFonts w:hint="eastAsia"/>
        </w:rPr>
        <w:tab/>
      </w:r>
      <w:r w:rsidR="004F2CD1">
        <w:rPr>
          <w:rFonts w:hint="eastAsia"/>
        </w:rPr>
        <w:t>会议安排</w:t>
      </w:r>
    </w:p>
    <w:p w:rsidR="004F2CD1" w:rsidRDefault="004F2CD1" w:rsidP="004F2CD1">
      <w:pPr>
        <w:pStyle w:val="SingleTxt"/>
        <w:rPr>
          <w:rFonts w:hint="eastAsia"/>
        </w:rPr>
      </w:pPr>
      <w:r>
        <w:rPr>
          <w:rFonts w:hint="eastAsia"/>
        </w:rPr>
        <w:t>2</w:t>
      </w:r>
      <w:r w:rsidR="00667043">
        <w:rPr>
          <w:rFonts w:hint="eastAsia"/>
        </w:rPr>
        <w:t>.</w:t>
      </w:r>
      <w:r w:rsidR="00667043">
        <w:rPr>
          <w:rFonts w:hint="eastAsia"/>
        </w:rPr>
        <w:tab/>
      </w:r>
      <w:r w:rsidRPr="006D38CE">
        <w:rPr>
          <w:rFonts w:hint="eastAsia"/>
          <w:spacing w:val="-4"/>
        </w:rPr>
        <w:t>下列机构的主席出席了会议：经济、社会和文化权利委员会(Ariranga Pillay)；</w:t>
      </w:r>
      <w:r>
        <w:rPr>
          <w:rFonts w:hint="eastAsia"/>
        </w:rPr>
        <w:t>人权事务委员会(Zonke Majodina)；儿童权利委员会(Jean Zermatten)；保护所有移徙工人及其家庭成员权利委员会(Abdelhamid El-Jamri)；消除对妇女歧视</w:t>
      </w:r>
      <w:r w:rsidRPr="006D38CE">
        <w:rPr>
          <w:rFonts w:hint="eastAsia"/>
          <w:spacing w:val="-2"/>
        </w:rPr>
        <w:t>委员会(Silvia Pimentel)；消除种族歧视委员会(Alexei Avtonomov)；残疾人权利委员会(Ronald Clive McCallum)；强迫失踪问题委员会(Emmanuel Decaux)以及防范酷刑和其他残忍、不人道或有辱人格待遇或处罚小组委员会(Malcolm Evans)。</w:t>
      </w:r>
      <w:r>
        <w:rPr>
          <w:rFonts w:hint="eastAsia"/>
        </w:rPr>
        <w:t>此外，禁止酷刑委员会副主席(Felice Gaer)也出席了会议。</w:t>
      </w:r>
    </w:p>
    <w:p w:rsidR="004F2CD1" w:rsidRDefault="004F2CD1" w:rsidP="00724C84">
      <w:pPr>
        <w:pStyle w:val="SingleTxt"/>
        <w:spacing w:line="326" w:lineRule="exact"/>
        <w:rPr>
          <w:rFonts w:hint="eastAsia"/>
        </w:rPr>
      </w:pPr>
      <w:r>
        <w:rPr>
          <w:rFonts w:hint="eastAsia"/>
        </w:rPr>
        <w:t>3</w:t>
      </w:r>
      <w:r w:rsidR="00667043">
        <w:rPr>
          <w:rFonts w:hint="eastAsia"/>
        </w:rPr>
        <w:t>.</w:t>
      </w:r>
      <w:r w:rsidR="00667043">
        <w:rPr>
          <w:rFonts w:hint="eastAsia"/>
        </w:rPr>
        <w:tab/>
      </w:r>
      <w:r w:rsidRPr="00724C84">
        <w:rPr>
          <w:rFonts w:hint="eastAsia"/>
          <w:spacing w:val="-4"/>
        </w:rPr>
        <w:t>人权高专办人权条约司司长Ibrahim Salama宣布会议开幕。他对Decaux先生和消除种族歧视委员会新任主席Alexei Avtonomov先生出席会议表示欢迎。谈到联合国人权事务高级专员关于加强人权条约机构的报告(A/66/860)，Salama先生说，对各机构和对人权高专办而言，这都是一个决定性的时刻。在这方面，他回顾指出，高级专员在她致辞中促请与会者在讨论条约机构系统的未来这一重要问题时，从战略角度审议该报告提出的问题。他还表示希望主席们在主席会议期间认可条约机构成员独立性和公正性准则。人权高专办东非区域代表Musa Gassama感谢主席们把亚的斯亚贝巴选为第二十四次会议地点。他回顾了区域办事处在倡导以立足人权的方针开展与治理、发展和人道主义问题以及同和平与安全有关的所有活动和在支持政府、国家人权机构和民间社会努力实现人权方面的作用。Gassama先生表示，除了非洲联盟委员会主席与联合国秘书长2006年签署的非洲联盟能力建设方案十年计划(A/61/630，附件)之外，人权高专办与非洲联盟委员会还于2010年签署了一份谅解备忘录，促进了高专办同非洲联盟之间的合作与对话，并引起了对区域人权机制与国际人权系统之间关系的进一步重视，正如本次主席会议也将要做的那样。</w:t>
      </w:r>
    </w:p>
    <w:p w:rsidR="004F2CD1" w:rsidRDefault="004F2CD1" w:rsidP="00724C84">
      <w:pPr>
        <w:pStyle w:val="SingleTxt"/>
        <w:spacing w:line="326" w:lineRule="exact"/>
        <w:rPr>
          <w:rFonts w:hint="eastAsia"/>
        </w:rPr>
      </w:pPr>
      <w:r>
        <w:rPr>
          <w:rFonts w:hint="eastAsia"/>
        </w:rPr>
        <w:t>4</w:t>
      </w:r>
      <w:r w:rsidR="00667043">
        <w:rPr>
          <w:rFonts w:hint="eastAsia"/>
        </w:rPr>
        <w:t>.</w:t>
      </w:r>
      <w:r w:rsidR="00667043">
        <w:rPr>
          <w:rFonts w:hint="eastAsia"/>
        </w:rPr>
        <w:tab/>
      </w:r>
      <w:r>
        <w:rPr>
          <w:rFonts w:hint="eastAsia"/>
        </w:rPr>
        <w:t>依据轮换原则，移徙工人问题委员会主席EL-Jamri先生当选为第二十四次会议主席兼报告员，而禁止酷刑委员会</w:t>
      </w:r>
      <w:r w:rsidR="00667043">
        <w:rPr>
          <w:rFonts w:hint="eastAsia"/>
        </w:rPr>
        <w:t>副</w:t>
      </w:r>
      <w:r>
        <w:rPr>
          <w:rFonts w:hint="eastAsia"/>
        </w:rPr>
        <w:t>主席</w:t>
      </w:r>
      <w:r w:rsidR="00667043">
        <w:t>Felice Gaer</w:t>
      </w:r>
      <w:r>
        <w:rPr>
          <w:rFonts w:hint="eastAsia"/>
        </w:rPr>
        <w:t>当选为副主席。主席们依据临时议程及说明(HRI/MC/2012/1)和拟议工作方案通过了议程。</w:t>
      </w:r>
    </w:p>
    <w:p w:rsidR="004F2CD1" w:rsidRDefault="004F2CD1" w:rsidP="004F2CD1">
      <w:pPr>
        <w:pStyle w:val="SingleTxt"/>
        <w:rPr>
          <w:rFonts w:hint="eastAsia"/>
        </w:rPr>
      </w:pPr>
      <w:r>
        <w:rPr>
          <w:rFonts w:hint="eastAsia"/>
        </w:rPr>
        <w:t>5</w:t>
      </w:r>
      <w:r w:rsidR="00667043">
        <w:rPr>
          <w:rFonts w:hint="eastAsia"/>
        </w:rPr>
        <w:t>.</w:t>
      </w:r>
      <w:r w:rsidR="00667043">
        <w:rPr>
          <w:rFonts w:hint="eastAsia"/>
        </w:rPr>
        <w:tab/>
      </w:r>
      <w:r>
        <w:rPr>
          <w:rFonts w:hint="eastAsia"/>
        </w:rPr>
        <w:t>第二十三次会议主席McCallum先生发言介绍了他在过去一年中代表主席们开展的活动，并在讲话结束时鼓励大家在本次会议上通过条约机构成员独立性和公正性准则。他认为，条约机构成员的独立性是他们工作和任务的核心，应就此向该系统中所有其他行为体作出强有力的承诺。</w:t>
      </w:r>
    </w:p>
    <w:p w:rsidR="004F2CD1" w:rsidRDefault="004F2CD1" w:rsidP="00724C84">
      <w:pPr>
        <w:pStyle w:val="SingleTxt"/>
        <w:spacing w:after="260"/>
        <w:rPr>
          <w:rFonts w:hint="eastAsia"/>
        </w:rPr>
      </w:pPr>
      <w:r>
        <w:rPr>
          <w:rFonts w:hint="eastAsia"/>
        </w:rPr>
        <w:t>6</w:t>
      </w:r>
      <w:r w:rsidR="00667043">
        <w:rPr>
          <w:rFonts w:hint="eastAsia"/>
        </w:rPr>
        <w:t>.</w:t>
      </w:r>
      <w:r w:rsidR="00667043">
        <w:rPr>
          <w:rFonts w:hint="eastAsia"/>
        </w:rPr>
        <w:tab/>
      </w:r>
      <w:r>
        <w:rPr>
          <w:rFonts w:hint="eastAsia"/>
        </w:rPr>
        <w:t>在讨论了高级专员的报告后，主席们与大会第66/254号决议启动的加强和增进人权条约机构系统有效运作进程的两位共同主持人举行了一次视频会议。在此情况下，主席们强调指出，事实上，虽然该大会进程属于政府间性质，但条约机构系统从定义上说是一种多利益攸关方系统，在此系统中，缔约国和条约机构根据各自条约规定都具有特定权限。主席们重申，在事关条约机构系统未来的问题上，他们可以发挥核心作用，因此，他们在该决议第4段所述不限成员名额政府间进程讨论中的存在至关重要。在这方面，他们强调指出，作为“联合国相关机构”，条约机构应以专家身份参加这些讨论，他们表示相信各国会为他们的参与作出安排，正如第二十三次会议主席在2012年6月1日给大会主席和共同主持人的信中所要求的那样。</w:t>
      </w:r>
    </w:p>
    <w:p w:rsidR="004F2CD1" w:rsidRDefault="00724C84" w:rsidP="00724C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tab/>
      </w:r>
      <w:r w:rsidR="004F2CD1">
        <w:rPr>
          <w:rFonts w:hint="eastAsia"/>
        </w:rPr>
        <w:t>三</w:t>
      </w:r>
      <w:r w:rsidR="00667043">
        <w:rPr>
          <w:rFonts w:hint="eastAsia"/>
        </w:rPr>
        <w:t>.</w:t>
      </w:r>
      <w:r w:rsidR="00667043">
        <w:rPr>
          <w:rFonts w:hint="eastAsia"/>
        </w:rPr>
        <w:tab/>
      </w:r>
      <w:r w:rsidR="004F2CD1">
        <w:rPr>
          <w:rFonts w:hint="eastAsia"/>
        </w:rPr>
        <w:t>增强各条约机构功效：采用协调一致方法开展条约机构工作</w:t>
      </w:r>
    </w:p>
    <w:p w:rsidR="004F2CD1" w:rsidRDefault="00724C84" w:rsidP="00724C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tab/>
      </w:r>
      <w:r w:rsidR="004F2CD1">
        <w:rPr>
          <w:rFonts w:hint="eastAsia"/>
        </w:rPr>
        <w:t>A.</w:t>
      </w:r>
      <w:r>
        <w:tab/>
      </w:r>
      <w:r w:rsidR="004F2CD1">
        <w:rPr>
          <w:rFonts w:hint="eastAsia"/>
        </w:rPr>
        <w:t>联合国人权事务高级专员关于加强联合国人权条约机构的报告</w:t>
      </w:r>
    </w:p>
    <w:p w:rsidR="004F2CD1" w:rsidRDefault="004F2CD1" w:rsidP="004F2CD1">
      <w:pPr>
        <w:pStyle w:val="SingleTxt"/>
        <w:rPr>
          <w:rFonts w:hint="eastAsia"/>
        </w:rPr>
      </w:pPr>
      <w:r>
        <w:rPr>
          <w:rFonts w:hint="eastAsia"/>
        </w:rPr>
        <w:t>7</w:t>
      </w:r>
      <w:r w:rsidR="00667043">
        <w:rPr>
          <w:rFonts w:hint="eastAsia"/>
        </w:rPr>
        <w:t>.</w:t>
      </w:r>
      <w:r w:rsidR="00667043">
        <w:rPr>
          <w:rFonts w:hint="eastAsia"/>
        </w:rPr>
        <w:tab/>
      </w:r>
      <w:r>
        <w:rPr>
          <w:rFonts w:hint="eastAsia"/>
        </w:rPr>
        <w:t>会议开始时，主席们指出，高级专员的报告是将近三年广泛协商的成果，条约机构的专家们在协商中发挥了关键作用。他们强调支持这一进程，并赞赏地注意到它争取了所有利益攸关方的参与。他们还提到一个事实，即2011年11月的都柏林二全面成果文件</w:t>
      </w:r>
      <w:r w:rsidR="00724C84">
        <w:rPr>
          <w:rStyle w:val="FootnoteReference"/>
        </w:rPr>
        <w:footnoteReference w:id="1"/>
      </w:r>
      <w:r>
        <w:rPr>
          <w:rFonts w:hint="eastAsia"/>
        </w:rPr>
        <w:t xml:space="preserve"> 已获所有主席签署，随后也被大多数条约机构认可。</w:t>
      </w:r>
    </w:p>
    <w:p w:rsidR="004F2CD1" w:rsidRDefault="004F2CD1" w:rsidP="004F2CD1">
      <w:pPr>
        <w:pStyle w:val="SingleTxt"/>
        <w:rPr>
          <w:rFonts w:hint="eastAsia"/>
        </w:rPr>
      </w:pPr>
      <w:r>
        <w:rPr>
          <w:rFonts w:hint="eastAsia"/>
        </w:rPr>
        <w:t>8</w:t>
      </w:r>
      <w:r w:rsidR="00667043">
        <w:rPr>
          <w:rFonts w:hint="eastAsia"/>
        </w:rPr>
        <w:t>.</w:t>
      </w:r>
      <w:r w:rsidR="00667043">
        <w:rPr>
          <w:rFonts w:hint="eastAsia"/>
        </w:rPr>
        <w:tab/>
      </w:r>
      <w:r>
        <w:rPr>
          <w:rFonts w:hint="eastAsia"/>
        </w:rPr>
        <w:t>主席们表示赞赏高级专员编写了这份报告，认为该报告非常清楚地总结了协商进程并依据思路和建议制定了具体行动。主席们赞同报告中提出的系统解决方案，并重申他们愿意和承诺进一步推动这一进程。</w:t>
      </w:r>
    </w:p>
    <w:p w:rsidR="004F2CD1" w:rsidRDefault="004F2CD1" w:rsidP="00724C84">
      <w:pPr>
        <w:pStyle w:val="SingleTxt"/>
        <w:spacing w:line="328" w:lineRule="exact"/>
        <w:rPr>
          <w:rFonts w:hint="eastAsia"/>
        </w:rPr>
      </w:pPr>
      <w:r>
        <w:rPr>
          <w:rFonts w:hint="eastAsia"/>
        </w:rPr>
        <w:t>9</w:t>
      </w:r>
      <w:r w:rsidR="00667043">
        <w:rPr>
          <w:rFonts w:hint="eastAsia"/>
        </w:rPr>
        <w:t>.</w:t>
      </w:r>
      <w:r w:rsidR="00667043">
        <w:rPr>
          <w:rFonts w:hint="eastAsia"/>
        </w:rPr>
        <w:tab/>
      </w:r>
      <w:r w:rsidRPr="00724C84">
        <w:rPr>
          <w:rFonts w:hint="eastAsia"/>
          <w:spacing w:val="-4"/>
        </w:rPr>
        <w:t>主席们简要讨论了这一进程中一些加强条约机构的支配性原则，并一致认为，任何变革都应促成更好地履行实质性义务和提高条约监督机构给予权利持有人保护的水平。他们还一致认为，任何变革都应加强条约机构系统对义务履行情况的甄别。</w:t>
      </w:r>
    </w:p>
    <w:p w:rsidR="004F2CD1" w:rsidRPr="00724C84" w:rsidRDefault="004F2CD1" w:rsidP="00724C84">
      <w:pPr>
        <w:pStyle w:val="SingleTxt"/>
        <w:rPr>
          <w:rFonts w:hint="eastAsia"/>
        </w:rPr>
      </w:pPr>
      <w:r>
        <w:rPr>
          <w:rFonts w:hint="eastAsia"/>
        </w:rPr>
        <w:t>10</w:t>
      </w:r>
      <w:r w:rsidR="00667043">
        <w:rPr>
          <w:rFonts w:hint="eastAsia"/>
        </w:rPr>
        <w:t>.</w:t>
      </w:r>
      <w:r w:rsidR="00667043">
        <w:rPr>
          <w:rFonts w:hint="eastAsia"/>
        </w:rPr>
        <w:tab/>
      </w:r>
      <w:r w:rsidRPr="00724C84">
        <w:rPr>
          <w:rFonts w:hint="eastAsia"/>
          <w:spacing w:val="2"/>
        </w:rPr>
        <w:t>与会者提到了该报告中一些主要提案。主席们指出，关于一份全面报告日历的提案所依据的是各国作为各项国际人权条约缔约国的报告义务。他们认为，该提案将加强条约机构系统的周期性和透明度并确保充分履行提交报告的义务。在这方面，主席们提到普遍定期审议的经验，这种经验证明各国能够依照一个固定时间表履行报告义务。他们还强调指出，实施日历一开始需要增加人力、财力和技术资源，但长期而言最终将减少和简化各国的报告负担。与此同时，他们着重</w:t>
      </w:r>
      <w:r w:rsidRPr="00724C84">
        <w:rPr>
          <w:rFonts w:hint="eastAsia"/>
        </w:rPr>
        <w:t>指出，目前缔约国的不报告水平应被视为不遵守它们现有条约义务的问题，而不是一种节省费用的措施。因此，他们呼吁各国提供额外资源确保有效实施日历。</w:t>
      </w:r>
    </w:p>
    <w:p w:rsidR="004F2CD1" w:rsidRDefault="004F2CD1" w:rsidP="00724C84">
      <w:pPr>
        <w:pStyle w:val="SingleTxt"/>
        <w:rPr>
          <w:rFonts w:hint="eastAsia"/>
        </w:rPr>
      </w:pPr>
      <w:r>
        <w:rPr>
          <w:rFonts w:hint="eastAsia"/>
        </w:rPr>
        <w:t>11</w:t>
      </w:r>
      <w:r w:rsidR="00667043">
        <w:rPr>
          <w:rFonts w:hint="eastAsia"/>
        </w:rPr>
        <w:t>.</w:t>
      </w:r>
      <w:r w:rsidR="00667043">
        <w:rPr>
          <w:rFonts w:hint="eastAsia"/>
        </w:rPr>
        <w:tab/>
      </w:r>
      <w:r>
        <w:rPr>
          <w:rFonts w:hint="eastAsia"/>
        </w:rPr>
        <w:t>鉴于报告所载提案的数目，主席们指出，这次会议期间他们无法详细讨论每一项提案。但是，他们表示支持简化报告程序、与报告进程有关的页数限制问题和使用网播及视频会议等现代技术等提案。简要提及的其他建议包括：条约机构联合来文工作组、确保条约机构判例一致性和连贯性的需要、书面后续程序和对不报国采用的方法，包括能力建设和技术合作的问题。此外，他们还指出，条约机构文件、包括工作文件翻译的问题继续对该系统的运作构成一个严重问题，可能会限制一些条约机构成员在讨论中的参与。</w:t>
      </w:r>
    </w:p>
    <w:p w:rsidR="004F2CD1" w:rsidRDefault="004F2CD1" w:rsidP="00724C84">
      <w:pPr>
        <w:pStyle w:val="SingleTxt"/>
        <w:spacing w:line="324" w:lineRule="exact"/>
        <w:rPr>
          <w:rFonts w:hint="eastAsia"/>
        </w:rPr>
      </w:pPr>
      <w:r>
        <w:rPr>
          <w:rFonts w:hint="eastAsia"/>
        </w:rPr>
        <w:t>12</w:t>
      </w:r>
      <w:r w:rsidR="00667043">
        <w:rPr>
          <w:rFonts w:hint="eastAsia"/>
        </w:rPr>
        <w:t>.</w:t>
      </w:r>
      <w:r w:rsidR="00667043">
        <w:rPr>
          <w:rFonts w:hint="eastAsia"/>
        </w:rPr>
        <w:tab/>
      </w:r>
      <w:r>
        <w:rPr>
          <w:rFonts w:hint="eastAsia"/>
        </w:rPr>
        <w:t>会议结束时，主席们重申致力于推动执行高级专员报告中所载建议，并讨论了如何向前推动这一进程的问题。在注意到一些建议已获一些委员会全部或部分执行的同时，主席们建议每一个条约机构仔细审查该报告中向条约机构提出的建议，并与他们目前的工作方法进行比较，以确定需要采取什么步骤执行这些建议。这种执行的开展应与其他条约机构进行协调，而且每个条约机构都应一年两次向主席会议通报所取得的进展。</w:t>
      </w:r>
    </w:p>
    <w:p w:rsidR="004F2CD1" w:rsidRDefault="00724C84" w:rsidP="00724C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4" w:right="1259" w:hanging="1264"/>
        <w:rPr>
          <w:rFonts w:hint="eastAsia"/>
        </w:rPr>
      </w:pPr>
      <w:r>
        <w:tab/>
      </w:r>
      <w:r w:rsidR="004F2CD1">
        <w:rPr>
          <w:rFonts w:hint="eastAsia"/>
        </w:rPr>
        <w:t>B.</w:t>
      </w:r>
      <w:r>
        <w:tab/>
      </w:r>
      <w:r w:rsidR="004F2CD1">
        <w:rPr>
          <w:rFonts w:hint="eastAsia"/>
        </w:rPr>
        <w:t>人权条约机构成员独立性和公正性准则</w:t>
      </w:r>
    </w:p>
    <w:p w:rsidR="004F2CD1" w:rsidRDefault="004F2CD1" w:rsidP="00724C84">
      <w:pPr>
        <w:pStyle w:val="SingleTxt"/>
        <w:spacing w:line="332" w:lineRule="exact"/>
        <w:rPr>
          <w:rFonts w:hint="eastAsia"/>
        </w:rPr>
      </w:pPr>
      <w:r>
        <w:rPr>
          <w:rFonts w:hint="eastAsia"/>
        </w:rPr>
        <w:t>13</w:t>
      </w:r>
      <w:r w:rsidR="00667043">
        <w:rPr>
          <w:rFonts w:hint="eastAsia"/>
        </w:rPr>
        <w:t>.</w:t>
      </w:r>
      <w:r w:rsidR="00667043">
        <w:rPr>
          <w:rFonts w:hint="eastAsia"/>
        </w:rPr>
        <w:tab/>
      </w:r>
      <w:r>
        <w:rPr>
          <w:rFonts w:hint="eastAsia"/>
        </w:rPr>
        <w:t>2011年，主席们在其第二十三次年度会议上提到了《关于联合国人权条约机构系统改革的波兹南声明》第19和第20条，并再次建议要加强在选举条约机构成员时和在他们任用期间对独立性、到职率和胜任能力的保障(A/66/175，第5段)。在这方面，他们要求秘书处起草一份关于增进和加强条约机构成员知识专长和独立性的工作文件，包括初步提案草案。他们一致认为，这样一份工作文件可在休会期间通过电子邮件讨论并在第二十四次主席会议上提交给他们。</w:t>
      </w:r>
    </w:p>
    <w:p w:rsidR="004F2CD1" w:rsidRDefault="004F2CD1" w:rsidP="00724C84">
      <w:pPr>
        <w:pStyle w:val="SingleTxt"/>
        <w:spacing w:line="330" w:lineRule="exact"/>
        <w:rPr>
          <w:rFonts w:hint="eastAsia"/>
        </w:rPr>
      </w:pPr>
      <w:r>
        <w:rPr>
          <w:rFonts w:hint="eastAsia"/>
        </w:rPr>
        <w:t>14</w:t>
      </w:r>
      <w:r w:rsidR="00667043">
        <w:rPr>
          <w:rFonts w:hint="eastAsia"/>
        </w:rPr>
        <w:t>.</w:t>
      </w:r>
      <w:r w:rsidR="00667043">
        <w:rPr>
          <w:rFonts w:hint="eastAsia"/>
        </w:rPr>
        <w:tab/>
      </w:r>
      <w:r>
        <w:rPr>
          <w:rFonts w:hint="eastAsia"/>
        </w:rPr>
        <w:t>在两届会议期间与他</w:t>
      </w:r>
      <w:r w:rsidR="006D38CE">
        <w:rPr>
          <w:rFonts w:hint="eastAsia"/>
        </w:rPr>
        <w:t>们</w:t>
      </w:r>
      <w:r>
        <w:rPr>
          <w:rFonts w:hint="eastAsia"/>
        </w:rPr>
        <w:t>各自委员会协商并在对准则草案各种要素进行了广泛和详尽讨论之后，主席们认可了人权条约机构成员独立性和公正性准则(“亚的斯亚贝巴准则”)。</w:t>
      </w:r>
    </w:p>
    <w:p w:rsidR="004F2CD1" w:rsidRDefault="004F2CD1" w:rsidP="00724C84">
      <w:pPr>
        <w:pStyle w:val="SingleTxt"/>
        <w:spacing w:after="260" w:line="330" w:lineRule="exact"/>
        <w:rPr>
          <w:rFonts w:hint="eastAsia"/>
        </w:rPr>
      </w:pPr>
      <w:r>
        <w:rPr>
          <w:rFonts w:hint="eastAsia"/>
        </w:rPr>
        <w:t>15</w:t>
      </w:r>
      <w:r w:rsidR="00667043">
        <w:rPr>
          <w:rFonts w:hint="eastAsia"/>
        </w:rPr>
        <w:t>.</w:t>
      </w:r>
      <w:r w:rsidR="00667043">
        <w:rPr>
          <w:rFonts w:hint="eastAsia"/>
        </w:rPr>
        <w:tab/>
      </w:r>
      <w:r>
        <w:rPr>
          <w:rFonts w:hint="eastAsia"/>
        </w:rPr>
        <w:t>此外，主席们强烈建议各条约机构除其他外采用适当列入其议事规则的办法从速通过该准则。经认可的准则载于本文件附件一。</w:t>
      </w:r>
    </w:p>
    <w:p w:rsidR="004F2CD1" w:rsidRDefault="00724C84" w:rsidP="00724C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tab/>
      </w:r>
      <w:r w:rsidR="004F2CD1">
        <w:rPr>
          <w:rFonts w:hint="eastAsia"/>
        </w:rPr>
        <w:t>四</w:t>
      </w:r>
      <w:r w:rsidR="00667043">
        <w:rPr>
          <w:rFonts w:hint="eastAsia"/>
        </w:rPr>
        <w:t>.</w:t>
      </w:r>
      <w:r w:rsidR="00667043">
        <w:rPr>
          <w:rFonts w:hint="eastAsia"/>
        </w:rPr>
        <w:tab/>
      </w:r>
      <w:r w:rsidR="004F2CD1">
        <w:rPr>
          <w:rFonts w:hint="eastAsia"/>
        </w:rPr>
        <w:t>与非洲人权机制、机构和利益攸关方对话</w:t>
      </w:r>
    </w:p>
    <w:p w:rsidR="004F2CD1" w:rsidRDefault="004F2CD1" w:rsidP="00724C84">
      <w:pPr>
        <w:pStyle w:val="SingleTxt"/>
        <w:spacing w:line="332" w:lineRule="exact"/>
        <w:rPr>
          <w:rFonts w:hint="eastAsia"/>
        </w:rPr>
      </w:pPr>
      <w:r>
        <w:rPr>
          <w:rFonts w:hint="eastAsia"/>
        </w:rPr>
        <w:t>16.</w:t>
      </w:r>
      <w:r w:rsidR="006D38CE">
        <w:tab/>
      </w:r>
      <w:r>
        <w:rPr>
          <w:rFonts w:hint="eastAsia"/>
        </w:rPr>
        <w:t>作为国际和区域人权机制之间持续协商的一部分，联合国人权条约机构主席们与非洲联盟人权机制代表们的对话会于2012年6月27日和28日由人权高专办东非区域办事处召开。出席对话会的有联合国条约机构主席或副主席10人以及非洲联盟人权机制的高级别代表，其中包括非洲人权和人民权利委员会、非洲人权和人民权利法院、非洲儿童权利与福利问题专家委员会、非洲同行审议机制、东非法院和西非国家经济共同体法院的代表。一些联合国机构、国际和区域政府组织、国家人权机构和民间社会组织的代表也参加了会议。</w:t>
      </w:r>
    </w:p>
    <w:p w:rsidR="004F2CD1" w:rsidRDefault="004F2CD1" w:rsidP="004F2CD1">
      <w:pPr>
        <w:pStyle w:val="SingleTxt"/>
        <w:rPr>
          <w:rFonts w:hint="eastAsia"/>
        </w:rPr>
      </w:pPr>
      <w:r>
        <w:rPr>
          <w:rFonts w:hint="eastAsia"/>
        </w:rPr>
        <w:t>17</w:t>
      </w:r>
      <w:r w:rsidR="00667043">
        <w:rPr>
          <w:rFonts w:hint="eastAsia"/>
        </w:rPr>
        <w:t>.</w:t>
      </w:r>
      <w:r w:rsidR="00667043">
        <w:rPr>
          <w:rFonts w:hint="eastAsia"/>
        </w:rPr>
        <w:tab/>
      </w:r>
      <w:r>
        <w:rPr>
          <w:rFonts w:hint="eastAsia"/>
        </w:rPr>
        <w:t>Gassama先生宣布会议开幕。他强调指出，许多非洲国家通过了人权文书，这说明它们愿意促进和保护人权。不过，在国家法律中纳入和执行这些文书在该区域仍是一项挑战，进一步加强国际和区域人权机制之间的合作和协调有助于实现这些目标。Gassama先生提到了人权高专办和其他机构开展的旨在加强联合国和区域人权机制之间合作的多项活动，特别是联合国人权理事会特别程序同非洲人权和人民权利委员会特别程序之间为探讨如何改进合作与协调以在非洲促进和保护人权而于2012年1月举行的为期两天的会议。他回顾指出本次会议的目标是：确定联合国条约机构和非洲人权条约机构的共同挑战、机遇、优先事项和支持需求，包括执行各自建议的有效办法；设立联合信息共享程序；确立一种联合方法贯彻执行两个人权系统提出的建议。</w:t>
      </w:r>
    </w:p>
    <w:p w:rsidR="004F2CD1" w:rsidRDefault="004F2CD1" w:rsidP="004F2CD1">
      <w:pPr>
        <w:pStyle w:val="SingleTxt"/>
        <w:rPr>
          <w:rFonts w:hint="eastAsia"/>
        </w:rPr>
      </w:pPr>
      <w:r>
        <w:rPr>
          <w:rFonts w:hint="eastAsia"/>
        </w:rPr>
        <w:t>18</w:t>
      </w:r>
      <w:r w:rsidR="00667043">
        <w:rPr>
          <w:rFonts w:hint="eastAsia"/>
        </w:rPr>
        <w:t>.</w:t>
      </w:r>
      <w:r w:rsidR="00667043">
        <w:rPr>
          <w:rFonts w:hint="eastAsia"/>
        </w:rPr>
        <w:tab/>
      </w:r>
      <w:r>
        <w:rPr>
          <w:rFonts w:hint="eastAsia"/>
        </w:rPr>
        <w:t>非洲联盟委员会政治事务部的Salah Hammad 致了开幕词。他表示认为，这次会议将有助于与会者重申其决心和承诺，以全球视野促进和保护非洲和国际人权文书中体现的人权。他还强调指出，保护和促进人权有助于可持续发展，也是非洲联盟核心价值中不可分割的一部分。Hammad先生还着重指出，该委员会同人权高专办之间的谅解备忘录将使这两个机构能够探讨如何在人权领域中实现更好的协调。</w:t>
      </w:r>
    </w:p>
    <w:p w:rsidR="004F2CD1" w:rsidRDefault="004F2CD1" w:rsidP="00724C84">
      <w:pPr>
        <w:pStyle w:val="SingleTxt"/>
        <w:spacing w:line="332" w:lineRule="exact"/>
        <w:rPr>
          <w:rFonts w:hint="eastAsia"/>
        </w:rPr>
      </w:pPr>
      <w:r>
        <w:rPr>
          <w:rFonts w:hint="eastAsia"/>
        </w:rPr>
        <w:t>19</w:t>
      </w:r>
      <w:r w:rsidR="00667043">
        <w:rPr>
          <w:rFonts w:hint="eastAsia"/>
        </w:rPr>
        <w:t>.</w:t>
      </w:r>
      <w:r w:rsidR="00667043">
        <w:rPr>
          <w:rFonts w:hint="eastAsia"/>
        </w:rPr>
        <w:tab/>
      </w:r>
      <w:r>
        <w:rPr>
          <w:rFonts w:hint="eastAsia"/>
        </w:rPr>
        <w:t>会上向与会者播放了关于联合国条约机构系统的数字影碟，随后非洲人权机制的代表们简短介绍了各自的任务。</w:t>
      </w:r>
    </w:p>
    <w:p w:rsidR="004F2CD1" w:rsidRDefault="00724C84" w:rsidP="00724C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tab/>
      </w:r>
      <w:r w:rsidR="004F2CD1">
        <w:rPr>
          <w:rFonts w:hint="eastAsia"/>
        </w:rPr>
        <w:t>A.</w:t>
      </w:r>
      <w:r>
        <w:tab/>
      </w:r>
      <w:r w:rsidR="004F2CD1">
        <w:rPr>
          <w:rFonts w:hint="eastAsia"/>
        </w:rPr>
        <w:t>圆桌讨论一：联合国人权条约机构同非洲人权机制系统之间的互补性，包括促进执行其各自建议的联合战略</w:t>
      </w:r>
    </w:p>
    <w:p w:rsidR="004F2CD1" w:rsidRDefault="004F2CD1" w:rsidP="004F2CD1">
      <w:pPr>
        <w:pStyle w:val="SingleTxt"/>
        <w:rPr>
          <w:rFonts w:hint="eastAsia"/>
        </w:rPr>
      </w:pPr>
      <w:r>
        <w:rPr>
          <w:rFonts w:hint="eastAsia"/>
        </w:rPr>
        <w:t>20</w:t>
      </w:r>
      <w:r w:rsidR="00667043">
        <w:rPr>
          <w:rFonts w:hint="eastAsia"/>
        </w:rPr>
        <w:t>.</w:t>
      </w:r>
      <w:r w:rsidR="00667043">
        <w:rPr>
          <w:rFonts w:hint="eastAsia"/>
        </w:rPr>
        <w:tab/>
      </w:r>
      <w:r>
        <w:rPr>
          <w:rFonts w:hint="eastAsia"/>
        </w:rPr>
        <w:t>下列人员参加了圆桌讨论一：非洲人权和人民权利委员会成员Med S. K. Kaggwa；非洲儿童权利与福利问题专家委员会副主席Benyam Mezmur；非洲同行审议机制秘书处的Ferdinand Katendeko以及联合国机构、国家人权机构和民间社会组织的代表。</w:t>
      </w:r>
    </w:p>
    <w:p w:rsidR="004F2CD1" w:rsidRDefault="004F2CD1" w:rsidP="00724C84">
      <w:pPr>
        <w:pStyle w:val="SingleTxt"/>
        <w:spacing w:line="332" w:lineRule="exact"/>
        <w:rPr>
          <w:rFonts w:hint="eastAsia"/>
        </w:rPr>
      </w:pPr>
      <w:r>
        <w:rPr>
          <w:rFonts w:hint="eastAsia"/>
        </w:rPr>
        <w:t>21</w:t>
      </w:r>
      <w:r w:rsidR="00667043">
        <w:rPr>
          <w:rFonts w:hint="eastAsia"/>
        </w:rPr>
        <w:t>.</w:t>
      </w:r>
      <w:r w:rsidR="00667043">
        <w:rPr>
          <w:rFonts w:hint="eastAsia"/>
        </w:rPr>
        <w:tab/>
      </w:r>
      <w:r>
        <w:rPr>
          <w:rFonts w:hint="eastAsia"/>
        </w:rPr>
        <w:t>与会者讨论了探索未来更好协作和合作途径的可能性，包括联合组团、联合新闻谈话和联合培训方案，以及交流信息和分享最佳做法。儿童权利委员会与非洲儿童权利与福利问题专家委员会之间的机构伙伴关系就是一个提供了共同行动框架的例子。与会者为加强两个系统之间的协同增效作用提出了具体建议，例如联合努力宣传推动批准两个系统下的人权条约及任择议定书和在联合宣传活动中及时向各自的监督机构提交报告；就共同关心的事项发表联合声明，包括在国际或区域人权主题日背景中发表这种声明；在就共同关心的问题起草一般性评论时争取非洲人权机制的参与。</w:t>
      </w:r>
    </w:p>
    <w:p w:rsidR="004F2CD1" w:rsidRDefault="004F2CD1" w:rsidP="006D38CE">
      <w:pPr>
        <w:pStyle w:val="SingleTxt"/>
        <w:spacing w:after="100" w:line="316" w:lineRule="exact"/>
        <w:rPr>
          <w:rFonts w:hint="eastAsia"/>
        </w:rPr>
      </w:pPr>
      <w:r>
        <w:rPr>
          <w:rFonts w:hint="eastAsia"/>
        </w:rPr>
        <w:t>22</w:t>
      </w:r>
      <w:r w:rsidR="00667043">
        <w:rPr>
          <w:rFonts w:hint="eastAsia"/>
        </w:rPr>
        <w:t>.</w:t>
      </w:r>
      <w:r w:rsidR="00667043">
        <w:rPr>
          <w:rFonts w:hint="eastAsia"/>
        </w:rPr>
        <w:tab/>
      </w:r>
      <w:r>
        <w:rPr>
          <w:rFonts w:hint="eastAsia"/>
        </w:rPr>
        <w:t>与会者还讨论了在适当情况下非洲人权机制使用缔约国提交给联合国条约机构的报告和非洲区域机制使用各条约机构秘书处为审查缔约国报告而编制的国别卷宗的可能性。</w:t>
      </w:r>
    </w:p>
    <w:p w:rsidR="004F2CD1" w:rsidRDefault="004F2CD1" w:rsidP="006D38CE">
      <w:pPr>
        <w:pStyle w:val="SingleTxt"/>
        <w:spacing w:after="100" w:line="316" w:lineRule="exact"/>
        <w:rPr>
          <w:rFonts w:hint="eastAsia"/>
        </w:rPr>
      </w:pPr>
      <w:r>
        <w:rPr>
          <w:rFonts w:hint="eastAsia"/>
        </w:rPr>
        <w:t>23</w:t>
      </w:r>
      <w:r w:rsidR="00667043">
        <w:rPr>
          <w:rFonts w:hint="eastAsia"/>
        </w:rPr>
        <w:t>.</w:t>
      </w:r>
      <w:r w:rsidR="00667043">
        <w:rPr>
          <w:rFonts w:hint="eastAsia"/>
        </w:rPr>
        <w:tab/>
      </w:r>
      <w:r>
        <w:rPr>
          <w:rFonts w:hint="eastAsia"/>
        </w:rPr>
        <w:t>主席们强调两个系统需要交流信息和借重彼此的能力和产出。例如，就国家考察而言，条约机构可从非洲人权和人民权利委员会以及非洲同行审议机制的考察结果中受益。条约机构关于具体国家的建议也可补充非洲人权机制的工作。传播调查结果在这两个系统下都被视为一个优先事项。</w:t>
      </w:r>
    </w:p>
    <w:p w:rsidR="004F2CD1" w:rsidRDefault="004F2CD1" w:rsidP="006D38CE">
      <w:pPr>
        <w:pStyle w:val="SingleTxt"/>
        <w:spacing w:after="100" w:line="316" w:lineRule="exact"/>
        <w:rPr>
          <w:rFonts w:hint="eastAsia"/>
        </w:rPr>
      </w:pPr>
      <w:r>
        <w:rPr>
          <w:rFonts w:hint="eastAsia"/>
        </w:rPr>
        <w:t>24</w:t>
      </w:r>
      <w:r w:rsidR="00667043">
        <w:rPr>
          <w:rFonts w:hint="eastAsia"/>
        </w:rPr>
        <w:t>.</w:t>
      </w:r>
      <w:r w:rsidR="00667043">
        <w:rPr>
          <w:rFonts w:hint="eastAsia"/>
        </w:rPr>
        <w:tab/>
      </w:r>
      <w:r>
        <w:rPr>
          <w:rFonts w:hint="eastAsia"/>
        </w:rPr>
        <w:t>与会者探讨了联合国条约机构在审查该区域缔约国报告时加强使用区域文书、政策和行动及其影响和反之亦然的方式方法，尤其是在相关时互相参照各自的建议，包括在各自的结论性意见和其他产出中将其用作参考或基准。所有与会者都强调认为两个系统之间需要加强合作，以确保相互跟进国别建议的执行情况，具体包括分享良好做法和组织联合研讨会。</w:t>
      </w:r>
    </w:p>
    <w:p w:rsidR="004F2CD1" w:rsidRDefault="004F2CD1" w:rsidP="00724C84">
      <w:pPr>
        <w:pStyle w:val="SingleTxt"/>
        <w:spacing w:line="316" w:lineRule="exact"/>
        <w:rPr>
          <w:rFonts w:hint="eastAsia"/>
        </w:rPr>
      </w:pPr>
      <w:r>
        <w:rPr>
          <w:rFonts w:hint="eastAsia"/>
        </w:rPr>
        <w:t>25</w:t>
      </w:r>
      <w:r w:rsidR="00667043">
        <w:rPr>
          <w:rFonts w:hint="eastAsia"/>
        </w:rPr>
        <w:t>.</w:t>
      </w:r>
      <w:r w:rsidR="00667043">
        <w:rPr>
          <w:rFonts w:hint="eastAsia"/>
        </w:rPr>
        <w:tab/>
      </w:r>
      <w:r>
        <w:rPr>
          <w:rFonts w:hint="eastAsia"/>
        </w:rPr>
        <w:t>与会者确认了国家人权机构和民间社会组织在这两个系统下的重要作用，并平等地鼓励它们参与联合国条约机构和非洲人权机制的工作。</w:t>
      </w:r>
    </w:p>
    <w:p w:rsidR="004F2CD1" w:rsidRDefault="00724C84" w:rsidP="00724C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tab/>
      </w:r>
      <w:r w:rsidR="004F2CD1">
        <w:rPr>
          <w:rFonts w:hint="eastAsia"/>
        </w:rPr>
        <w:t>B.</w:t>
      </w:r>
      <w:r>
        <w:tab/>
      </w:r>
      <w:r w:rsidR="004F2CD1">
        <w:rPr>
          <w:rFonts w:hint="eastAsia"/>
        </w:rPr>
        <w:t>圆桌讨论二：</w:t>
      </w:r>
      <w:r w:rsidR="004F2CD1" w:rsidRPr="006D38CE">
        <w:rPr>
          <w:rFonts w:hint="eastAsia"/>
          <w:spacing w:val="-4"/>
        </w:rPr>
        <w:t>联合国人权条约机构和区域及次区域人权机制对个人投诉</w:t>
      </w:r>
      <w:r w:rsidR="004F2CD1">
        <w:rPr>
          <w:rFonts w:hint="eastAsia"/>
        </w:rPr>
        <w:t>的审议</w:t>
      </w:r>
    </w:p>
    <w:p w:rsidR="004F2CD1" w:rsidRDefault="004F2CD1" w:rsidP="006D38CE">
      <w:pPr>
        <w:pStyle w:val="SingleTxt"/>
        <w:spacing w:after="80" w:line="314" w:lineRule="exact"/>
        <w:rPr>
          <w:rFonts w:hint="eastAsia"/>
        </w:rPr>
      </w:pPr>
      <w:r>
        <w:rPr>
          <w:rFonts w:hint="eastAsia"/>
        </w:rPr>
        <w:t>26</w:t>
      </w:r>
      <w:r w:rsidR="00667043">
        <w:rPr>
          <w:rFonts w:hint="eastAsia"/>
        </w:rPr>
        <w:t>.</w:t>
      </w:r>
      <w:r w:rsidR="00667043">
        <w:rPr>
          <w:rFonts w:hint="eastAsia"/>
        </w:rPr>
        <w:tab/>
      </w:r>
      <w:r>
        <w:rPr>
          <w:rFonts w:hint="eastAsia"/>
        </w:rPr>
        <w:t>在这段期间，东非法院首席法官Johnston Busingye、西非国家经济共同体法院秘书处的Franca Ofor和非洲人权和人民权利法院院长Gerard Niyungeko就各自机构作了专题发言。讨论的问题有：如何确保非洲人权和人民权利法院、非洲儿童权利与福利问题专家委员会、非洲人权和人民权利委员会和次区域法院的判例与联合国人权条约机构的判例保持一致；如何识别不同判例的例子；如何分享经验。</w:t>
      </w:r>
    </w:p>
    <w:p w:rsidR="004F2CD1" w:rsidRPr="00724C84" w:rsidRDefault="004F2CD1" w:rsidP="006D38CE">
      <w:pPr>
        <w:pStyle w:val="SingleTxt"/>
        <w:spacing w:after="80" w:line="314" w:lineRule="exact"/>
        <w:rPr>
          <w:rFonts w:hint="eastAsia"/>
          <w:spacing w:val="-4"/>
        </w:rPr>
      </w:pPr>
      <w:r>
        <w:rPr>
          <w:rFonts w:hint="eastAsia"/>
        </w:rPr>
        <w:t>27</w:t>
      </w:r>
      <w:r w:rsidR="00667043">
        <w:rPr>
          <w:rFonts w:hint="eastAsia"/>
        </w:rPr>
        <w:t>.</w:t>
      </w:r>
      <w:r w:rsidR="00667043">
        <w:rPr>
          <w:rFonts w:hint="eastAsia"/>
        </w:rPr>
        <w:tab/>
      </w:r>
      <w:r w:rsidRPr="00724C84">
        <w:rPr>
          <w:rFonts w:hint="eastAsia"/>
          <w:spacing w:val="-4"/>
        </w:rPr>
        <w:t>次区域法院的代表对于首次获邀参加会议表示赞赏。与会者强调指出，区域和次区域法院所处理案件的较小数量以及国家以管辖权为由挑战这些法院裁判的事实都妨碍了这些法院的效率。联合国条约机构和非洲人权机制之间统一判例的重要性也得到了强调。与会者建议为区域和国际的法院设立一个论坛，使它们能定期举行会议讨论热点议题</w:t>
      </w:r>
      <w:r w:rsidRPr="00724C84">
        <w:rPr>
          <w:rFonts w:hint="eastAsia"/>
          <w:spacing w:val="-32"/>
        </w:rPr>
        <w:t>，</w:t>
      </w:r>
      <w:r w:rsidRPr="00724C84">
        <w:rPr>
          <w:rFonts w:hint="eastAsia"/>
          <w:spacing w:val="-4"/>
        </w:rPr>
        <w:t>并强调需要定期协商和能力建设</w:t>
      </w:r>
      <w:r w:rsidRPr="00724C84">
        <w:rPr>
          <w:rFonts w:hint="eastAsia"/>
          <w:spacing w:val="-32"/>
        </w:rPr>
        <w:t>，</w:t>
      </w:r>
      <w:r w:rsidRPr="00724C84">
        <w:rPr>
          <w:rFonts w:hint="eastAsia"/>
          <w:spacing w:val="-4"/>
        </w:rPr>
        <w:t>特别对较新的次区域法院而言。</w:t>
      </w:r>
    </w:p>
    <w:p w:rsidR="006D38CE" w:rsidRDefault="004F2CD1" w:rsidP="006D38CE">
      <w:pPr>
        <w:pStyle w:val="SingleTxt"/>
        <w:spacing w:after="80" w:line="314" w:lineRule="exact"/>
      </w:pPr>
      <w:r>
        <w:rPr>
          <w:rFonts w:hint="eastAsia"/>
        </w:rPr>
        <w:t>28</w:t>
      </w:r>
      <w:r w:rsidR="00667043">
        <w:rPr>
          <w:rFonts w:hint="eastAsia"/>
        </w:rPr>
        <w:t>.</w:t>
      </w:r>
      <w:r w:rsidR="00667043">
        <w:rPr>
          <w:rFonts w:hint="eastAsia"/>
        </w:rPr>
        <w:tab/>
      </w:r>
      <w:r>
        <w:rPr>
          <w:rFonts w:hint="eastAsia"/>
        </w:rPr>
        <w:t>讨论强调指出，联合国条约机构、委员会、法院、非洲专家委员会和次区域法院需要审查各自的已有判例，以期确保一致性和避免国际人权法支离破碎。为此，会议还鼓励开展联合培训活动和举办司法座谈会。这次联合会议期间通过的建议载于本报告附件二。</w:t>
      </w:r>
    </w:p>
    <w:p w:rsidR="004F2CD1" w:rsidRDefault="00724C84" w:rsidP="006D38C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4F2CD1">
        <w:rPr>
          <w:rFonts w:hint="eastAsia"/>
        </w:rPr>
        <w:t>五</w:t>
      </w:r>
      <w:r w:rsidR="00667043">
        <w:rPr>
          <w:rFonts w:hint="eastAsia"/>
        </w:rPr>
        <w:t>.</w:t>
      </w:r>
      <w:r w:rsidR="00667043">
        <w:rPr>
          <w:rFonts w:hint="eastAsia"/>
        </w:rPr>
        <w:tab/>
      </w:r>
      <w:r w:rsidR="004F2CD1">
        <w:rPr>
          <w:rFonts w:hint="eastAsia"/>
        </w:rPr>
        <w:t>与埃塞俄比亚政府部委的会晤</w:t>
      </w:r>
    </w:p>
    <w:p w:rsidR="006D38CE" w:rsidRPr="006D38CE" w:rsidRDefault="006D38CE" w:rsidP="006D38CE">
      <w:pPr>
        <w:pStyle w:val="SingleTxt"/>
        <w:spacing w:after="0" w:line="120" w:lineRule="exact"/>
        <w:rPr>
          <w:rFonts w:hint="eastAsia"/>
          <w:sz w:val="10"/>
        </w:rPr>
      </w:pPr>
    </w:p>
    <w:p w:rsidR="004F2CD1" w:rsidRDefault="004F2CD1" w:rsidP="00724C84">
      <w:pPr>
        <w:pStyle w:val="SingleTxt"/>
        <w:spacing w:after="260"/>
        <w:rPr>
          <w:rFonts w:hint="eastAsia"/>
        </w:rPr>
      </w:pPr>
      <w:r>
        <w:rPr>
          <w:rFonts w:hint="eastAsia"/>
        </w:rPr>
        <w:t>29</w:t>
      </w:r>
      <w:r w:rsidR="00667043">
        <w:rPr>
          <w:rFonts w:hint="eastAsia"/>
        </w:rPr>
        <w:t>.</w:t>
      </w:r>
      <w:r w:rsidR="00667043">
        <w:rPr>
          <w:rFonts w:hint="eastAsia"/>
        </w:rPr>
        <w:tab/>
      </w:r>
      <w:r w:rsidRPr="006D38CE">
        <w:rPr>
          <w:rFonts w:hint="eastAsia"/>
          <w:spacing w:val="-4"/>
        </w:rPr>
        <w:t>主席们会见了埃塞俄比亚司法、卫生、教育、妇女、儿童和青年事务、外交、劳动和社会事务、联邦事务部的部长，以及国际组织事务总局局长和国际法律事务总局的一名代表。会晤目的是就埃塞俄比亚与条约机构之间的互动和合作交换意见。</w:t>
      </w:r>
    </w:p>
    <w:p w:rsidR="004F2CD1" w:rsidRDefault="00724C84" w:rsidP="00724C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ascii="Times New Roman"/>
        </w:rPr>
        <w:tab/>
      </w:r>
      <w:r w:rsidR="004F2CD1">
        <w:rPr>
          <w:rFonts w:hint="eastAsia"/>
        </w:rPr>
        <w:t>六</w:t>
      </w:r>
      <w:r w:rsidR="00667043">
        <w:rPr>
          <w:rFonts w:hint="eastAsia"/>
        </w:rPr>
        <w:t>.</w:t>
      </w:r>
      <w:r w:rsidR="00667043">
        <w:rPr>
          <w:rFonts w:hint="eastAsia"/>
        </w:rPr>
        <w:tab/>
      </w:r>
      <w:r w:rsidR="004F2CD1">
        <w:rPr>
          <w:rFonts w:hint="eastAsia"/>
        </w:rPr>
        <w:t>决定和建议</w:t>
      </w:r>
    </w:p>
    <w:p w:rsidR="004F2CD1" w:rsidRDefault="004F2CD1" w:rsidP="00724C84">
      <w:pPr>
        <w:pStyle w:val="SingleTxt"/>
        <w:spacing w:after="120" w:line="319" w:lineRule="exact"/>
        <w:rPr>
          <w:rFonts w:hint="eastAsia"/>
        </w:rPr>
      </w:pPr>
      <w:r>
        <w:rPr>
          <w:rFonts w:hint="eastAsia"/>
        </w:rPr>
        <w:t>30</w:t>
      </w:r>
      <w:r w:rsidR="00667043">
        <w:rPr>
          <w:rFonts w:hint="eastAsia"/>
        </w:rPr>
        <w:t>.</w:t>
      </w:r>
      <w:r w:rsidR="00667043">
        <w:rPr>
          <w:rFonts w:hint="eastAsia"/>
        </w:rPr>
        <w:tab/>
      </w:r>
      <w:r>
        <w:rPr>
          <w:rFonts w:hint="eastAsia"/>
        </w:rPr>
        <w:t>联合国人权条约机构的主席们在其第二十四次会议上通过了以下建议：</w:t>
      </w:r>
    </w:p>
    <w:p w:rsidR="004F2CD1" w:rsidRPr="00724C84" w:rsidRDefault="004F2CD1" w:rsidP="00724C84">
      <w:pPr>
        <w:pStyle w:val="SingleTxt"/>
        <w:spacing w:after="120" w:line="319" w:lineRule="exact"/>
        <w:rPr>
          <w:rFonts w:ascii="SimHei" w:eastAsia="SimHei" w:hint="eastAsia"/>
        </w:rPr>
      </w:pPr>
      <w:r w:rsidRPr="00724C84">
        <w:rPr>
          <w:rFonts w:ascii="SimHei" w:eastAsia="SimHei" w:hint="eastAsia"/>
        </w:rPr>
        <w:t>在不同区域举行主席会议</w:t>
      </w:r>
    </w:p>
    <w:p w:rsidR="004F2CD1" w:rsidRDefault="004F2CD1" w:rsidP="00724C84">
      <w:pPr>
        <w:pStyle w:val="SingleTxt"/>
        <w:spacing w:after="120" w:line="319" w:lineRule="exact"/>
        <w:rPr>
          <w:rFonts w:hint="eastAsia"/>
        </w:rPr>
      </w:pPr>
      <w:r>
        <w:rPr>
          <w:rFonts w:hint="eastAsia"/>
        </w:rPr>
        <w:t>31</w:t>
      </w:r>
      <w:r w:rsidR="00667043">
        <w:rPr>
          <w:rFonts w:hint="eastAsia"/>
        </w:rPr>
        <w:t>.</w:t>
      </w:r>
      <w:r w:rsidR="00667043">
        <w:rPr>
          <w:rFonts w:hint="eastAsia"/>
        </w:rPr>
        <w:tab/>
      </w:r>
      <w:r>
        <w:rPr>
          <w:rFonts w:hint="eastAsia"/>
        </w:rPr>
        <w:t>主席们欢迎有机会在亚的斯亚贝巴与非洲人权机制和机构会晤。他们再次建议主席会议每年举行一次，而且每隔一年在一个不同区域举行，以便于参与执行进程的所有利益攸关方更容易接触到人权条约机构并通过加强国际和区域人权机制和机构之间的联系和协同作用提高对他们工作的认识。</w:t>
      </w:r>
    </w:p>
    <w:p w:rsidR="004F2CD1" w:rsidRPr="00724C84" w:rsidRDefault="004F2CD1" w:rsidP="00724C84">
      <w:pPr>
        <w:pStyle w:val="SingleTxt"/>
        <w:spacing w:after="120" w:line="319" w:lineRule="exact"/>
        <w:rPr>
          <w:rFonts w:ascii="SimHei" w:eastAsia="SimHei" w:hint="eastAsia"/>
        </w:rPr>
      </w:pPr>
      <w:r w:rsidRPr="00724C84">
        <w:rPr>
          <w:rFonts w:ascii="SimHei" w:eastAsia="SimHei" w:hint="eastAsia"/>
        </w:rPr>
        <w:t>高级专员关于加强条约机构的报告</w:t>
      </w:r>
    </w:p>
    <w:p w:rsidR="004F2CD1" w:rsidRDefault="004F2CD1" w:rsidP="00724C84">
      <w:pPr>
        <w:pStyle w:val="SingleTxt"/>
        <w:spacing w:after="120" w:line="319" w:lineRule="exact"/>
        <w:rPr>
          <w:rFonts w:hint="eastAsia"/>
        </w:rPr>
      </w:pPr>
      <w:r>
        <w:rPr>
          <w:rFonts w:hint="eastAsia"/>
        </w:rPr>
        <w:t>32</w:t>
      </w:r>
      <w:r w:rsidR="00667043">
        <w:rPr>
          <w:rFonts w:hint="eastAsia"/>
        </w:rPr>
        <w:t>.</w:t>
      </w:r>
      <w:r w:rsidR="00667043">
        <w:rPr>
          <w:rFonts w:hint="eastAsia"/>
        </w:rPr>
        <w:tab/>
      </w:r>
      <w:r>
        <w:rPr>
          <w:rFonts w:hint="eastAsia"/>
        </w:rPr>
        <w:t>主席们欢迎人权事务高级专员的报告并赞同报告所载看法。主席们重申了一些支配性原则，例如任何变革都应促成更好地履行实质性义务和提高现有条约监督机构给予权利持有人保护的水平，而且任何变革都应加强条约机构系统对义务履行情况的甄别。为此，主席们通过了以下建议：</w:t>
      </w:r>
    </w:p>
    <w:p w:rsidR="004F2CD1" w:rsidRDefault="004F2CD1" w:rsidP="00724C84">
      <w:pPr>
        <w:pStyle w:val="SingleTxt"/>
        <w:spacing w:after="120" w:line="319" w:lineRule="exact"/>
        <w:rPr>
          <w:rFonts w:hint="eastAsia"/>
        </w:rPr>
      </w:pPr>
      <w:r>
        <w:rPr>
          <w:rFonts w:hint="eastAsia"/>
        </w:rPr>
        <w:tab/>
        <w:t>(a)</w:t>
      </w:r>
      <w:r w:rsidR="00724C84">
        <w:tab/>
      </w:r>
      <w:r>
        <w:rPr>
          <w:rFonts w:hint="eastAsia"/>
        </w:rPr>
        <w:t>会议表示支持报告所载各项宝贵提案，尤其是关于一份确保在报告方面遵守条约义务的全面报告日历、简化报告程序、与报告进程有关的页数限制和使用网播及视频会议等现代技术的提案。主席们申明他们承诺推动执行该报告所载建议；</w:t>
      </w:r>
    </w:p>
    <w:p w:rsidR="004F2CD1" w:rsidRDefault="004F2CD1" w:rsidP="00724C84">
      <w:pPr>
        <w:pStyle w:val="SingleTxt"/>
        <w:spacing w:after="120" w:line="319" w:lineRule="exact"/>
        <w:rPr>
          <w:rFonts w:hint="eastAsia"/>
        </w:rPr>
      </w:pPr>
      <w:r>
        <w:rPr>
          <w:rFonts w:hint="eastAsia"/>
        </w:rPr>
        <w:tab/>
        <w:t>(b)</w:t>
      </w:r>
      <w:r w:rsidR="00724C84">
        <w:tab/>
      </w:r>
      <w:r>
        <w:rPr>
          <w:rFonts w:hint="eastAsia"/>
        </w:rPr>
        <w:t>主席们重申，关于一份全面报告日历的提案所依据的是各项国际人权条约缔约国的报告义务。主席们在注意到当初为确保充分履行各条约规定的报告义务而预计需要追加财政资源的同时，也吁请各国提供这些资源以期确保日历的有效实施；</w:t>
      </w:r>
    </w:p>
    <w:p w:rsidR="004F2CD1" w:rsidRDefault="004F2CD1" w:rsidP="00724C84">
      <w:pPr>
        <w:pStyle w:val="SingleTxt"/>
        <w:spacing w:after="120" w:line="319" w:lineRule="exact"/>
        <w:rPr>
          <w:rFonts w:hint="eastAsia"/>
        </w:rPr>
      </w:pPr>
      <w:r>
        <w:rPr>
          <w:rFonts w:hint="eastAsia"/>
        </w:rPr>
        <w:tab/>
        <w:t>(c)</w:t>
      </w:r>
      <w:r w:rsidR="00724C84">
        <w:tab/>
      </w:r>
      <w:r>
        <w:rPr>
          <w:rFonts w:hint="eastAsia"/>
        </w:rPr>
        <w:t>主席们建议每一个条约机构都仔细审查报告中向条约机构提出的建议，并与他们目前的工作方法进行比较，以确定需要采取什么步骤执行这些建议。主席们强调，这种执行的开展应与其他条约机构进行协调，并建议每个条约机构都应一年两次向主席会议通报所取得的进展。主席们还建议秘书处编制和定期更新这方面的执行情况报告供主席会议审议，以审查进展和充分执行情况，同时铭记强化进程从定义上说就是一个持续的进程。为此，会议决定把加强条约机构的议题，尤其是执行高级专员报告所载建议的议题，列入下一次主席会议议程。</w:t>
      </w:r>
    </w:p>
    <w:p w:rsidR="004F2CD1" w:rsidRPr="00724C84" w:rsidRDefault="004F2CD1" w:rsidP="00724C84">
      <w:pPr>
        <w:pStyle w:val="SingleTxt"/>
        <w:spacing w:after="120" w:line="319" w:lineRule="exact"/>
        <w:rPr>
          <w:rFonts w:ascii="SimHei" w:eastAsia="SimHei" w:hint="eastAsia"/>
        </w:rPr>
      </w:pPr>
      <w:r w:rsidRPr="00724C84">
        <w:rPr>
          <w:rFonts w:ascii="SimHei" w:eastAsia="SimHei" w:hint="eastAsia"/>
        </w:rPr>
        <w:t>加强条约机构方面的政府间进程</w:t>
      </w:r>
    </w:p>
    <w:p w:rsidR="004F2CD1" w:rsidRDefault="004F2CD1" w:rsidP="00724C84">
      <w:pPr>
        <w:pStyle w:val="SingleTxt"/>
        <w:spacing w:after="120" w:line="319" w:lineRule="exact"/>
        <w:rPr>
          <w:rFonts w:hint="eastAsia"/>
        </w:rPr>
      </w:pPr>
      <w:r>
        <w:rPr>
          <w:rFonts w:hint="eastAsia"/>
        </w:rPr>
        <w:t>33</w:t>
      </w:r>
      <w:r w:rsidR="00667043">
        <w:rPr>
          <w:rFonts w:hint="eastAsia"/>
        </w:rPr>
        <w:t>.</w:t>
      </w:r>
      <w:r w:rsidR="00667043">
        <w:rPr>
          <w:rFonts w:hint="eastAsia"/>
        </w:rPr>
        <w:tab/>
      </w:r>
      <w:r>
        <w:rPr>
          <w:rFonts w:hint="eastAsia"/>
        </w:rPr>
        <w:t>主席们强调指出，虽然大会第66/254号决议启动的加强和增进人权条约机构系统有效运作的进程属于政府间性质，但条约机构系统从定义上说是一种多利益攸关方系统，在此系统中，缔约国和条约机构根据各自条约规定都具有特定权限。在此情况下，主席们重申，在事关条约机构系统未来的问题上，他们可以发挥核心作用，因此，他们在该决议第4段所述不限成员名额政府间进程讨论中的存在至关重要。他们强调指出，作为“联合国相关机构”，条约机构应以专家身份参加这些讨论，他们表示相信各国会为他们作出此种安排。该政府间进程以这种方式与条约机构互动协作符合条约法和该决议的精神，也将有助于通过所有相关行为体的互动协作确保可持续成果。</w:t>
      </w:r>
    </w:p>
    <w:p w:rsidR="004F2CD1" w:rsidRPr="00724C84" w:rsidRDefault="004F2CD1" w:rsidP="004F2CD1">
      <w:pPr>
        <w:pStyle w:val="SingleTxt"/>
        <w:rPr>
          <w:rFonts w:ascii="SimHei" w:eastAsia="SimHei" w:hint="eastAsia"/>
        </w:rPr>
      </w:pPr>
      <w:r w:rsidRPr="00724C84">
        <w:rPr>
          <w:rFonts w:ascii="SimHei" w:eastAsia="SimHei" w:hint="eastAsia"/>
        </w:rPr>
        <w:t>加强人权条约机构主席会议</w:t>
      </w:r>
    </w:p>
    <w:p w:rsidR="004F2CD1" w:rsidRDefault="004F2CD1" w:rsidP="004F2CD1">
      <w:pPr>
        <w:pStyle w:val="SingleTxt"/>
        <w:rPr>
          <w:rFonts w:hint="eastAsia"/>
        </w:rPr>
      </w:pPr>
      <w:r>
        <w:rPr>
          <w:rFonts w:hint="eastAsia"/>
        </w:rPr>
        <w:t>34</w:t>
      </w:r>
      <w:r w:rsidR="00667043">
        <w:rPr>
          <w:rFonts w:hint="eastAsia"/>
        </w:rPr>
        <w:t>.</w:t>
      </w:r>
      <w:r w:rsidR="00667043">
        <w:rPr>
          <w:rFonts w:hint="eastAsia"/>
        </w:rPr>
        <w:tab/>
      </w:r>
      <w:r>
        <w:rPr>
          <w:rFonts w:hint="eastAsia"/>
        </w:rPr>
        <w:t>主席们重申了他们在休会期间促进代表和协调审议及通过联合声明等共同活动方面先前已被确认的作用，同时指出必须尊重条约机构的自主性和特异性。主席们还再次建议他们应就整个条约机构系统那些共同的、先前已在各委员会内部讨论过的工作方法和程序事项采取措施，而且所有条约机构都将执行这些措施，除非某个委员会后来不认同这些措施。</w:t>
      </w:r>
    </w:p>
    <w:p w:rsidR="004F2CD1" w:rsidRPr="00724C84" w:rsidRDefault="004F2CD1" w:rsidP="004F2CD1">
      <w:pPr>
        <w:pStyle w:val="SingleTxt"/>
        <w:rPr>
          <w:rFonts w:ascii="SimHei" w:eastAsia="SimHei" w:hint="eastAsia"/>
        </w:rPr>
      </w:pPr>
      <w:r w:rsidRPr="00724C84">
        <w:rPr>
          <w:rFonts w:ascii="SimHei" w:eastAsia="SimHei" w:hint="eastAsia"/>
        </w:rPr>
        <w:t>专家的独立性</w:t>
      </w:r>
    </w:p>
    <w:p w:rsidR="004F2CD1" w:rsidRDefault="004F2CD1" w:rsidP="004F2CD1">
      <w:pPr>
        <w:pStyle w:val="SingleTxt"/>
        <w:rPr>
          <w:rFonts w:hint="eastAsia"/>
        </w:rPr>
      </w:pPr>
      <w:r>
        <w:rPr>
          <w:rFonts w:hint="eastAsia"/>
        </w:rPr>
        <w:t>35</w:t>
      </w:r>
      <w:r w:rsidR="00667043">
        <w:rPr>
          <w:rFonts w:hint="eastAsia"/>
        </w:rPr>
        <w:t>.</w:t>
      </w:r>
      <w:r w:rsidR="00667043">
        <w:rPr>
          <w:rFonts w:hint="eastAsia"/>
        </w:rPr>
        <w:tab/>
      </w:r>
      <w:r>
        <w:rPr>
          <w:rFonts w:hint="eastAsia"/>
        </w:rPr>
        <w:t>主席们重申了1997年第八次会议所作必须确保条约机构专家独立性的严正声明(A/52/507，第67至第68段)，该声明在2008年和2009年的第七次和第九次委员会间会议上分别得到重申(A/63/280，附件第42(m)段和A/64/276，附件二，第46(j)段)。主席们特地再次建议，各项人权条约的缔约国不应向条约机构提名或选举其所履行的政治职能或所担任职位与特定条约独立专家的义务不容易调和的人士。</w:t>
      </w:r>
    </w:p>
    <w:p w:rsidR="004F2CD1" w:rsidRPr="00724C84" w:rsidRDefault="004F2CD1" w:rsidP="004F2CD1">
      <w:pPr>
        <w:pStyle w:val="SingleTxt"/>
        <w:rPr>
          <w:rFonts w:ascii="SimHei" w:eastAsia="SimHei" w:hint="eastAsia"/>
        </w:rPr>
      </w:pPr>
      <w:r w:rsidRPr="00724C84">
        <w:rPr>
          <w:rFonts w:ascii="SimHei" w:eastAsia="SimHei" w:hint="eastAsia"/>
        </w:rPr>
        <w:t>条约机构成员独立性和公正性准则</w:t>
      </w:r>
    </w:p>
    <w:p w:rsidR="004F2CD1" w:rsidRDefault="004F2CD1" w:rsidP="004F2CD1">
      <w:pPr>
        <w:pStyle w:val="SingleTxt"/>
        <w:rPr>
          <w:rFonts w:hint="eastAsia"/>
        </w:rPr>
      </w:pPr>
      <w:r>
        <w:rPr>
          <w:rFonts w:hint="eastAsia"/>
        </w:rPr>
        <w:t>36</w:t>
      </w:r>
      <w:r w:rsidR="00667043">
        <w:rPr>
          <w:rFonts w:hint="eastAsia"/>
        </w:rPr>
        <w:t>.</w:t>
      </w:r>
      <w:r w:rsidR="00667043">
        <w:rPr>
          <w:rFonts w:hint="eastAsia"/>
        </w:rPr>
        <w:tab/>
      </w:r>
      <w:r>
        <w:rPr>
          <w:rFonts w:hint="eastAsia"/>
        </w:rPr>
        <w:t>主席们认可了条约机构成员独立性和公正性准则(“亚的斯亚贝巴准则”)。</w:t>
      </w:r>
    </w:p>
    <w:p w:rsidR="004F2CD1" w:rsidRPr="00724C84" w:rsidRDefault="004F2CD1" w:rsidP="004F2CD1">
      <w:pPr>
        <w:pStyle w:val="SingleTxt"/>
        <w:rPr>
          <w:rFonts w:ascii="SimHei" w:eastAsia="SimHei" w:hint="eastAsia"/>
        </w:rPr>
      </w:pPr>
      <w:r w:rsidRPr="00724C84">
        <w:rPr>
          <w:rFonts w:ascii="SimHei" w:eastAsia="SimHei" w:hint="eastAsia"/>
        </w:rPr>
        <w:t>与非洲人权机制、机构和利益攸关方对话</w:t>
      </w:r>
    </w:p>
    <w:p w:rsidR="004F2CD1" w:rsidRDefault="004F2CD1" w:rsidP="004F2CD1">
      <w:pPr>
        <w:pStyle w:val="SingleTxt"/>
        <w:rPr>
          <w:rFonts w:hint="eastAsia"/>
        </w:rPr>
      </w:pPr>
      <w:r>
        <w:rPr>
          <w:rFonts w:hint="eastAsia"/>
        </w:rPr>
        <w:t>37</w:t>
      </w:r>
      <w:r w:rsidR="00667043">
        <w:rPr>
          <w:rFonts w:hint="eastAsia"/>
        </w:rPr>
        <w:t>.</w:t>
      </w:r>
      <w:r w:rsidR="00667043">
        <w:rPr>
          <w:rFonts w:hint="eastAsia"/>
        </w:rPr>
        <w:tab/>
      </w:r>
      <w:r>
        <w:rPr>
          <w:rFonts w:hint="eastAsia"/>
        </w:rPr>
        <w:t>主席们表示赞赏在亚的斯亚贝巴与非洲人权机制、机构和利益攸关方举行的富有成果的对话，并鼓励每一个条约机构适当注意对话产生的联合建议，以期加强与这些区域行为体的合作。</w:t>
      </w:r>
    </w:p>
    <w:p w:rsidR="004F2CD1" w:rsidRPr="00724C84" w:rsidRDefault="004F2CD1" w:rsidP="004F2CD1">
      <w:pPr>
        <w:pStyle w:val="SingleTxt"/>
        <w:rPr>
          <w:rFonts w:ascii="SimHei" w:eastAsia="SimHei" w:hint="eastAsia"/>
        </w:rPr>
      </w:pPr>
      <w:r w:rsidRPr="00724C84">
        <w:rPr>
          <w:rFonts w:ascii="SimHei" w:eastAsia="SimHei" w:hint="eastAsia"/>
        </w:rPr>
        <w:t>利益登记册</w:t>
      </w:r>
    </w:p>
    <w:p w:rsidR="004F2CD1" w:rsidRDefault="004F2CD1" w:rsidP="004F2CD1">
      <w:pPr>
        <w:pStyle w:val="SingleTxt"/>
        <w:rPr>
          <w:rFonts w:hint="eastAsia"/>
        </w:rPr>
      </w:pPr>
      <w:r>
        <w:rPr>
          <w:rFonts w:hint="eastAsia"/>
        </w:rPr>
        <w:t>38</w:t>
      </w:r>
      <w:r w:rsidR="00667043">
        <w:rPr>
          <w:rFonts w:hint="eastAsia"/>
        </w:rPr>
        <w:t>.</w:t>
      </w:r>
      <w:r w:rsidR="00667043">
        <w:rPr>
          <w:rFonts w:hint="eastAsia"/>
        </w:rPr>
        <w:tab/>
      </w:r>
      <w:r>
        <w:rPr>
          <w:rFonts w:hint="eastAsia"/>
        </w:rPr>
        <w:t>主席们建议各条约机构考虑编制一份利益登记册的可能性和可行性并将此议题列入下次会议议程。</w:t>
      </w:r>
    </w:p>
    <w:p w:rsidR="004F2CD1" w:rsidRPr="00724C84" w:rsidRDefault="004F2CD1" w:rsidP="004F2CD1">
      <w:pPr>
        <w:pStyle w:val="SingleTxt"/>
        <w:rPr>
          <w:rFonts w:ascii="SimHei" w:eastAsia="SimHei" w:hint="eastAsia"/>
        </w:rPr>
      </w:pPr>
      <w:r w:rsidRPr="00724C84">
        <w:rPr>
          <w:rFonts w:ascii="SimHei" w:eastAsia="SimHei" w:hint="eastAsia"/>
        </w:rPr>
        <w:t>第二十五次主席会议议程</w:t>
      </w:r>
    </w:p>
    <w:p w:rsidR="004F2CD1" w:rsidRDefault="004F2CD1" w:rsidP="004F2CD1">
      <w:pPr>
        <w:pStyle w:val="SingleTxt"/>
        <w:rPr>
          <w:rFonts w:hint="eastAsia"/>
        </w:rPr>
      </w:pPr>
      <w:r>
        <w:rPr>
          <w:rFonts w:hint="eastAsia"/>
        </w:rPr>
        <w:t>39</w:t>
      </w:r>
      <w:r w:rsidR="00667043">
        <w:rPr>
          <w:rFonts w:hint="eastAsia"/>
        </w:rPr>
        <w:t>.</w:t>
      </w:r>
      <w:r w:rsidR="00667043">
        <w:rPr>
          <w:rFonts w:hint="eastAsia"/>
        </w:rPr>
        <w:tab/>
      </w:r>
      <w:r>
        <w:rPr>
          <w:rFonts w:hint="eastAsia"/>
        </w:rPr>
        <w:t>主席们决定其下一次会议将聚焦于：加强各条约机构的问题，特别是高级专员报告所载建议的执行情况；国家人权机构对条约机构工作的参与；为每一个条约机构编制一份利益登记册的可能性和可行性。</w:t>
      </w:r>
    </w:p>
    <w:p w:rsidR="004F2CD1" w:rsidRPr="00724C84" w:rsidRDefault="004F2CD1" w:rsidP="00724C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00"/>
        <w:ind w:left="1264" w:right="1259" w:hanging="1264"/>
        <w:rPr>
          <w:rFonts w:hint="eastAsia"/>
        </w:rPr>
      </w:pPr>
      <w:r w:rsidRPr="00724C84">
        <w:rPr>
          <w:rFonts w:hint="eastAsia"/>
        </w:rPr>
        <w:t>附件一</w:t>
      </w:r>
    </w:p>
    <w:p w:rsidR="004F2CD1" w:rsidRPr="00724C84" w:rsidRDefault="00724C84" w:rsidP="00724C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00"/>
        <w:ind w:left="1264" w:right="1259" w:hanging="1264"/>
        <w:rPr>
          <w:rFonts w:hint="eastAsia"/>
          <w:spacing w:val="-6"/>
        </w:rPr>
      </w:pPr>
      <w:r w:rsidRPr="00724C84">
        <w:tab/>
      </w:r>
      <w:r w:rsidRPr="00724C84">
        <w:tab/>
      </w:r>
      <w:r w:rsidR="004F2CD1" w:rsidRPr="00724C84">
        <w:rPr>
          <w:rFonts w:hint="eastAsia"/>
          <w:spacing w:val="-6"/>
        </w:rPr>
        <w:t>人权条约机构成员独立性和公正性准则(“亚的斯亚贝巴准则”)</w:t>
      </w:r>
    </w:p>
    <w:p w:rsidR="006D38CE" w:rsidRPr="006D38CE" w:rsidRDefault="006D38CE" w:rsidP="006D38C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sz w:val="10"/>
        </w:rPr>
      </w:pPr>
    </w:p>
    <w:p w:rsidR="004F2CD1" w:rsidRDefault="00724C84" w:rsidP="00724C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00"/>
        <w:ind w:left="1264" w:right="1259" w:hanging="1264"/>
        <w:rPr>
          <w:rFonts w:hint="eastAsia"/>
        </w:rPr>
      </w:pPr>
      <w:r w:rsidRPr="00724C84">
        <w:tab/>
      </w:r>
      <w:r w:rsidR="004F2CD1" w:rsidRPr="00724C84">
        <w:rPr>
          <w:rFonts w:hint="eastAsia"/>
        </w:rPr>
        <w:t>一</w:t>
      </w:r>
      <w:r w:rsidR="00667043" w:rsidRPr="00724C84">
        <w:rPr>
          <w:rFonts w:hint="eastAsia"/>
        </w:rPr>
        <w:t>.</w:t>
      </w:r>
      <w:r w:rsidR="00667043" w:rsidRPr="00724C84">
        <w:rPr>
          <w:rFonts w:hint="eastAsia"/>
        </w:rPr>
        <w:tab/>
      </w:r>
      <w:r w:rsidR="004F2CD1">
        <w:rPr>
          <w:rFonts w:hint="eastAsia"/>
        </w:rPr>
        <w:t>前言</w:t>
      </w:r>
    </w:p>
    <w:p w:rsidR="004F2CD1" w:rsidRDefault="004F2CD1" w:rsidP="004F2CD1">
      <w:pPr>
        <w:pStyle w:val="SingleTxt"/>
        <w:rPr>
          <w:rFonts w:hint="eastAsia"/>
        </w:rPr>
      </w:pPr>
      <w:r>
        <w:rPr>
          <w:rFonts w:hint="eastAsia"/>
        </w:rPr>
        <w:tab/>
      </w:r>
      <w:r w:rsidRPr="006D38CE">
        <w:rPr>
          <w:rFonts w:ascii="KaiTi_GB2312" w:eastAsia="KaiTi_GB2312" w:hint="eastAsia"/>
        </w:rPr>
        <w:t>确认</w:t>
      </w:r>
      <w:r>
        <w:rPr>
          <w:rFonts w:hint="eastAsia"/>
        </w:rPr>
        <w:t>人权条约在确保条约机构成员独立性和公正性方面的重要性，并强调主席们在2012年6月于亚的斯亚贝巴召开的第二十四次主席会议上的共同意志，即说明和加强条约机构在这方面的规定，</w:t>
      </w:r>
    </w:p>
    <w:p w:rsidR="004F2CD1" w:rsidRDefault="004F2CD1" w:rsidP="004F2CD1">
      <w:pPr>
        <w:pStyle w:val="SingleTxt"/>
        <w:rPr>
          <w:rFonts w:hint="eastAsia"/>
        </w:rPr>
      </w:pPr>
      <w:r>
        <w:rPr>
          <w:rFonts w:hint="eastAsia"/>
        </w:rPr>
        <w:tab/>
      </w:r>
      <w:r w:rsidRPr="006D38CE">
        <w:rPr>
          <w:rFonts w:ascii="KaiTi_GB2312" w:eastAsia="KaiTi_GB2312" w:hint="eastAsia"/>
        </w:rPr>
        <w:t>回顾</w:t>
      </w:r>
      <w:r>
        <w:rPr>
          <w:rFonts w:hint="eastAsia"/>
        </w:rPr>
        <w:t>秘书长申明联合国人权条约机构系统是全球捍卫人权斗争史上最伟大的成就之一，而这些机构位于国际人权保护系统的核心，</w:t>
      </w:r>
    </w:p>
    <w:p w:rsidR="004F2CD1" w:rsidRDefault="004F2CD1" w:rsidP="004F2CD1">
      <w:pPr>
        <w:pStyle w:val="SingleTxt"/>
        <w:rPr>
          <w:rFonts w:hint="eastAsia"/>
        </w:rPr>
      </w:pPr>
      <w:r>
        <w:rPr>
          <w:rFonts w:hint="eastAsia"/>
        </w:rPr>
        <w:tab/>
      </w:r>
      <w:r w:rsidRPr="006D38CE">
        <w:rPr>
          <w:rFonts w:ascii="KaiTi_GB2312" w:eastAsia="KaiTi_GB2312" w:hint="eastAsia"/>
        </w:rPr>
        <w:t>注意到</w:t>
      </w:r>
      <w:r>
        <w:rPr>
          <w:rFonts w:hint="eastAsia"/>
        </w:rPr>
        <w:t>联合国人权事务高级专员关于加强联合国人权条约机构系统的报告(A/66/860)，该报告是与所有利益攸关方广泛协商的成果，其中强调指出，条约机构有权决定它们自己的工作方法和议事规则和保障它们各自条约所规定的独立性，</w:t>
      </w:r>
    </w:p>
    <w:p w:rsidR="004F2CD1" w:rsidRDefault="004F2CD1" w:rsidP="004F2CD1">
      <w:pPr>
        <w:pStyle w:val="SingleTxt"/>
        <w:rPr>
          <w:rFonts w:hint="eastAsia"/>
        </w:rPr>
      </w:pPr>
      <w:r>
        <w:rPr>
          <w:rFonts w:hint="eastAsia"/>
        </w:rPr>
        <w:tab/>
      </w:r>
      <w:r w:rsidRPr="006D38CE">
        <w:rPr>
          <w:rFonts w:ascii="KaiTi_GB2312" w:eastAsia="KaiTi_GB2312" w:hint="eastAsia"/>
        </w:rPr>
        <w:t>赞赏地注意到</w:t>
      </w:r>
      <w:r>
        <w:rPr>
          <w:rFonts w:hint="eastAsia"/>
        </w:rPr>
        <w:t>大会也承认了每一个人权条约机构在促进和保护人权和基本自由方面的重要、宝贵和独特的作用及贡献，</w:t>
      </w:r>
    </w:p>
    <w:p w:rsidR="004F2CD1" w:rsidRDefault="004F2CD1" w:rsidP="004F2CD1">
      <w:pPr>
        <w:pStyle w:val="SingleTxt"/>
        <w:rPr>
          <w:rFonts w:hint="eastAsia"/>
        </w:rPr>
      </w:pPr>
      <w:r>
        <w:rPr>
          <w:rFonts w:hint="eastAsia"/>
        </w:rPr>
        <w:tab/>
      </w:r>
      <w:r w:rsidRPr="006D38CE">
        <w:rPr>
          <w:rFonts w:ascii="KaiTi_GB2312" w:eastAsia="KaiTi_GB2312" w:hint="eastAsia"/>
        </w:rPr>
        <w:t>回顾</w:t>
      </w:r>
      <w:r>
        <w:rPr>
          <w:rFonts w:hint="eastAsia"/>
        </w:rPr>
        <w:t>每个条约机构在通过自己议事规则方面的权利和法定权限，</w:t>
      </w:r>
    </w:p>
    <w:p w:rsidR="004F2CD1" w:rsidRDefault="004F2CD1" w:rsidP="00724C84">
      <w:pPr>
        <w:pStyle w:val="SingleTxt"/>
        <w:spacing w:after="240"/>
        <w:rPr>
          <w:rFonts w:hint="eastAsia"/>
        </w:rPr>
      </w:pPr>
      <w:r>
        <w:rPr>
          <w:rFonts w:hint="eastAsia"/>
        </w:rPr>
        <w:t>1</w:t>
      </w:r>
      <w:r w:rsidR="00667043">
        <w:rPr>
          <w:rFonts w:hint="eastAsia"/>
        </w:rPr>
        <w:t>.</w:t>
      </w:r>
      <w:r w:rsidR="00667043">
        <w:rPr>
          <w:rFonts w:hint="eastAsia"/>
        </w:rPr>
        <w:tab/>
      </w:r>
      <w:r>
        <w:rPr>
          <w:rFonts w:hint="eastAsia"/>
        </w:rPr>
        <w:t>联合国条约机构主席们在其第二十四次会议上，根据他们在2011年第二十三次会议上的决定并在与各自委员会协商之后，讨论和认可了条约机构成员独立性和公正性准则(“亚的斯亚贝巴准则”)，并强烈建议各条约机构从速通过该准则，包括以适当方式列入其议事规则。</w:t>
      </w:r>
    </w:p>
    <w:p w:rsidR="004F2CD1" w:rsidRDefault="00724C84" w:rsidP="00724C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rFonts w:hint="eastAsia"/>
        </w:rPr>
      </w:pPr>
      <w:r>
        <w:rPr>
          <w:rFonts w:ascii="Times New Roman"/>
        </w:rPr>
        <w:tab/>
      </w:r>
      <w:r w:rsidR="004F2CD1">
        <w:rPr>
          <w:rFonts w:hint="eastAsia"/>
        </w:rPr>
        <w:t>二.</w:t>
      </w:r>
      <w:r>
        <w:tab/>
      </w:r>
      <w:r w:rsidR="004F2CD1">
        <w:rPr>
          <w:rFonts w:hint="eastAsia"/>
        </w:rPr>
        <w:t>一般原则</w:t>
      </w:r>
    </w:p>
    <w:p w:rsidR="004F2CD1" w:rsidRDefault="004F2CD1" w:rsidP="004F2CD1">
      <w:pPr>
        <w:pStyle w:val="SingleTxt"/>
        <w:rPr>
          <w:rFonts w:hint="eastAsia"/>
        </w:rPr>
      </w:pPr>
      <w:r>
        <w:rPr>
          <w:rFonts w:hint="eastAsia"/>
        </w:rPr>
        <w:t>2</w:t>
      </w:r>
      <w:r w:rsidR="00667043">
        <w:rPr>
          <w:rFonts w:hint="eastAsia"/>
        </w:rPr>
        <w:t>.</w:t>
      </w:r>
      <w:r w:rsidR="00667043">
        <w:rPr>
          <w:rFonts w:hint="eastAsia"/>
        </w:rPr>
        <w:tab/>
      </w:r>
      <w:r>
        <w:rPr>
          <w:rFonts w:hint="eastAsia"/>
        </w:rPr>
        <w:t>人权条约机构成员的独立性和公正性对于他们履行其职责和责任至关重要，并要求他们以个人身份任职。条约机构成员不仅应当独立和公正，而且还应被一个合理观察者视为如此。</w:t>
      </w:r>
    </w:p>
    <w:p w:rsidR="004F2CD1" w:rsidRDefault="004F2CD1" w:rsidP="004F2CD1">
      <w:pPr>
        <w:pStyle w:val="SingleTxt"/>
        <w:rPr>
          <w:rFonts w:hint="eastAsia"/>
        </w:rPr>
      </w:pPr>
      <w:r>
        <w:rPr>
          <w:rFonts w:hint="eastAsia"/>
        </w:rPr>
        <w:t>3</w:t>
      </w:r>
      <w:r w:rsidR="00667043">
        <w:rPr>
          <w:rFonts w:hint="eastAsia"/>
        </w:rPr>
        <w:t>.</w:t>
      </w:r>
      <w:r w:rsidR="00667043">
        <w:rPr>
          <w:rFonts w:hint="eastAsia"/>
        </w:rPr>
        <w:tab/>
      </w:r>
      <w:r>
        <w:rPr>
          <w:rFonts w:hint="eastAsia"/>
        </w:rPr>
        <w:t>实际或感知的利益冲突和对独立性和公正性要求的挑战可能产生于诸多因素，例如成员的国籍、居住地、当前和过去雇佣关系、某组织会籍或关联关系、家庭或社会关系。此外，利益冲突还可能产生于某成员国籍国或居住国的利益关系。因此，条约机构成员不得由于下列因素被视为有实际或感知的利益冲突：种族、民族、宗教、性别、残疾、肤色、血统或核心国际人权条约所界定的任何其他歧视依据。</w:t>
      </w:r>
    </w:p>
    <w:p w:rsidR="004F2CD1" w:rsidRDefault="004F2CD1" w:rsidP="004F2CD1">
      <w:pPr>
        <w:pStyle w:val="SingleTxt"/>
        <w:rPr>
          <w:rFonts w:hint="eastAsia"/>
        </w:rPr>
      </w:pPr>
      <w:r>
        <w:rPr>
          <w:rFonts w:hint="eastAsia"/>
        </w:rPr>
        <w:t>4</w:t>
      </w:r>
      <w:r w:rsidR="00667043">
        <w:rPr>
          <w:rFonts w:hint="eastAsia"/>
        </w:rPr>
        <w:t>.</w:t>
      </w:r>
      <w:r w:rsidR="00667043">
        <w:rPr>
          <w:rFonts w:hint="eastAsia"/>
        </w:rPr>
        <w:tab/>
      </w:r>
      <w:r>
        <w:rPr>
          <w:rFonts w:hint="eastAsia"/>
        </w:rPr>
        <w:t>条约机构成员在相关条约下庄严宣誓时承诺遵循独立性和公正性原则。</w:t>
      </w:r>
    </w:p>
    <w:p w:rsidR="004F2CD1" w:rsidRDefault="004F2CD1" w:rsidP="004F2CD1">
      <w:pPr>
        <w:pStyle w:val="SingleTxt"/>
        <w:rPr>
          <w:rFonts w:hint="eastAsia"/>
        </w:rPr>
      </w:pPr>
      <w:r>
        <w:rPr>
          <w:rFonts w:hint="eastAsia"/>
        </w:rPr>
        <w:t>5</w:t>
      </w:r>
      <w:r w:rsidR="00667043">
        <w:rPr>
          <w:rFonts w:hint="eastAsia"/>
        </w:rPr>
        <w:t>.</w:t>
      </w:r>
      <w:r w:rsidR="00667043">
        <w:rPr>
          <w:rFonts w:hint="eastAsia"/>
        </w:rPr>
        <w:tab/>
      </w:r>
      <w:r>
        <w:rPr>
          <w:rFonts w:hint="eastAsia"/>
        </w:rPr>
        <w:t>独立性原则要求各成员在任职期间除有关条约规定之外不可被罢免。他们不可接受其国籍国或任何其他国家或其机构的任何指导或影响，而且他们不得就其职责的履行寻求或接受任何人的指示。因此，各成员只对自己的良知和相关条约机构负责，而不对他们的国家或任何其他国家负责。</w:t>
      </w:r>
    </w:p>
    <w:p w:rsidR="004F2CD1" w:rsidRDefault="004F2CD1" w:rsidP="004F2CD1">
      <w:pPr>
        <w:pStyle w:val="SingleTxt"/>
        <w:rPr>
          <w:rFonts w:hint="eastAsia"/>
        </w:rPr>
      </w:pPr>
      <w:r>
        <w:rPr>
          <w:rFonts w:hint="eastAsia"/>
        </w:rPr>
        <w:t>6</w:t>
      </w:r>
      <w:r w:rsidR="00667043">
        <w:rPr>
          <w:rFonts w:hint="eastAsia"/>
        </w:rPr>
        <w:t>.</w:t>
      </w:r>
      <w:r w:rsidR="00667043">
        <w:rPr>
          <w:rFonts w:hint="eastAsia"/>
        </w:rPr>
        <w:tab/>
      </w:r>
      <w:r>
        <w:rPr>
          <w:rFonts w:hint="eastAsia"/>
        </w:rPr>
        <w:t>考虑到在每个条约机构中只有数目有限的缔约国的国民担任成员，因此重要的是，某个或某些国家的某个国民当选不应导致或被认为会导致其国民为成员的国家获得更优惠待遇。在这方面，拥有多重国籍的成员应主动向相关条约机构主席和秘书处通报这一情况。拥有多重国籍的成员不得参加对其国籍国的报告的审议或对该国的有关考察或调查。</w:t>
      </w:r>
    </w:p>
    <w:p w:rsidR="004F2CD1" w:rsidRDefault="004F2CD1" w:rsidP="001C4676">
      <w:pPr>
        <w:pStyle w:val="SingleTxt"/>
        <w:spacing w:after="240"/>
        <w:rPr>
          <w:rFonts w:hint="eastAsia"/>
        </w:rPr>
      </w:pPr>
      <w:r>
        <w:rPr>
          <w:rFonts w:hint="eastAsia"/>
        </w:rPr>
        <w:t>7</w:t>
      </w:r>
      <w:r w:rsidR="00667043">
        <w:rPr>
          <w:rFonts w:hint="eastAsia"/>
        </w:rPr>
        <w:t>.</w:t>
      </w:r>
      <w:r w:rsidR="00667043">
        <w:rPr>
          <w:rFonts w:hint="eastAsia"/>
        </w:rPr>
        <w:tab/>
      </w:r>
      <w:r>
        <w:rPr>
          <w:rFonts w:hint="eastAsia"/>
        </w:rPr>
        <w:t>所有成员都应避免在其条约机构工作方面采取任何可能导致或被一个合理观察者视为会导致对一些国家有偏见的行动。特别是，各成员应避免采取任何可能给人以对自己国家或对任何特定国家比对其他国家更加优惠或更不优惠的印象的行动。</w:t>
      </w:r>
    </w:p>
    <w:p w:rsidR="004F2CD1" w:rsidRDefault="001C4676" w:rsidP="001C467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rFonts w:hint="eastAsia"/>
        </w:rPr>
      </w:pPr>
      <w:r>
        <w:tab/>
      </w:r>
      <w:r w:rsidR="004F2CD1">
        <w:rPr>
          <w:rFonts w:hint="eastAsia"/>
        </w:rPr>
        <w:t>三</w:t>
      </w:r>
      <w:r w:rsidR="00667043">
        <w:rPr>
          <w:rFonts w:hint="eastAsia"/>
        </w:rPr>
        <w:t>.</w:t>
      </w:r>
      <w:r w:rsidR="00667043">
        <w:rPr>
          <w:rFonts w:hint="eastAsia"/>
        </w:rPr>
        <w:tab/>
      </w:r>
      <w:r w:rsidR="004F2CD1">
        <w:rPr>
          <w:rFonts w:hint="eastAsia"/>
        </w:rPr>
        <w:t>一般原则的适用</w:t>
      </w:r>
    </w:p>
    <w:p w:rsidR="004F2CD1" w:rsidRDefault="001C4676" w:rsidP="001C46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tab/>
      </w:r>
      <w:r w:rsidR="004F2CD1">
        <w:rPr>
          <w:rFonts w:hint="eastAsia"/>
        </w:rPr>
        <w:t>A.</w:t>
      </w:r>
      <w:r>
        <w:tab/>
      </w:r>
      <w:r w:rsidR="004F2CD1">
        <w:rPr>
          <w:rFonts w:hint="eastAsia"/>
        </w:rPr>
        <w:t>参加对缔约国报告的审议和其他与报告有关的程序</w:t>
      </w:r>
    </w:p>
    <w:p w:rsidR="004F2CD1" w:rsidRDefault="004F2CD1" w:rsidP="004F2CD1">
      <w:pPr>
        <w:pStyle w:val="SingleTxt"/>
        <w:rPr>
          <w:rFonts w:hint="eastAsia"/>
        </w:rPr>
      </w:pPr>
      <w:r>
        <w:rPr>
          <w:rFonts w:hint="eastAsia"/>
        </w:rPr>
        <w:t>8</w:t>
      </w:r>
      <w:r w:rsidR="00667043">
        <w:rPr>
          <w:rFonts w:hint="eastAsia"/>
        </w:rPr>
        <w:t>.</w:t>
      </w:r>
      <w:r w:rsidR="00667043">
        <w:rPr>
          <w:rFonts w:hint="eastAsia"/>
        </w:rPr>
        <w:tab/>
      </w:r>
      <w:r>
        <w:rPr>
          <w:rFonts w:hint="eastAsia"/>
        </w:rPr>
        <w:t>如果一名成员被一个合理观察者视为同某个缔约国有利益冲突，则该成员不得以任何方式参加或影响条约机构或其任何下属机构对该缔约国报告的审议。同一原则也适用于本准则未专门提及的条约机构任何其他程序，例如跟进、预警或紧急行动。</w:t>
      </w:r>
    </w:p>
    <w:p w:rsidR="004F2CD1" w:rsidRDefault="004F2CD1" w:rsidP="004F2CD1">
      <w:pPr>
        <w:pStyle w:val="SingleTxt"/>
        <w:rPr>
          <w:rFonts w:hint="eastAsia"/>
        </w:rPr>
      </w:pPr>
      <w:r>
        <w:rPr>
          <w:rFonts w:hint="eastAsia"/>
        </w:rPr>
        <w:t>9</w:t>
      </w:r>
      <w:r w:rsidR="00667043">
        <w:rPr>
          <w:rFonts w:hint="eastAsia"/>
        </w:rPr>
        <w:t>.</w:t>
      </w:r>
      <w:r w:rsidR="00667043">
        <w:rPr>
          <w:rFonts w:hint="eastAsia"/>
        </w:rPr>
        <w:tab/>
      </w:r>
      <w:r>
        <w:rPr>
          <w:rFonts w:hint="eastAsia"/>
        </w:rPr>
        <w:t>在与某个缔约国存在实际或感知的利益冲突时，一名成员：</w:t>
      </w:r>
    </w:p>
    <w:p w:rsidR="004F2CD1" w:rsidRDefault="001C4676" w:rsidP="004F2CD1">
      <w:pPr>
        <w:pStyle w:val="SingleTxt"/>
        <w:rPr>
          <w:rFonts w:hint="eastAsia"/>
        </w:rPr>
      </w:pPr>
      <w:r>
        <w:tab/>
      </w:r>
      <w:r w:rsidR="004F2CD1">
        <w:rPr>
          <w:rFonts w:hint="eastAsia"/>
        </w:rPr>
        <w:t>(a)</w:t>
      </w:r>
      <w:r>
        <w:tab/>
      </w:r>
      <w:r w:rsidR="004F2CD1">
        <w:rPr>
          <w:rFonts w:hint="eastAsia"/>
        </w:rPr>
        <w:t>不得以任何方式参加或影响条约机构对话、讨论或任何其他公开会议的准备、过程或结果，但可作为观察员出席；</w:t>
      </w:r>
    </w:p>
    <w:p w:rsidR="004F2CD1" w:rsidRDefault="001C4676" w:rsidP="004F2CD1">
      <w:pPr>
        <w:pStyle w:val="SingleTxt"/>
        <w:rPr>
          <w:rFonts w:hint="eastAsia"/>
        </w:rPr>
      </w:pPr>
      <w:r>
        <w:tab/>
      </w:r>
      <w:r w:rsidR="004F2CD1">
        <w:rPr>
          <w:rFonts w:hint="eastAsia"/>
        </w:rPr>
        <w:t>(b)</w:t>
      </w:r>
      <w:r>
        <w:tab/>
      </w:r>
      <w:r w:rsidR="004F2CD1">
        <w:rPr>
          <w:rFonts w:hint="eastAsia"/>
        </w:rPr>
        <w:t>不得出席自己所属条约机构以单一国家为重点与联合国实体、国家人权机构和民间社会组织等其他实体或合作伙伴的非公开协商、通报或会议。不过，该成员可领取相关文件；</w:t>
      </w:r>
    </w:p>
    <w:p w:rsidR="004F2CD1" w:rsidRDefault="001C4676" w:rsidP="004F2CD1">
      <w:pPr>
        <w:pStyle w:val="SingleTxt"/>
        <w:rPr>
          <w:rFonts w:hint="eastAsia"/>
        </w:rPr>
      </w:pPr>
      <w:r>
        <w:tab/>
      </w:r>
      <w:r w:rsidR="004F2CD1">
        <w:rPr>
          <w:rFonts w:hint="eastAsia"/>
        </w:rPr>
        <w:t>(c)</w:t>
      </w:r>
      <w:r>
        <w:tab/>
      </w:r>
      <w:r w:rsidR="004F2CD1">
        <w:rPr>
          <w:rFonts w:hint="eastAsia"/>
        </w:rPr>
        <w:t>不得出席自己所属条约机构为准备、起草、讨论和通过结论性意见或任何其他有关的条约机构文件等目的而举行的讨论、审议或任何其他非公开会议。</w:t>
      </w:r>
    </w:p>
    <w:p w:rsidR="004F2CD1" w:rsidRDefault="001C4676" w:rsidP="0047128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tab/>
      </w:r>
      <w:r w:rsidR="004F2CD1">
        <w:rPr>
          <w:rFonts w:hint="eastAsia"/>
        </w:rPr>
        <w:t>B.</w:t>
      </w:r>
      <w:r>
        <w:tab/>
      </w:r>
      <w:r w:rsidR="004F2CD1">
        <w:rPr>
          <w:rFonts w:hint="eastAsia"/>
        </w:rPr>
        <w:t>参加审议来文</w:t>
      </w:r>
    </w:p>
    <w:p w:rsidR="004F2CD1" w:rsidRDefault="004F2CD1" w:rsidP="004F2CD1">
      <w:pPr>
        <w:pStyle w:val="SingleTxt"/>
        <w:rPr>
          <w:rFonts w:hint="eastAsia"/>
        </w:rPr>
      </w:pPr>
      <w:r>
        <w:rPr>
          <w:rFonts w:hint="eastAsia"/>
        </w:rPr>
        <w:t>10</w:t>
      </w:r>
      <w:r w:rsidR="00667043">
        <w:rPr>
          <w:rFonts w:hint="eastAsia"/>
        </w:rPr>
        <w:t>.</w:t>
      </w:r>
      <w:r w:rsidR="00667043">
        <w:rPr>
          <w:rFonts w:hint="eastAsia"/>
        </w:rPr>
        <w:tab/>
      </w:r>
      <w:r>
        <w:rPr>
          <w:rFonts w:hint="eastAsia"/>
        </w:rPr>
        <w:t>如果存在以下因素，则一名成员不得参加、出席或以任何方式影响对一份来文的审议，无论是在可受理性阶段还是在案情实质阶段：</w:t>
      </w:r>
    </w:p>
    <w:p w:rsidR="004F2CD1" w:rsidRDefault="0047128D" w:rsidP="004F2CD1">
      <w:pPr>
        <w:pStyle w:val="SingleTxt"/>
        <w:rPr>
          <w:rFonts w:hint="eastAsia"/>
        </w:rPr>
      </w:pPr>
      <w:r>
        <w:tab/>
      </w:r>
      <w:r w:rsidR="004F2CD1">
        <w:rPr>
          <w:rFonts w:hint="eastAsia"/>
        </w:rPr>
        <w:t>(a)</w:t>
      </w:r>
      <w:r>
        <w:tab/>
      </w:r>
      <w:r w:rsidR="004F2CD1">
        <w:rPr>
          <w:rFonts w:hint="eastAsia"/>
        </w:rPr>
        <w:t>该成员是其行为受到来文指责的国家的国民，或在该案中有任何个人或专业上的利益冲突，或如果存在任何实际或感知的利益冲突；</w:t>
      </w:r>
    </w:p>
    <w:p w:rsidR="004F2CD1" w:rsidRDefault="0047128D" w:rsidP="004F2CD1">
      <w:pPr>
        <w:pStyle w:val="SingleTxt"/>
        <w:rPr>
          <w:rFonts w:hint="eastAsia"/>
        </w:rPr>
      </w:pPr>
      <w:r>
        <w:tab/>
      </w:r>
      <w:r w:rsidR="004F2CD1">
        <w:rPr>
          <w:rFonts w:hint="eastAsia"/>
        </w:rPr>
        <w:t>(b)</w:t>
      </w:r>
      <w:r>
        <w:tab/>
      </w:r>
      <w:r w:rsidR="004F2CD1">
        <w:rPr>
          <w:rFonts w:hint="eastAsia"/>
        </w:rPr>
        <w:t>该成员以作为其所属条约机构成员以外的任何其他身份参与作出了对来文所涵盖案件的任何决定。</w:t>
      </w:r>
    </w:p>
    <w:p w:rsidR="004F2CD1" w:rsidRDefault="0047128D" w:rsidP="0047128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tab/>
      </w:r>
      <w:r w:rsidR="004F2CD1">
        <w:rPr>
          <w:rFonts w:hint="eastAsia"/>
        </w:rPr>
        <w:t>C.</w:t>
      </w:r>
      <w:r>
        <w:tab/>
      </w:r>
      <w:r w:rsidR="004F2CD1">
        <w:rPr>
          <w:rFonts w:hint="eastAsia"/>
        </w:rPr>
        <w:t>参加国家考察和调查</w:t>
      </w:r>
    </w:p>
    <w:p w:rsidR="004F2CD1" w:rsidRDefault="004F2CD1" w:rsidP="004F2CD1">
      <w:pPr>
        <w:pStyle w:val="SingleTxt"/>
        <w:rPr>
          <w:rFonts w:hint="eastAsia"/>
        </w:rPr>
      </w:pPr>
      <w:r>
        <w:rPr>
          <w:rFonts w:hint="eastAsia"/>
        </w:rPr>
        <w:t>11</w:t>
      </w:r>
      <w:r w:rsidR="00667043">
        <w:rPr>
          <w:rFonts w:hint="eastAsia"/>
        </w:rPr>
        <w:t>.</w:t>
      </w:r>
      <w:r w:rsidR="00667043">
        <w:rPr>
          <w:rFonts w:hint="eastAsia"/>
        </w:rPr>
        <w:tab/>
      </w:r>
      <w:r>
        <w:rPr>
          <w:rFonts w:hint="eastAsia"/>
        </w:rPr>
        <w:t>如果存在任何实际或感知的利益冲突，则一名成员不得参加准备或实施对一个国家的考察或调查或其后续行动或对随后报告的审议。</w:t>
      </w:r>
    </w:p>
    <w:p w:rsidR="004F2CD1" w:rsidRDefault="0047128D" w:rsidP="0047128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tab/>
      </w:r>
      <w:r w:rsidR="004F2CD1">
        <w:rPr>
          <w:rFonts w:hint="eastAsia"/>
        </w:rPr>
        <w:t>D.</w:t>
      </w:r>
      <w:r>
        <w:tab/>
      </w:r>
      <w:r w:rsidR="004F2CD1">
        <w:rPr>
          <w:rFonts w:hint="eastAsia"/>
        </w:rPr>
        <w:t>与各国的关系</w:t>
      </w:r>
    </w:p>
    <w:p w:rsidR="004F2CD1" w:rsidRDefault="004F2CD1" w:rsidP="004F2CD1">
      <w:pPr>
        <w:pStyle w:val="SingleTxt"/>
        <w:rPr>
          <w:rFonts w:hint="eastAsia"/>
        </w:rPr>
      </w:pPr>
      <w:r>
        <w:rPr>
          <w:rFonts w:hint="eastAsia"/>
        </w:rPr>
        <w:t>12</w:t>
      </w:r>
      <w:r w:rsidR="00667043">
        <w:rPr>
          <w:rFonts w:hint="eastAsia"/>
        </w:rPr>
        <w:t>.</w:t>
      </w:r>
      <w:r w:rsidR="00667043">
        <w:rPr>
          <w:rFonts w:hint="eastAsia"/>
        </w:rPr>
        <w:tab/>
      </w:r>
      <w:r>
        <w:rPr>
          <w:rFonts w:hint="eastAsia"/>
        </w:rPr>
        <w:t>条约机构成员的独立性和公正性会受到他们与国家行政部门相关关系的政治性质损害。因此，条约机构成员应避免参加与相关条约所规定独立专家的义务和责任不符或被一个合理观察者视为不符的聚会或活动。</w:t>
      </w:r>
    </w:p>
    <w:p w:rsidR="004F2CD1" w:rsidRDefault="004F2CD1" w:rsidP="004F2CD1">
      <w:pPr>
        <w:pStyle w:val="SingleTxt"/>
        <w:rPr>
          <w:rFonts w:hint="eastAsia"/>
        </w:rPr>
      </w:pPr>
      <w:r>
        <w:rPr>
          <w:rFonts w:hint="eastAsia"/>
        </w:rPr>
        <w:t>13</w:t>
      </w:r>
      <w:r w:rsidR="00667043">
        <w:rPr>
          <w:rFonts w:hint="eastAsia"/>
        </w:rPr>
        <w:t>.</w:t>
      </w:r>
      <w:r w:rsidR="00667043">
        <w:rPr>
          <w:rFonts w:hint="eastAsia"/>
        </w:rPr>
        <w:tab/>
      </w:r>
      <w:r>
        <w:rPr>
          <w:rFonts w:hint="eastAsia"/>
        </w:rPr>
        <w:t>在</w:t>
      </w:r>
      <w:r w:rsidRPr="006D38CE">
        <w:rPr>
          <w:rFonts w:hint="eastAsia"/>
          <w:spacing w:val="-2"/>
        </w:rPr>
        <w:t>事关向他们所任职条约机构报告的进程方面或在有可能由他们所属条约机构审议的任何其他事项中，条约机构成员在担任任何国家的咨询人或顾问时，都应采取一切必要措施确保他们没有、而且在一个合理观察者看来也没有利益冲突。</w:t>
      </w:r>
    </w:p>
    <w:p w:rsidR="004F2CD1" w:rsidRDefault="0047128D" w:rsidP="0047128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tab/>
      </w:r>
      <w:r w:rsidR="004F2CD1">
        <w:rPr>
          <w:rFonts w:hint="eastAsia"/>
        </w:rPr>
        <w:t>E.</w:t>
      </w:r>
      <w:r>
        <w:tab/>
      </w:r>
      <w:r w:rsidR="004F2CD1">
        <w:rPr>
          <w:rFonts w:hint="eastAsia"/>
        </w:rPr>
        <w:t>可能引起利益冲突局面的其他情况</w:t>
      </w:r>
    </w:p>
    <w:p w:rsidR="004F2CD1" w:rsidRDefault="004F2CD1" w:rsidP="004F2CD1">
      <w:pPr>
        <w:pStyle w:val="SingleTxt"/>
        <w:rPr>
          <w:rFonts w:hint="eastAsia"/>
        </w:rPr>
      </w:pPr>
      <w:r>
        <w:rPr>
          <w:rFonts w:hint="eastAsia"/>
        </w:rPr>
        <w:t>14</w:t>
      </w:r>
      <w:r w:rsidR="00667043">
        <w:rPr>
          <w:rFonts w:hint="eastAsia"/>
        </w:rPr>
        <w:t>.</w:t>
      </w:r>
      <w:r w:rsidR="00667043">
        <w:rPr>
          <w:rFonts w:hint="eastAsia"/>
        </w:rPr>
        <w:tab/>
      </w:r>
      <w:r>
        <w:rPr>
          <w:rFonts w:hint="eastAsia"/>
        </w:rPr>
        <w:t>在可能引起与一个条约机构成员任务规定固有职责的实际或感知的利益冲突的任何组织或实体中拥有或担任决策职位的个人，在需要时不得从事与对独立性和公正性的感知看来不易调和的任何职能或活动。这种组织或实体可以包括私营公司或实体、民间社会组织、学术机构或与国家有关的组织。</w:t>
      </w:r>
    </w:p>
    <w:p w:rsidR="004F2CD1" w:rsidRDefault="0047128D" w:rsidP="0047128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tab/>
      </w:r>
      <w:r w:rsidR="004F2CD1">
        <w:rPr>
          <w:rFonts w:hint="eastAsia"/>
        </w:rPr>
        <w:t>F.</w:t>
      </w:r>
      <w:r>
        <w:tab/>
      </w:r>
      <w:r w:rsidR="004F2CD1">
        <w:rPr>
          <w:rFonts w:hint="eastAsia"/>
        </w:rPr>
        <w:t>参加其他人权活动</w:t>
      </w:r>
    </w:p>
    <w:p w:rsidR="004F2CD1" w:rsidRDefault="004F2CD1" w:rsidP="004F2CD1">
      <w:pPr>
        <w:pStyle w:val="SingleTxt"/>
        <w:rPr>
          <w:rFonts w:hint="eastAsia"/>
        </w:rPr>
      </w:pPr>
      <w:r>
        <w:rPr>
          <w:rFonts w:hint="eastAsia"/>
        </w:rPr>
        <w:t>15</w:t>
      </w:r>
      <w:r w:rsidR="00667043">
        <w:rPr>
          <w:rFonts w:hint="eastAsia"/>
        </w:rPr>
        <w:t>.</w:t>
      </w:r>
      <w:r w:rsidR="00667043">
        <w:rPr>
          <w:rFonts w:hint="eastAsia"/>
        </w:rPr>
        <w:tab/>
      </w:r>
      <w:r>
        <w:rPr>
          <w:rFonts w:hint="eastAsia"/>
        </w:rPr>
        <w:t>当条约机构成员参加政府间组织的专题小组讨论会、培训课程和研讨会等其他人权活动时，除非条约机构对其有明确授权，否则他们应说明他们所提看法完全为个人意见，而不是相关条约机构的观点。这同样适用于各国、民间社会组织和国家人权机构主办的会议。</w:t>
      </w:r>
    </w:p>
    <w:p w:rsidR="004F2CD1" w:rsidRDefault="0047128D" w:rsidP="0047128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tab/>
      </w:r>
      <w:r w:rsidR="004F2CD1">
        <w:rPr>
          <w:rFonts w:hint="eastAsia"/>
        </w:rPr>
        <w:t>G.</w:t>
      </w:r>
      <w:r>
        <w:tab/>
      </w:r>
      <w:r w:rsidR="004F2CD1">
        <w:rPr>
          <w:rFonts w:hint="eastAsia"/>
        </w:rPr>
        <w:t>问责</w:t>
      </w:r>
    </w:p>
    <w:p w:rsidR="004F2CD1" w:rsidRDefault="004F2CD1" w:rsidP="004F2CD1">
      <w:pPr>
        <w:pStyle w:val="SingleTxt"/>
        <w:rPr>
          <w:rFonts w:hint="eastAsia"/>
        </w:rPr>
      </w:pPr>
      <w:r>
        <w:rPr>
          <w:rFonts w:hint="eastAsia"/>
        </w:rPr>
        <w:t>16</w:t>
      </w:r>
      <w:r w:rsidR="00667043">
        <w:rPr>
          <w:rFonts w:hint="eastAsia"/>
        </w:rPr>
        <w:t>.</w:t>
      </w:r>
      <w:r w:rsidR="00667043">
        <w:rPr>
          <w:rFonts w:hint="eastAsia"/>
        </w:rPr>
        <w:tab/>
      </w:r>
      <w:r>
        <w:rPr>
          <w:rFonts w:hint="eastAsia"/>
        </w:rPr>
        <w:t>遵守上述准则首先是每个条约机构成员的个人责任及良知。如果某个成员出于任何原因认为自己正面临着潜在的利益冲突，就应立即通知有关条约机构的主席。此外，在必要时，相关条约机构主席有责任根据情况需要提醒个别成员注意本准则内容。最终，相关委员会作为一个整体应采取被认为必要的任何措施保障其成员独立性和公正性的要求得到遵守。</w:t>
      </w:r>
    </w:p>
    <w:p w:rsidR="004F2CD1" w:rsidRDefault="004F2CD1" w:rsidP="004F2CD1">
      <w:pPr>
        <w:pStyle w:val="SingleTxt"/>
      </w:pPr>
    </w:p>
    <w:p w:rsidR="004F2CD1" w:rsidRPr="0047128D" w:rsidRDefault="0047128D" w:rsidP="0047128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br w:type="page"/>
      </w:r>
      <w:r w:rsidR="004F2CD1" w:rsidRPr="0047128D">
        <w:rPr>
          <w:rFonts w:hint="eastAsia"/>
        </w:rPr>
        <w:t>附件二</w:t>
      </w:r>
    </w:p>
    <w:p w:rsidR="004F2CD1" w:rsidRDefault="0047128D" w:rsidP="0047128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47128D">
        <w:tab/>
      </w:r>
      <w:r w:rsidRPr="0047128D">
        <w:tab/>
      </w:r>
      <w:r w:rsidR="004F2CD1" w:rsidRPr="0047128D">
        <w:rPr>
          <w:rFonts w:hint="eastAsia"/>
        </w:rPr>
        <w:t>联合国人权条约机构主席们与非洲人权机制关于缔约国报告程序及个人</w:t>
      </w:r>
      <w:r w:rsidR="004F2CD1">
        <w:rPr>
          <w:rFonts w:hint="eastAsia"/>
        </w:rPr>
        <w:t>来文的对话</w:t>
      </w:r>
    </w:p>
    <w:p w:rsidR="004F2CD1" w:rsidRPr="0047128D" w:rsidRDefault="0047128D" w:rsidP="0047128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rPr>
          <w:rFonts w:ascii="Times New Roman"/>
        </w:rPr>
        <w:tab/>
      </w:r>
      <w:r>
        <w:rPr>
          <w:rFonts w:ascii="Times New Roman"/>
        </w:rPr>
        <w:tab/>
      </w:r>
      <w:r w:rsidR="004F2CD1" w:rsidRPr="0047128D">
        <w:rPr>
          <w:rFonts w:hint="eastAsia"/>
        </w:rPr>
        <w:t>关于加强这两个人权系统之间以及与利益攸关方合作的建议</w:t>
      </w:r>
    </w:p>
    <w:p w:rsidR="004F2CD1" w:rsidRDefault="004F2CD1" w:rsidP="004F2CD1">
      <w:pPr>
        <w:pStyle w:val="SingleTxt"/>
        <w:rPr>
          <w:rFonts w:hint="eastAsia"/>
        </w:rPr>
      </w:pPr>
      <w:r>
        <w:rPr>
          <w:rFonts w:hint="eastAsia"/>
        </w:rPr>
        <w:tab/>
        <w:t>与会者注意到：题为“2005年世界首脑会议成果文件”的大会第60/1号决议，各会员国在该决议中商定与非洲联盟共同制订并实施一项能力建设十年计划；题为“加强联合国-非盟合作：非洲联盟能力建设十年方案框架”的声明(A/61/630，附件)，该声明于2006年11月16日由非洲联盟委员会主席和联合国秘书长签署；联合国人权理事会第12/15号和第18/14号决议，其中重申区域安排在促进和保护人权方面发挥着重要作用而且应加强国际人权文书中所载普遍人权标准；联合国人权事务高级专员与非洲联盟委员会之间旨在进一步加强这两个实体之间合作的谅解备忘录。</w:t>
      </w:r>
    </w:p>
    <w:p w:rsidR="004F2CD1" w:rsidRDefault="004F2CD1" w:rsidP="004F2CD1">
      <w:pPr>
        <w:pStyle w:val="SingleTxt"/>
        <w:rPr>
          <w:rFonts w:hint="eastAsia"/>
        </w:rPr>
      </w:pPr>
      <w:r>
        <w:rPr>
          <w:rFonts w:hint="eastAsia"/>
        </w:rPr>
        <w:tab/>
        <w:t>与会者强调必须认识到联合国人权条约机构系统与非洲人权机制在促进和保护人权标准、尤其是在国家一级执行方面的互补性。与会者一致同意关于加强联合国条约机构与非洲机制在交流信息和提高认识、审议缔约国报告和个人来文以及促进执行各项条约方面加强协作的以下建议：</w:t>
      </w:r>
    </w:p>
    <w:p w:rsidR="004F2CD1" w:rsidRPr="0047128D" w:rsidRDefault="004F2CD1" w:rsidP="004F2CD1">
      <w:pPr>
        <w:pStyle w:val="SingleTxt"/>
        <w:rPr>
          <w:rFonts w:ascii="SimHei" w:eastAsia="SimHei" w:hint="eastAsia"/>
        </w:rPr>
      </w:pPr>
      <w:r w:rsidRPr="0047128D">
        <w:rPr>
          <w:rFonts w:ascii="SimHei" w:eastAsia="SimHei" w:hint="eastAsia"/>
        </w:rPr>
        <w:t>一般建议</w:t>
      </w:r>
    </w:p>
    <w:p w:rsidR="004F2CD1" w:rsidRDefault="004F2CD1" w:rsidP="0047128D">
      <w:pPr>
        <w:pStyle w:val="SingleTxt"/>
        <w:spacing w:line="332" w:lineRule="exact"/>
        <w:rPr>
          <w:rFonts w:hint="eastAsia"/>
        </w:rPr>
      </w:pPr>
      <w:r>
        <w:rPr>
          <w:rFonts w:hint="eastAsia"/>
        </w:rPr>
        <w:t>1</w:t>
      </w:r>
      <w:r w:rsidR="00667043">
        <w:rPr>
          <w:rFonts w:hint="eastAsia"/>
        </w:rPr>
        <w:t>.</w:t>
      </w:r>
      <w:r w:rsidR="00667043">
        <w:rPr>
          <w:rFonts w:hint="eastAsia"/>
        </w:rPr>
        <w:tab/>
      </w:r>
      <w:r>
        <w:rPr>
          <w:rFonts w:hint="eastAsia"/>
        </w:rPr>
        <w:t>联合国条约机构与非洲人权机制之间定期会晤和协商，具体包括：利用现代技术；非洲机制代表出席条约机构主席年度会议和条约机构届会；条约机构成员出席非洲委员会届会以及其他非洲机制相关会议，包括区域和次区域法院和其他机构的定期会议；</w:t>
      </w:r>
    </w:p>
    <w:p w:rsidR="004F2CD1" w:rsidRDefault="004F2CD1" w:rsidP="0047128D">
      <w:pPr>
        <w:pStyle w:val="SingleTxt"/>
        <w:spacing w:line="332" w:lineRule="exact"/>
        <w:rPr>
          <w:rFonts w:hint="eastAsia"/>
        </w:rPr>
      </w:pPr>
      <w:r>
        <w:rPr>
          <w:rFonts w:hint="eastAsia"/>
        </w:rPr>
        <w:t>2</w:t>
      </w:r>
      <w:r w:rsidR="00667043">
        <w:rPr>
          <w:rFonts w:hint="eastAsia"/>
        </w:rPr>
        <w:t>.</w:t>
      </w:r>
      <w:r w:rsidR="00667043">
        <w:rPr>
          <w:rFonts w:hint="eastAsia"/>
        </w:rPr>
        <w:tab/>
      </w:r>
      <w:r>
        <w:rPr>
          <w:rFonts w:hint="eastAsia"/>
        </w:rPr>
        <w:t>加强两个系统中任务规定相似机制之间定期交流和可能的联合会议形式的合作，例如：非洲儿童权利与福利问题专家委员会同联合国儿童权利委员会；非洲人权和人民权利委员会经济、社会及文化权利问题工作组与联合国经济、社会及文化权利委员会；非洲防止酷刑委员会与联合国禁止酷刑委员会及防范酷刑和其他残忍、不人道或有辱人格待遇或处罚小组委员会；非洲老年人和残疾人权利问题工作组同联合国残疾人权利委员会；</w:t>
      </w:r>
    </w:p>
    <w:p w:rsidR="004F2CD1" w:rsidRDefault="004F2CD1" w:rsidP="0047128D">
      <w:pPr>
        <w:pStyle w:val="SingleTxt"/>
        <w:spacing w:line="332" w:lineRule="exact"/>
        <w:rPr>
          <w:rFonts w:hint="eastAsia"/>
        </w:rPr>
      </w:pPr>
      <w:r>
        <w:rPr>
          <w:rFonts w:hint="eastAsia"/>
        </w:rPr>
        <w:t>3</w:t>
      </w:r>
      <w:r w:rsidR="00667043">
        <w:rPr>
          <w:rFonts w:hint="eastAsia"/>
        </w:rPr>
        <w:t>.</w:t>
      </w:r>
      <w:r w:rsidR="00667043">
        <w:rPr>
          <w:rFonts w:hint="eastAsia"/>
        </w:rPr>
        <w:tab/>
      </w:r>
      <w:r>
        <w:rPr>
          <w:rFonts w:hint="eastAsia"/>
        </w:rPr>
        <w:t>非洲人权机制代表参加联合国条约机构组织或召集的活动，反之亦然。同样，还要参加专题讨论，包括在起草一般性评论/建议的背景中参加这种讨论；</w:t>
      </w:r>
    </w:p>
    <w:p w:rsidR="004F2CD1" w:rsidRDefault="004F2CD1" w:rsidP="0047128D">
      <w:pPr>
        <w:pStyle w:val="SingleTxt"/>
        <w:spacing w:line="332" w:lineRule="exact"/>
        <w:rPr>
          <w:rFonts w:hint="eastAsia"/>
        </w:rPr>
      </w:pPr>
      <w:r>
        <w:rPr>
          <w:rFonts w:hint="eastAsia"/>
        </w:rPr>
        <w:t>4</w:t>
      </w:r>
      <w:r w:rsidR="00667043">
        <w:rPr>
          <w:rFonts w:hint="eastAsia"/>
        </w:rPr>
        <w:t>.</w:t>
      </w:r>
      <w:r w:rsidR="00667043">
        <w:rPr>
          <w:rFonts w:hint="eastAsia"/>
        </w:rPr>
        <w:tab/>
      </w:r>
      <w:r w:rsidRPr="006D38CE">
        <w:rPr>
          <w:rFonts w:hint="eastAsia"/>
          <w:spacing w:val="-3"/>
        </w:rPr>
        <w:t>共同组织提高认识的活动，内容包括共同关心的问题，以及联合努力开展宣传，推动批准两个系统下的人权条约及任择议定书和及时向各自监督机构提交报告；</w:t>
      </w:r>
    </w:p>
    <w:p w:rsidR="004F2CD1" w:rsidRDefault="004F2CD1" w:rsidP="0047128D">
      <w:pPr>
        <w:pStyle w:val="SingleTxt"/>
        <w:spacing w:line="328" w:lineRule="exact"/>
        <w:rPr>
          <w:rFonts w:hint="eastAsia"/>
        </w:rPr>
      </w:pPr>
      <w:r>
        <w:rPr>
          <w:rFonts w:hint="eastAsia"/>
        </w:rPr>
        <w:t>5</w:t>
      </w:r>
      <w:r w:rsidR="00667043">
        <w:rPr>
          <w:rFonts w:hint="eastAsia"/>
        </w:rPr>
        <w:t>.</w:t>
      </w:r>
      <w:r w:rsidR="00667043">
        <w:rPr>
          <w:rFonts w:hint="eastAsia"/>
        </w:rPr>
        <w:tab/>
      </w:r>
      <w:r>
        <w:rPr>
          <w:rFonts w:hint="eastAsia"/>
        </w:rPr>
        <w:t>联合国条约机构同非洲机制之间定期和系统地交流相关信息，以确定两个系统中人权机制可以相互配合的领域。广泛传播现有信息工具，例如关于联合国条约机构产出和活动的定期更新和通讯、两个系统制作的判例报告和非洲委员会的视频目录；</w:t>
      </w:r>
    </w:p>
    <w:p w:rsidR="004F2CD1" w:rsidRDefault="004F2CD1" w:rsidP="0047128D">
      <w:pPr>
        <w:pStyle w:val="SingleTxt"/>
        <w:spacing w:line="328" w:lineRule="exact"/>
        <w:rPr>
          <w:rFonts w:hint="eastAsia"/>
        </w:rPr>
      </w:pPr>
      <w:r>
        <w:rPr>
          <w:rFonts w:hint="eastAsia"/>
        </w:rPr>
        <w:t>6</w:t>
      </w:r>
      <w:r w:rsidR="00667043">
        <w:rPr>
          <w:rFonts w:hint="eastAsia"/>
        </w:rPr>
        <w:t>.</w:t>
      </w:r>
      <w:r w:rsidR="00667043">
        <w:rPr>
          <w:rFonts w:hint="eastAsia"/>
        </w:rPr>
        <w:tab/>
      </w:r>
      <w:r>
        <w:rPr>
          <w:rFonts w:hint="eastAsia"/>
        </w:rPr>
        <w:t>就共同关心问题发表联合声明，包括在国际或区域人权主题日背景中发表这种声明；</w:t>
      </w:r>
    </w:p>
    <w:p w:rsidR="004F2CD1" w:rsidRDefault="004F2CD1" w:rsidP="004F2CD1">
      <w:pPr>
        <w:pStyle w:val="SingleTxt"/>
        <w:rPr>
          <w:rFonts w:hint="eastAsia"/>
        </w:rPr>
      </w:pPr>
      <w:r>
        <w:rPr>
          <w:rFonts w:hint="eastAsia"/>
        </w:rPr>
        <w:t>7</w:t>
      </w:r>
      <w:r w:rsidR="00667043">
        <w:rPr>
          <w:rFonts w:hint="eastAsia"/>
        </w:rPr>
        <w:t>.</w:t>
      </w:r>
      <w:r w:rsidR="00667043">
        <w:rPr>
          <w:rFonts w:hint="eastAsia"/>
        </w:rPr>
        <w:tab/>
      </w:r>
      <w:r>
        <w:rPr>
          <w:rFonts w:hint="eastAsia"/>
        </w:rPr>
        <w:t>开展联合培训活动以提高认识和建设这两个系统下利益攸关方的能力。促进更广泛地利用世界人权索引或类似的网上工具及数字视盘，以进一步加强联合国条约机构系统所制作信息的可获取性和易查阅性；</w:t>
      </w:r>
    </w:p>
    <w:p w:rsidR="004F2CD1" w:rsidRDefault="004F2CD1" w:rsidP="004F2CD1">
      <w:pPr>
        <w:pStyle w:val="SingleTxt"/>
        <w:rPr>
          <w:rFonts w:hint="eastAsia"/>
        </w:rPr>
      </w:pPr>
      <w:r>
        <w:rPr>
          <w:rFonts w:hint="eastAsia"/>
        </w:rPr>
        <w:t>8</w:t>
      </w:r>
      <w:r w:rsidR="00667043">
        <w:rPr>
          <w:rFonts w:hint="eastAsia"/>
        </w:rPr>
        <w:t>.</w:t>
      </w:r>
      <w:r w:rsidR="00667043">
        <w:rPr>
          <w:rFonts w:hint="eastAsia"/>
        </w:rPr>
        <w:tab/>
      </w:r>
      <w:r w:rsidRPr="006D38CE">
        <w:rPr>
          <w:rFonts w:hint="eastAsia"/>
          <w:spacing w:val="-4"/>
        </w:rPr>
        <w:t>在每个国际和区域机制内任命协调人以保持与另一系统的经常性互动及合作；</w:t>
      </w:r>
    </w:p>
    <w:p w:rsidR="004F2CD1" w:rsidRDefault="004F2CD1" w:rsidP="004F2CD1">
      <w:pPr>
        <w:pStyle w:val="SingleTxt"/>
        <w:rPr>
          <w:rFonts w:hint="eastAsia"/>
        </w:rPr>
      </w:pPr>
      <w:r>
        <w:rPr>
          <w:rFonts w:hint="eastAsia"/>
        </w:rPr>
        <w:t>9</w:t>
      </w:r>
      <w:r w:rsidR="00667043">
        <w:rPr>
          <w:rFonts w:hint="eastAsia"/>
        </w:rPr>
        <w:t>.</w:t>
      </w:r>
      <w:r w:rsidR="00667043">
        <w:rPr>
          <w:rFonts w:hint="eastAsia"/>
        </w:rPr>
        <w:tab/>
      </w:r>
      <w:r>
        <w:rPr>
          <w:rFonts w:hint="eastAsia"/>
        </w:rPr>
        <w:t>就各种国际和区域机制对工作人员进行定期培训，并在两个系统之间展开人员交流。交换为联合国条约机构和非洲人权机制提供实务支持的秘书处人员配置团队名单以及地区协调人和人权事务高级专员办事处人权条约司内部区域机制协调人的名单以及其他信息材料，以促进岗位交流和协调；</w:t>
      </w:r>
    </w:p>
    <w:p w:rsidR="004F2CD1" w:rsidRPr="0047128D" w:rsidRDefault="004F2CD1" w:rsidP="004F2CD1">
      <w:pPr>
        <w:pStyle w:val="SingleTxt"/>
        <w:rPr>
          <w:rFonts w:ascii="SimHei" w:eastAsia="SimHei" w:hint="eastAsia"/>
        </w:rPr>
      </w:pPr>
      <w:r w:rsidRPr="0047128D">
        <w:rPr>
          <w:rFonts w:ascii="SimHei" w:eastAsia="SimHei" w:hint="eastAsia"/>
        </w:rPr>
        <w:t>与报告程序有关的建议</w:t>
      </w:r>
    </w:p>
    <w:p w:rsidR="004F2CD1" w:rsidRDefault="004F2CD1" w:rsidP="004F2CD1">
      <w:pPr>
        <w:pStyle w:val="SingleTxt"/>
        <w:rPr>
          <w:rFonts w:hint="eastAsia"/>
        </w:rPr>
      </w:pPr>
      <w:r>
        <w:rPr>
          <w:rFonts w:hint="eastAsia"/>
        </w:rPr>
        <w:t>10</w:t>
      </w:r>
      <w:r w:rsidR="00667043">
        <w:rPr>
          <w:rFonts w:hint="eastAsia"/>
        </w:rPr>
        <w:t>.</w:t>
      </w:r>
      <w:r w:rsidR="00667043">
        <w:rPr>
          <w:rFonts w:hint="eastAsia"/>
        </w:rPr>
        <w:tab/>
      </w:r>
      <w:r>
        <w:rPr>
          <w:rFonts w:hint="eastAsia"/>
        </w:rPr>
        <w:t>联合国条约机构和有报告程序的非洲人权机制在安排届会时间表之前及早相互交流并相互提供被审议国家的名单；</w:t>
      </w:r>
    </w:p>
    <w:p w:rsidR="004F2CD1" w:rsidRDefault="004F2CD1" w:rsidP="004F2CD1">
      <w:pPr>
        <w:pStyle w:val="SingleTxt"/>
        <w:rPr>
          <w:rFonts w:hint="eastAsia"/>
        </w:rPr>
      </w:pPr>
      <w:r>
        <w:rPr>
          <w:rFonts w:hint="eastAsia"/>
        </w:rPr>
        <w:t>11</w:t>
      </w:r>
      <w:r w:rsidR="00667043">
        <w:rPr>
          <w:rFonts w:hint="eastAsia"/>
        </w:rPr>
        <w:t>.</w:t>
      </w:r>
      <w:r w:rsidR="00667043">
        <w:rPr>
          <w:rFonts w:hint="eastAsia"/>
        </w:rPr>
        <w:tab/>
      </w:r>
      <w:r>
        <w:rPr>
          <w:rFonts w:hint="eastAsia"/>
        </w:rPr>
        <w:t>两个系统的国家协调人和国家报告员之间开展系统交流，包括分享各自结论性意见、以国家为基础的建议和执行情况，如果有的话，作为审议一个国家之前的背景资料；</w:t>
      </w:r>
    </w:p>
    <w:p w:rsidR="004F2CD1" w:rsidRDefault="004F2CD1" w:rsidP="004F2CD1">
      <w:pPr>
        <w:pStyle w:val="SingleTxt"/>
        <w:rPr>
          <w:rFonts w:hint="eastAsia"/>
        </w:rPr>
      </w:pPr>
      <w:r>
        <w:rPr>
          <w:rFonts w:hint="eastAsia"/>
        </w:rPr>
        <w:t>12</w:t>
      </w:r>
      <w:r w:rsidR="00667043">
        <w:rPr>
          <w:rFonts w:hint="eastAsia"/>
        </w:rPr>
        <w:t>.</w:t>
      </w:r>
      <w:r w:rsidR="00667043">
        <w:rPr>
          <w:rFonts w:hint="eastAsia"/>
        </w:rPr>
        <w:tab/>
      </w:r>
      <w:r>
        <w:rPr>
          <w:rFonts w:hint="eastAsia"/>
        </w:rPr>
        <w:t>联合国条约机构在审查该区域缔约国报告时加强使用区域文书、政策和行动及其影响，反之亦然，包括相互参照各自的建议，例如在认为相关时在各自结论性意见和其他产出中将其用作参考点或基准；</w:t>
      </w:r>
    </w:p>
    <w:p w:rsidR="004F2CD1" w:rsidRDefault="004F2CD1" w:rsidP="004F2CD1">
      <w:pPr>
        <w:pStyle w:val="SingleTxt"/>
        <w:rPr>
          <w:rFonts w:hint="eastAsia"/>
        </w:rPr>
      </w:pPr>
      <w:r>
        <w:rPr>
          <w:rFonts w:hint="eastAsia"/>
        </w:rPr>
        <w:t>13</w:t>
      </w:r>
      <w:r w:rsidR="00667043">
        <w:rPr>
          <w:rFonts w:hint="eastAsia"/>
        </w:rPr>
        <w:t>.</w:t>
      </w:r>
      <w:r w:rsidR="00667043">
        <w:rPr>
          <w:rFonts w:hint="eastAsia"/>
        </w:rPr>
        <w:tab/>
      </w:r>
      <w:r>
        <w:rPr>
          <w:rFonts w:hint="eastAsia"/>
        </w:rPr>
        <w:t>加强两个系统之间的合作，以确保相互跟进国别建议的执行情况，具体包括共享良好做法和组织关于后续行动的联合研讨会；</w:t>
      </w:r>
    </w:p>
    <w:p w:rsidR="004F2CD1" w:rsidRPr="0047128D" w:rsidRDefault="004F2CD1" w:rsidP="004F2CD1">
      <w:pPr>
        <w:pStyle w:val="SingleTxt"/>
        <w:rPr>
          <w:rFonts w:ascii="SimHei" w:eastAsia="SimHei" w:hint="eastAsia"/>
        </w:rPr>
      </w:pPr>
      <w:r w:rsidRPr="0047128D">
        <w:rPr>
          <w:rFonts w:ascii="SimHei" w:eastAsia="SimHei" w:hint="eastAsia"/>
        </w:rPr>
        <w:t>与个人来文有关的建议</w:t>
      </w:r>
    </w:p>
    <w:p w:rsidR="004F2CD1" w:rsidRDefault="004F2CD1" w:rsidP="0047128D">
      <w:pPr>
        <w:pStyle w:val="SingleTxt"/>
        <w:spacing w:line="328" w:lineRule="exact"/>
        <w:rPr>
          <w:rFonts w:hint="eastAsia"/>
        </w:rPr>
      </w:pPr>
      <w:r>
        <w:rPr>
          <w:rFonts w:hint="eastAsia"/>
        </w:rPr>
        <w:t>14</w:t>
      </w:r>
      <w:r w:rsidR="00667043">
        <w:rPr>
          <w:rFonts w:hint="eastAsia"/>
        </w:rPr>
        <w:t>.</w:t>
      </w:r>
      <w:r w:rsidR="00667043">
        <w:rPr>
          <w:rFonts w:hint="eastAsia"/>
        </w:rPr>
        <w:tab/>
      </w:r>
      <w:r>
        <w:rPr>
          <w:rFonts w:hint="eastAsia"/>
        </w:rPr>
        <w:t>在与个人投诉机制有关的事项上，包括在与判例、程序、工作方法和各自裁判的执行等问题上，联合国人权条约机构一方面要开展相互之间的合作，另一方面要开展与非洲人权和人民权利委员会、非洲人权和人民权利法院、非洲儿童权利与福利问题专家委员会和次区域法院的合作。为此，应设想安排条约机构成员与委员会成员和非洲专家委员会成员以及非洲法院和次区域法院法官之间开展接触；</w:t>
      </w:r>
    </w:p>
    <w:p w:rsidR="004F2CD1" w:rsidRDefault="004F2CD1" w:rsidP="004F2CD1">
      <w:pPr>
        <w:pStyle w:val="SingleTxt"/>
        <w:rPr>
          <w:rFonts w:hint="eastAsia"/>
        </w:rPr>
      </w:pPr>
      <w:r>
        <w:rPr>
          <w:rFonts w:hint="eastAsia"/>
        </w:rPr>
        <w:t>15</w:t>
      </w:r>
      <w:r w:rsidR="00667043">
        <w:rPr>
          <w:rFonts w:hint="eastAsia"/>
        </w:rPr>
        <w:t>.</w:t>
      </w:r>
      <w:r w:rsidR="00667043">
        <w:rPr>
          <w:rFonts w:hint="eastAsia"/>
        </w:rPr>
        <w:tab/>
      </w:r>
      <w:r w:rsidRPr="006D38CE">
        <w:rPr>
          <w:rFonts w:hint="eastAsia"/>
          <w:spacing w:val="-2"/>
        </w:rPr>
        <w:t>联合国条约机构、委员会、法院、非洲专家委员会以及次区域法院定期进行秘书处一级的接触，以就程序、判例和工作方法问题交流信息和建立常设沟通渠道；</w:t>
      </w:r>
    </w:p>
    <w:p w:rsidR="004F2CD1" w:rsidRDefault="004F2CD1" w:rsidP="004F2CD1">
      <w:pPr>
        <w:pStyle w:val="SingleTxt"/>
        <w:rPr>
          <w:rFonts w:hint="eastAsia"/>
        </w:rPr>
      </w:pPr>
      <w:r>
        <w:rPr>
          <w:rFonts w:hint="eastAsia"/>
        </w:rPr>
        <w:t>16</w:t>
      </w:r>
      <w:r w:rsidR="00667043">
        <w:rPr>
          <w:rFonts w:hint="eastAsia"/>
        </w:rPr>
        <w:t>.</w:t>
      </w:r>
      <w:r w:rsidR="00667043">
        <w:rPr>
          <w:rFonts w:hint="eastAsia"/>
        </w:rPr>
        <w:tab/>
      </w:r>
      <w:r>
        <w:rPr>
          <w:rFonts w:hint="eastAsia"/>
        </w:rPr>
        <w:t>联合国条约机构、委员会、法院、非洲专家委员会和次区域法院努力考虑和参考各自的判例，以期取得一致和避免国际人权法支离破碎；</w:t>
      </w:r>
    </w:p>
    <w:p w:rsidR="004F2CD1" w:rsidRDefault="004F2CD1" w:rsidP="004F2CD1">
      <w:pPr>
        <w:pStyle w:val="SingleTxt"/>
        <w:rPr>
          <w:rFonts w:hint="eastAsia"/>
        </w:rPr>
      </w:pPr>
      <w:r>
        <w:rPr>
          <w:rFonts w:hint="eastAsia"/>
        </w:rPr>
        <w:t>17</w:t>
      </w:r>
      <w:r w:rsidR="00667043">
        <w:rPr>
          <w:rFonts w:hint="eastAsia"/>
        </w:rPr>
        <w:t>.</w:t>
      </w:r>
      <w:r w:rsidR="00667043">
        <w:rPr>
          <w:rFonts w:hint="eastAsia"/>
        </w:rPr>
        <w:tab/>
      </w:r>
      <w:r>
        <w:rPr>
          <w:rFonts w:hint="eastAsia"/>
        </w:rPr>
        <w:t>参与为国家司法和检察机关及法律从业人员开办的联合培训活动和司法座谈会，以广为宣传国际和区域机制，促进这些机制的使用，加强司法能力和扩大它们各自判例的影响；</w:t>
      </w:r>
    </w:p>
    <w:p w:rsidR="004F2CD1" w:rsidRPr="0047128D" w:rsidRDefault="004F2CD1" w:rsidP="004F2CD1">
      <w:pPr>
        <w:pStyle w:val="SingleTxt"/>
        <w:rPr>
          <w:rFonts w:ascii="SimHei" w:eastAsia="SimHei" w:hint="eastAsia"/>
        </w:rPr>
      </w:pPr>
      <w:r w:rsidRPr="0047128D">
        <w:rPr>
          <w:rFonts w:ascii="SimHei" w:eastAsia="SimHei" w:hint="eastAsia"/>
        </w:rPr>
        <w:t>与其他利益攸关方有关的建议</w:t>
      </w:r>
    </w:p>
    <w:p w:rsidR="004F2CD1" w:rsidRDefault="004F2CD1" w:rsidP="004F2CD1">
      <w:pPr>
        <w:pStyle w:val="SingleTxt"/>
        <w:rPr>
          <w:rFonts w:hint="eastAsia"/>
        </w:rPr>
      </w:pPr>
      <w:r>
        <w:rPr>
          <w:rFonts w:hint="eastAsia"/>
        </w:rPr>
        <w:t>18</w:t>
      </w:r>
      <w:r w:rsidR="00667043">
        <w:rPr>
          <w:rFonts w:hint="eastAsia"/>
        </w:rPr>
        <w:t>.</w:t>
      </w:r>
      <w:r w:rsidR="00667043">
        <w:rPr>
          <w:rFonts w:hint="eastAsia"/>
        </w:rPr>
        <w:tab/>
      </w:r>
      <w:r>
        <w:rPr>
          <w:rFonts w:hint="eastAsia"/>
        </w:rPr>
        <w:t>加强联合国实体、国家人权机构和包括非政府组织在内的民间社会组织与区域和国际人权机制的合作；</w:t>
      </w:r>
    </w:p>
    <w:p w:rsidR="004F2CD1" w:rsidRDefault="004F2CD1" w:rsidP="004F2CD1">
      <w:pPr>
        <w:pStyle w:val="SingleTxt"/>
        <w:rPr>
          <w:rFonts w:hint="eastAsia"/>
        </w:rPr>
      </w:pPr>
      <w:r>
        <w:rPr>
          <w:rFonts w:hint="eastAsia"/>
        </w:rPr>
        <w:t>19.</w:t>
      </w:r>
      <w:r w:rsidR="0047128D">
        <w:tab/>
      </w:r>
      <w:r>
        <w:rPr>
          <w:rFonts w:hint="eastAsia"/>
        </w:rPr>
        <w:t>鼓励国家人权机构与非洲国家人权机构网及促进和保护人权国家机构国际协调委员会开展联络，以确保它们积极有效地参加联合国条约机构和非洲机制；</w:t>
      </w:r>
    </w:p>
    <w:p w:rsidR="004F2CD1" w:rsidRDefault="004F2CD1" w:rsidP="004F2CD1">
      <w:pPr>
        <w:pStyle w:val="SingleTxt"/>
        <w:rPr>
          <w:rFonts w:hint="eastAsia"/>
        </w:rPr>
      </w:pPr>
      <w:r>
        <w:rPr>
          <w:rFonts w:hint="eastAsia"/>
        </w:rPr>
        <w:t>20</w:t>
      </w:r>
      <w:r w:rsidR="00667043">
        <w:rPr>
          <w:rFonts w:hint="eastAsia"/>
        </w:rPr>
        <w:t>.</w:t>
      </w:r>
      <w:r w:rsidR="00667043">
        <w:rPr>
          <w:rFonts w:hint="eastAsia"/>
        </w:rPr>
        <w:tab/>
      </w:r>
      <w:r>
        <w:rPr>
          <w:rFonts w:hint="eastAsia"/>
        </w:rPr>
        <w:t>鼓励基层民间社会组织与区域和国际民间社会网开展联络，包括通过非洲人权和人民权利委员会届会上推动非政府组织参与的论坛进行鼓励，以确保它们在两个系统下的积极有效参加；</w:t>
      </w:r>
    </w:p>
    <w:p w:rsidR="004F2CD1" w:rsidRDefault="004F2CD1" w:rsidP="004F2CD1">
      <w:pPr>
        <w:pStyle w:val="SingleTxt"/>
        <w:rPr>
          <w:rFonts w:hint="eastAsia"/>
        </w:rPr>
      </w:pPr>
      <w:r>
        <w:rPr>
          <w:rFonts w:hint="eastAsia"/>
        </w:rPr>
        <w:t>21</w:t>
      </w:r>
      <w:r w:rsidR="00667043">
        <w:rPr>
          <w:rFonts w:hint="eastAsia"/>
        </w:rPr>
        <w:t>.</w:t>
      </w:r>
      <w:r w:rsidR="00667043">
        <w:rPr>
          <w:rFonts w:hint="eastAsia"/>
        </w:rPr>
        <w:tab/>
      </w:r>
      <w:r>
        <w:rPr>
          <w:rFonts w:hint="eastAsia"/>
        </w:rPr>
        <w:t>鼓励国家人权机构、民间社会组织、其他人权机制和两个系统的任何其他合作伙伴促进加强两个系统之间的合作；</w:t>
      </w:r>
    </w:p>
    <w:p w:rsidR="004F2CD1" w:rsidRPr="0047128D" w:rsidRDefault="004F2CD1" w:rsidP="004F2CD1">
      <w:pPr>
        <w:pStyle w:val="SingleTxt"/>
        <w:rPr>
          <w:rFonts w:ascii="SimHei" w:eastAsia="SimHei" w:hint="eastAsia"/>
        </w:rPr>
      </w:pPr>
      <w:r w:rsidRPr="0047128D">
        <w:rPr>
          <w:rFonts w:ascii="SimHei" w:eastAsia="SimHei" w:hint="eastAsia"/>
        </w:rPr>
        <w:t>与执行这些建议有关的建议</w:t>
      </w:r>
    </w:p>
    <w:p w:rsidR="004F2CD1" w:rsidRDefault="004F2CD1" w:rsidP="004F2CD1">
      <w:pPr>
        <w:pStyle w:val="SingleTxt"/>
        <w:rPr>
          <w:rFonts w:hint="eastAsia"/>
        </w:rPr>
      </w:pPr>
      <w:r>
        <w:rPr>
          <w:rFonts w:hint="eastAsia"/>
        </w:rPr>
        <w:t>22</w:t>
      </w:r>
      <w:r w:rsidR="00667043">
        <w:rPr>
          <w:rFonts w:hint="eastAsia"/>
        </w:rPr>
        <w:t>.</w:t>
      </w:r>
      <w:r w:rsidR="00667043">
        <w:rPr>
          <w:rFonts w:hint="eastAsia"/>
        </w:rPr>
        <w:tab/>
      </w:r>
      <w:r w:rsidRPr="006D38CE">
        <w:rPr>
          <w:rFonts w:hint="eastAsia"/>
          <w:spacing w:val="-2"/>
        </w:rPr>
        <w:t>联合国人权事务高级专员办事处负责与联合国组织及机构、非洲联盟委员会和其他利益攸关方协商，通过利用现有资源，支持和协调当前对话成果文件的落实。</w:t>
      </w:r>
    </w:p>
    <w:p w:rsidR="00EA31C3" w:rsidRDefault="00EA31C3" w:rsidP="004F2CD1">
      <w:pPr>
        <w:pStyle w:val="SingleTxt"/>
      </w:pPr>
    </w:p>
    <w:p w:rsidR="0047128D" w:rsidRDefault="0047128D" w:rsidP="0047128D">
      <w:pPr>
        <w:pStyle w:val="SingleTxt"/>
        <w:jc w:val="center"/>
      </w:pPr>
      <w:r>
        <w:t>––––––––––––––</w:t>
      </w:r>
    </w:p>
    <w:p w:rsidR="0047128D" w:rsidRPr="004F2CD1" w:rsidRDefault="0047128D" w:rsidP="004F2CD1">
      <w:pPr>
        <w:pStyle w:val="SingleTxt"/>
      </w:pPr>
    </w:p>
    <w:sectPr w:rsidR="0047128D" w:rsidRPr="004F2CD1" w:rsidSect="00907001">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08-23T13:57:00Z" w:initials="Start">
    <w:p w:rsidR="00B02C98" w:rsidRDefault="00B02C9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NO&gt;&gt;N1244982C&lt;&lt;ODS JOB NO&gt;&gt;</w:t>
      </w:r>
    </w:p>
    <w:p w:rsidR="00B02C98" w:rsidRDefault="00B02C98">
      <w:pPr>
        <w:pStyle w:val="CommentText"/>
      </w:pPr>
      <w:r>
        <w:t>&lt;&lt;ODS DOC SYMBOL1&gt;&gt;A/67/222&lt;&lt;ODS DOC SYMBOL1&gt;&gt;</w:t>
      </w:r>
    </w:p>
    <w:p w:rsidR="00B02C98" w:rsidRDefault="00B02C9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5A7F" w:rsidRDefault="00BA5A7F">
      <w:r>
        <w:separator/>
      </w:r>
    </w:p>
  </w:endnote>
  <w:endnote w:type="continuationSeparator" w:id="0">
    <w:p w:rsidR="00BA5A7F" w:rsidRDefault="00BA5A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02C98" w:rsidTr="00907001">
      <w:tblPrEx>
        <w:tblCellMar>
          <w:top w:w="0" w:type="dxa"/>
          <w:bottom w:w="0" w:type="dxa"/>
        </w:tblCellMar>
      </w:tblPrEx>
      <w:tc>
        <w:tcPr>
          <w:tcW w:w="5033" w:type="dxa"/>
          <w:shd w:val="clear" w:color="auto" w:fill="auto"/>
        </w:tcPr>
        <w:p w:rsidR="00B02C98" w:rsidRPr="00907001" w:rsidRDefault="00B02C98" w:rsidP="00907001">
          <w:pPr>
            <w:pStyle w:val="Footer"/>
            <w:jc w:val="right"/>
            <w:rPr>
              <w:b w:val="0"/>
              <w:w w:val="103"/>
              <w:sz w:val="14"/>
            </w:rPr>
          </w:pPr>
          <w:fldSimple w:instr=" DOCVARIABLE &quot;FooterJN&quot; \* MERGEFORMAT ">
            <w:r>
              <w:rPr>
                <w:b w:val="0"/>
                <w:w w:val="103"/>
                <w:sz w:val="14"/>
              </w:rPr>
              <w:t>12-44982 (C)</w:t>
            </w:r>
          </w:fldSimple>
        </w:p>
      </w:tc>
      <w:tc>
        <w:tcPr>
          <w:tcW w:w="5033" w:type="dxa"/>
          <w:shd w:val="clear" w:color="auto" w:fill="auto"/>
        </w:tcPr>
        <w:p w:rsidR="00B02C98" w:rsidRPr="00907001" w:rsidRDefault="00B02C98" w:rsidP="00907001">
          <w:pPr>
            <w:pStyle w:val="Footer"/>
            <w:jc w:val="left"/>
            <w:rPr>
              <w:w w:val="103"/>
            </w:rPr>
          </w:pPr>
          <w:r>
            <w:rPr>
              <w:w w:val="103"/>
            </w:rPr>
            <w:fldChar w:fldCharType="begin"/>
          </w:r>
          <w:r>
            <w:rPr>
              <w:w w:val="103"/>
            </w:rPr>
            <w:instrText xml:space="preserve"> PAGE  \* MERGEFORMAT </w:instrText>
          </w:r>
          <w:r>
            <w:rPr>
              <w:w w:val="103"/>
            </w:rPr>
            <w:fldChar w:fldCharType="separate"/>
          </w:r>
          <w:r w:rsidR="00B922E3">
            <w:rPr>
              <w:w w:val="103"/>
            </w:rPr>
            <w:t>16</w:t>
          </w:r>
          <w:r>
            <w:rPr>
              <w:w w:val="103"/>
            </w:rPr>
            <w:fldChar w:fldCharType="end"/>
          </w:r>
        </w:p>
      </w:tc>
    </w:tr>
  </w:tbl>
  <w:p w:rsidR="00B02C98" w:rsidRPr="00907001" w:rsidRDefault="00B02C98" w:rsidP="0090700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02C98" w:rsidTr="00907001">
      <w:tblPrEx>
        <w:tblCellMar>
          <w:top w:w="0" w:type="dxa"/>
          <w:bottom w:w="0" w:type="dxa"/>
        </w:tblCellMar>
      </w:tblPrEx>
      <w:tc>
        <w:tcPr>
          <w:tcW w:w="5033" w:type="dxa"/>
          <w:shd w:val="clear" w:color="auto" w:fill="auto"/>
        </w:tcPr>
        <w:p w:rsidR="00B02C98" w:rsidRPr="00907001" w:rsidRDefault="00B02C98" w:rsidP="00907001">
          <w:pPr>
            <w:pStyle w:val="Footer"/>
            <w:jc w:val="right"/>
          </w:pPr>
          <w:fldSimple w:instr=" PAGE  \* MERGEFORMAT ">
            <w:r w:rsidR="00B922E3">
              <w:t>15</w:t>
            </w:r>
          </w:fldSimple>
        </w:p>
      </w:tc>
      <w:tc>
        <w:tcPr>
          <w:tcW w:w="5033" w:type="dxa"/>
          <w:shd w:val="clear" w:color="auto" w:fill="auto"/>
        </w:tcPr>
        <w:p w:rsidR="00B02C98" w:rsidRPr="00907001" w:rsidRDefault="00B02C98" w:rsidP="00907001">
          <w:pPr>
            <w:pStyle w:val="Footer"/>
            <w:jc w:val="left"/>
            <w:rPr>
              <w:b w:val="0"/>
              <w:w w:val="103"/>
              <w:sz w:val="14"/>
            </w:rPr>
          </w:pPr>
          <w:fldSimple w:instr=" DOCVARIABLE &quot;FooterJN&quot; \* MERGEFORMAT ">
            <w:r>
              <w:rPr>
                <w:b w:val="0"/>
                <w:w w:val="103"/>
                <w:sz w:val="14"/>
              </w:rPr>
              <w:t>12-44982 (C)</w:t>
            </w:r>
          </w:fldSimple>
        </w:p>
      </w:tc>
    </w:tr>
  </w:tbl>
  <w:p w:rsidR="00B02C98" w:rsidRPr="00907001" w:rsidRDefault="00B02C98" w:rsidP="0090700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02C98" w:rsidTr="00907001">
      <w:tblPrEx>
        <w:tblCellMar>
          <w:top w:w="0" w:type="dxa"/>
          <w:bottom w:w="0" w:type="dxa"/>
        </w:tblCellMar>
      </w:tblPrEx>
      <w:tc>
        <w:tcPr>
          <w:tcW w:w="5033" w:type="dxa"/>
        </w:tcPr>
        <w:p w:rsidR="00B02C98" w:rsidRDefault="00B02C98" w:rsidP="00907001">
          <w:pPr>
            <w:pStyle w:val="Footer"/>
            <w:rPr>
              <w:b w:val="0"/>
              <w:sz w:val="21"/>
            </w:rPr>
          </w:pPr>
          <w:fldSimple w:instr=" DOCVARIABLE &quot;jobn&quot; \* MERGEFORMAT ">
            <w:r>
              <w:rPr>
                <w:b w:val="0"/>
                <w:sz w:val="21"/>
              </w:rPr>
              <w:t>12-44982 (C)</w:t>
            </w:r>
          </w:fldSimple>
          <w:r>
            <w:rPr>
              <w:b w:val="0"/>
              <w:sz w:val="21"/>
            </w:rPr>
            <w:t xml:space="preserve">    2</w:t>
          </w:r>
          <w:r>
            <w:rPr>
              <w:rFonts w:hint="eastAsia"/>
              <w:b w:val="0"/>
              <w:sz w:val="21"/>
            </w:rPr>
            <w:t>2</w:t>
          </w:r>
          <w:r>
            <w:rPr>
              <w:b w:val="0"/>
              <w:sz w:val="21"/>
            </w:rPr>
            <w:t>0812    2</w:t>
          </w:r>
          <w:r>
            <w:rPr>
              <w:rFonts w:hint="eastAsia"/>
              <w:b w:val="0"/>
              <w:sz w:val="21"/>
            </w:rPr>
            <w:t>4</w:t>
          </w:r>
          <w:r>
            <w:rPr>
              <w:b w:val="0"/>
              <w:sz w:val="21"/>
            </w:rPr>
            <w:t>0812</w:t>
          </w:r>
        </w:p>
        <w:p w:rsidR="00B02C98" w:rsidRPr="00907001" w:rsidRDefault="00B02C98" w:rsidP="00907001">
          <w:pPr>
            <w:spacing w:before="80" w:line="210" w:lineRule="exact"/>
            <w:rPr>
              <w:rFonts w:ascii="Barcode 3 of 9 by request" w:hAnsi="Barcode 3 of 9 by request"/>
              <w:sz w:val="24"/>
            </w:rPr>
          </w:pPr>
          <w:r>
            <w:rPr>
              <w:rFonts w:ascii="Barcode 3 of 9 by request" w:hAnsi="Barcode 3 of 9 by request" w:hint="eastAsia"/>
              <w:sz w:val="24"/>
            </w:rPr>
            <w:t>*1244982S*</w:t>
          </w:r>
        </w:p>
      </w:tc>
      <w:tc>
        <w:tcPr>
          <w:tcW w:w="3686" w:type="dxa"/>
        </w:tcPr>
        <w:p w:rsidR="00B02C98" w:rsidRDefault="00B02C98" w:rsidP="00907001">
          <w:pPr>
            <w:pStyle w:val="Footer"/>
            <w:jc w:val="right"/>
            <w:rPr>
              <w:b w:val="0"/>
              <w:sz w:val="21"/>
            </w:rPr>
          </w:pPr>
          <w:r w:rsidRPr="00907001">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B02C98" w:rsidRPr="00907001" w:rsidRDefault="00B02C98" w:rsidP="00907001">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5A7F" w:rsidRPr="00724C84" w:rsidRDefault="00BA5A7F" w:rsidP="00724C84">
      <w:pPr>
        <w:pStyle w:val="Footer"/>
        <w:spacing w:after="80"/>
        <w:ind w:left="792"/>
        <w:rPr>
          <w:sz w:val="16"/>
        </w:rPr>
      </w:pPr>
      <w:r w:rsidRPr="00724C84">
        <w:rPr>
          <w:sz w:val="16"/>
        </w:rPr>
        <w:t>__________________</w:t>
      </w:r>
    </w:p>
  </w:footnote>
  <w:footnote w:type="continuationSeparator" w:id="0">
    <w:p w:rsidR="00BA5A7F" w:rsidRPr="00724C84" w:rsidRDefault="00BA5A7F" w:rsidP="00724C84">
      <w:pPr>
        <w:pStyle w:val="Footer"/>
        <w:spacing w:after="80"/>
        <w:ind w:left="792"/>
        <w:rPr>
          <w:sz w:val="16"/>
        </w:rPr>
      </w:pPr>
      <w:r w:rsidRPr="00724C84">
        <w:rPr>
          <w:sz w:val="16"/>
        </w:rPr>
        <w:t>__________________</w:t>
      </w:r>
    </w:p>
  </w:footnote>
  <w:footnote w:id="1">
    <w:p w:rsidR="00B02C98" w:rsidRPr="00724C84" w:rsidRDefault="00B02C98" w:rsidP="00724C8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spacing w:val="-4"/>
        </w:rPr>
      </w:pPr>
      <w:r>
        <w:tab/>
      </w:r>
      <w:r>
        <w:rPr>
          <w:rStyle w:val="FootnoteReference"/>
        </w:rPr>
        <w:footnoteRef/>
      </w:r>
      <w:r>
        <w:tab/>
      </w:r>
      <w:r w:rsidRPr="00724C84">
        <w:rPr>
          <w:rFonts w:hint="eastAsia"/>
          <w:spacing w:val="-4"/>
        </w:rPr>
        <w:t>可查阅：http://www2.ohchr.org/english/bodies/HRTD/docs/DublinII_Outcome_Document.pdf。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02C98" w:rsidTr="00907001">
      <w:tblPrEx>
        <w:tblCellMar>
          <w:top w:w="0" w:type="dxa"/>
          <w:bottom w:w="0" w:type="dxa"/>
        </w:tblCellMar>
      </w:tblPrEx>
      <w:trPr>
        <w:trHeight w:hRule="exact" w:val="864"/>
      </w:trPr>
      <w:tc>
        <w:tcPr>
          <w:tcW w:w="4838" w:type="dxa"/>
          <w:shd w:val="clear" w:color="auto" w:fill="auto"/>
          <w:vAlign w:val="bottom"/>
        </w:tcPr>
        <w:p w:rsidR="00B02C98" w:rsidRPr="00907001" w:rsidRDefault="00B02C98" w:rsidP="00907001">
          <w:pPr>
            <w:pStyle w:val="Header"/>
            <w:spacing w:after="80"/>
            <w:jc w:val="left"/>
            <w:rPr>
              <w:b/>
              <w:sz w:val="17"/>
            </w:rPr>
          </w:pPr>
          <w:fldSimple w:instr=" DOCVARIABLE &quot;sss1&quot; \* MERGEFORMAT ">
            <w:r>
              <w:rPr>
                <w:b/>
                <w:sz w:val="17"/>
              </w:rPr>
              <w:t>A/67/222</w:t>
            </w:r>
          </w:fldSimple>
        </w:p>
      </w:tc>
      <w:tc>
        <w:tcPr>
          <w:tcW w:w="5033" w:type="dxa"/>
          <w:shd w:val="clear" w:color="auto" w:fill="auto"/>
          <w:vAlign w:val="bottom"/>
        </w:tcPr>
        <w:p w:rsidR="00B02C98" w:rsidRDefault="00B02C98" w:rsidP="00907001">
          <w:pPr>
            <w:pStyle w:val="Header"/>
          </w:pPr>
        </w:p>
      </w:tc>
    </w:tr>
  </w:tbl>
  <w:p w:rsidR="00B02C98" w:rsidRPr="00907001" w:rsidRDefault="00B02C98" w:rsidP="0090700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02C98" w:rsidTr="00907001">
      <w:tblPrEx>
        <w:tblCellMar>
          <w:top w:w="0" w:type="dxa"/>
          <w:bottom w:w="0" w:type="dxa"/>
        </w:tblCellMar>
      </w:tblPrEx>
      <w:trPr>
        <w:trHeight w:hRule="exact" w:val="864"/>
      </w:trPr>
      <w:tc>
        <w:tcPr>
          <w:tcW w:w="4838" w:type="dxa"/>
          <w:shd w:val="clear" w:color="auto" w:fill="auto"/>
          <w:vAlign w:val="bottom"/>
        </w:tcPr>
        <w:p w:rsidR="00B02C98" w:rsidRDefault="00B02C98" w:rsidP="00907001">
          <w:pPr>
            <w:pStyle w:val="Header"/>
          </w:pPr>
        </w:p>
      </w:tc>
      <w:tc>
        <w:tcPr>
          <w:tcW w:w="5033" w:type="dxa"/>
          <w:shd w:val="clear" w:color="auto" w:fill="auto"/>
          <w:vAlign w:val="bottom"/>
        </w:tcPr>
        <w:p w:rsidR="00B02C98" w:rsidRPr="00907001" w:rsidRDefault="00B02C98" w:rsidP="00907001">
          <w:pPr>
            <w:pStyle w:val="Header"/>
            <w:spacing w:after="80"/>
            <w:jc w:val="right"/>
            <w:rPr>
              <w:b/>
              <w:sz w:val="17"/>
            </w:rPr>
          </w:pPr>
          <w:fldSimple w:instr=" DOCVARIABLE &quot;sss1&quot; \* MERGEFORMAT ">
            <w:r>
              <w:rPr>
                <w:b/>
                <w:sz w:val="17"/>
              </w:rPr>
              <w:t>A/67/222</w:t>
            </w:r>
          </w:fldSimple>
        </w:p>
      </w:tc>
    </w:tr>
  </w:tbl>
  <w:p w:rsidR="00B02C98" w:rsidRPr="00907001" w:rsidRDefault="00B02C98" w:rsidP="0090700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B02C98" w:rsidTr="0090700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02C98" w:rsidRDefault="00B02C98" w:rsidP="00907001">
          <w:pPr>
            <w:pStyle w:val="Header"/>
            <w:spacing w:after="120"/>
          </w:pPr>
        </w:p>
      </w:tc>
      <w:tc>
        <w:tcPr>
          <w:tcW w:w="1872" w:type="dxa"/>
          <w:tcBorders>
            <w:bottom w:val="single" w:sz="4" w:space="0" w:color="auto"/>
          </w:tcBorders>
          <w:shd w:val="clear" w:color="auto" w:fill="auto"/>
          <w:vAlign w:val="bottom"/>
        </w:tcPr>
        <w:p w:rsidR="00B02C98" w:rsidRPr="00907001" w:rsidRDefault="00B02C98" w:rsidP="0090700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02C98" w:rsidRDefault="00B02C98" w:rsidP="00907001">
          <w:pPr>
            <w:pStyle w:val="Header"/>
            <w:spacing w:after="120"/>
          </w:pPr>
        </w:p>
      </w:tc>
      <w:tc>
        <w:tcPr>
          <w:tcW w:w="6523" w:type="dxa"/>
          <w:gridSpan w:val="3"/>
          <w:tcBorders>
            <w:bottom w:val="single" w:sz="4" w:space="0" w:color="auto"/>
          </w:tcBorders>
          <w:shd w:val="clear" w:color="auto" w:fill="auto"/>
          <w:vAlign w:val="bottom"/>
        </w:tcPr>
        <w:p w:rsidR="00B02C98" w:rsidRPr="00907001" w:rsidRDefault="00B02C98" w:rsidP="00907001">
          <w:pPr>
            <w:spacing w:after="80" w:line="240" w:lineRule="auto"/>
            <w:jc w:val="right"/>
            <w:rPr>
              <w:rFonts w:ascii="Times New Roman"/>
              <w:position w:val="-4"/>
            </w:rPr>
          </w:pPr>
          <w:r>
            <w:rPr>
              <w:rFonts w:ascii="Times New Roman"/>
              <w:position w:val="-4"/>
              <w:sz w:val="40"/>
            </w:rPr>
            <w:t>A</w:t>
          </w:r>
          <w:r>
            <w:rPr>
              <w:rFonts w:ascii="Times New Roman"/>
              <w:position w:val="-4"/>
            </w:rPr>
            <w:t>/67/222</w:t>
          </w:r>
        </w:p>
      </w:tc>
    </w:tr>
    <w:tr w:rsidR="00B02C98" w:rsidRPr="00907001" w:rsidTr="0090700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02C98" w:rsidRDefault="00B02C98" w:rsidP="0090700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02C98" w:rsidRPr="00907001" w:rsidRDefault="00B02C98" w:rsidP="00907001">
          <w:pPr>
            <w:pStyle w:val="Header"/>
            <w:spacing w:before="109"/>
            <w:ind w:left="-72"/>
          </w:pPr>
        </w:p>
      </w:tc>
      <w:tc>
        <w:tcPr>
          <w:tcW w:w="5227" w:type="dxa"/>
          <w:gridSpan w:val="3"/>
          <w:tcBorders>
            <w:top w:val="single" w:sz="4" w:space="0" w:color="auto"/>
            <w:bottom w:val="single" w:sz="12" w:space="0" w:color="auto"/>
          </w:tcBorders>
          <w:shd w:val="clear" w:color="auto" w:fill="auto"/>
        </w:tcPr>
        <w:p w:rsidR="00B02C98" w:rsidRPr="00907001" w:rsidRDefault="00B02C98" w:rsidP="00907001">
          <w:pPr>
            <w:pStyle w:val="XLarge"/>
            <w:spacing w:before="109" w:after="140" w:line="440" w:lineRule="exact"/>
            <w:rPr>
              <w:sz w:val="38"/>
            </w:rPr>
          </w:pPr>
          <w:r>
            <w:rPr>
              <w:rFonts w:hint="eastAsia"/>
              <w:sz w:val="38"/>
            </w:rPr>
            <w:t>大  会</w:t>
          </w:r>
        </w:p>
      </w:tc>
      <w:tc>
        <w:tcPr>
          <w:tcW w:w="245" w:type="dxa"/>
          <w:tcBorders>
            <w:top w:val="single" w:sz="4" w:space="0" w:color="auto"/>
            <w:bottom w:val="single" w:sz="12" w:space="0" w:color="auto"/>
          </w:tcBorders>
          <w:shd w:val="clear" w:color="auto" w:fill="auto"/>
        </w:tcPr>
        <w:p w:rsidR="00B02C98" w:rsidRPr="00907001" w:rsidRDefault="00B02C98" w:rsidP="00907001">
          <w:pPr>
            <w:pStyle w:val="Header"/>
            <w:spacing w:before="109"/>
          </w:pPr>
        </w:p>
      </w:tc>
      <w:tc>
        <w:tcPr>
          <w:tcW w:w="3180" w:type="dxa"/>
          <w:gridSpan w:val="2"/>
          <w:tcBorders>
            <w:top w:val="single" w:sz="4" w:space="0" w:color="auto"/>
            <w:bottom w:val="single" w:sz="12" w:space="0" w:color="auto"/>
          </w:tcBorders>
          <w:shd w:val="clear" w:color="auto" w:fill="auto"/>
        </w:tcPr>
        <w:p w:rsidR="00B02C98" w:rsidRDefault="00B02C98" w:rsidP="00907001">
          <w:pPr>
            <w:spacing w:before="240" w:line="240" w:lineRule="exact"/>
            <w:rPr>
              <w:rFonts w:ascii="Times New Roman"/>
            </w:rPr>
          </w:pPr>
          <w:r>
            <w:rPr>
              <w:rFonts w:ascii="Times New Roman"/>
            </w:rPr>
            <w:t>Distr.: General</w:t>
          </w:r>
        </w:p>
        <w:p w:rsidR="00B02C98" w:rsidRDefault="00B02C98" w:rsidP="00907001">
          <w:pPr>
            <w:spacing w:line="240" w:lineRule="exact"/>
            <w:rPr>
              <w:rFonts w:ascii="Times New Roman"/>
            </w:rPr>
          </w:pPr>
          <w:r>
            <w:rPr>
              <w:rFonts w:ascii="Times New Roman"/>
            </w:rPr>
            <w:t>2 August 2012</w:t>
          </w:r>
        </w:p>
        <w:p w:rsidR="00B02C98" w:rsidRDefault="00B02C98" w:rsidP="00907001">
          <w:pPr>
            <w:spacing w:line="240" w:lineRule="exact"/>
            <w:rPr>
              <w:rFonts w:ascii="Times New Roman"/>
            </w:rPr>
          </w:pPr>
          <w:r>
            <w:rPr>
              <w:rFonts w:ascii="Times New Roman"/>
            </w:rPr>
            <w:t>Chinese</w:t>
          </w:r>
        </w:p>
        <w:p w:rsidR="00B02C98" w:rsidRPr="00907001" w:rsidRDefault="00B02C98" w:rsidP="00907001">
          <w:pPr>
            <w:spacing w:line="240" w:lineRule="exact"/>
            <w:rPr>
              <w:rFonts w:ascii="Times New Roman"/>
            </w:rPr>
          </w:pPr>
          <w:r>
            <w:rPr>
              <w:rFonts w:ascii="Times New Roman"/>
            </w:rPr>
            <w:t>Original: English</w:t>
          </w:r>
        </w:p>
      </w:tc>
    </w:tr>
  </w:tbl>
  <w:p w:rsidR="00B02C98" w:rsidRPr="00907001" w:rsidRDefault="00B02C98" w:rsidP="0090700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44982*"/>
    <w:docVar w:name="CreationDt" w:val="23/08/2012 12:52:39"/>
    <w:docVar w:name="DocCategory" w:val="Doc"/>
    <w:docVar w:name="DocType" w:val="Final"/>
    <w:docVar w:name="FooterJN" w:val="12-44982 (C)"/>
    <w:docVar w:name="jobn" w:val="12-44982 (C)"/>
    <w:docVar w:name="jobnDT" w:val="12-44982 (C)   230812"/>
    <w:docVar w:name="jobnDTDT" w:val="12-44982 (C)   230812   230812"/>
    <w:docVar w:name="JobNo" w:val="1244982C"/>
    <w:docVar w:name="OandT" w:val="JSX"/>
    <w:docVar w:name="sss1" w:val="A/67/222"/>
    <w:docVar w:name="sss2" w:val="-"/>
    <w:docVar w:name="Symbol1" w:val="A/67/222"/>
    <w:docVar w:name="Symbol2" w:val="-"/>
  </w:docVars>
  <w:rsids>
    <w:rsidRoot w:val="008807B9"/>
    <w:rsid w:val="0000347C"/>
    <w:rsid w:val="000125BC"/>
    <w:rsid w:val="0001645E"/>
    <w:rsid w:val="00021A2B"/>
    <w:rsid w:val="00036AA2"/>
    <w:rsid w:val="00037B39"/>
    <w:rsid w:val="00044CA4"/>
    <w:rsid w:val="00044EE9"/>
    <w:rsid w:val="00045EFE"/>
    <w:rsid w:val="0007337D"/>
    <w:rsid w:val="000758DF"/>
    <w:rsid w:val="00076EB8"/>
    <w:rsid w:val="00077AEE"/>
    <w:rsid w:val="00082CCB"/>
    <w:rsid w:val="00095C67"/>
    <w:rsid w:val="000A31F9"/>
    <w:rsid w:val="000C1786"/>
    <w:rsid w:val="000C4DDE"/>
    <w:rsid w:val="000E240F"/>
    <w:rsid w:val="000E49A4"/>
    <w:rsid w:val="000F1058"/>
    <w:rsid w:val="000F55DC"/>
    <w:rsid w:val="00101C4E"/>
    <w:rsid w:val="001113F8"/>
    <w:rsid w:val="001212F9"/>
    <w:rsid w:val="00121328"/>
    <w:rsid w:val="0012708E"/>
    <w:rsid w:val="001329F7"/>
    <w:rsid w:val="00141322"/>
    <w:rsid w:val="0015066B"/>
    <w:rsid w:val="00150D3A"/>
    <w:rsid w:val="00153D29"/>
    <w:rsid w:val="00161E69"/>
    <w:rsid w:val="00161F54"/>
    <w:rsid w:val="00170FBE"/>
    <w:rsid w:val="00174233"/>
    <w:rsid w:val="0017506F"/>
    <w:rsid w:val="001B2814"/>
    <w:rsid w:val="001B4F95"/>
    <w:rsid w:val="001C3F7F"/>
    <w:rsid w:val="001C4676"/>
    <w:rsid w:val="001C5166"/>
    <w:rsid w:val="001D0354"/>
    <w:rsid w:val="001D3F72"/>
    <w:rsid w:val="001E20EC"/>
    <w:rsid w:val="001E4442"/>
    <w:rsid w:val="001E5A51"/>
    <w:rsid w:val="001F03A7"/>
    <w:rsid w:val="001F2F76"/>
    <w:rsid w:val="00203760"/>
    <w:rsid w:val="00207135"/>
    <w:rsid w:val="00212279"/>
    <w:rsid w:val="002145EA"/>
    <w:rsid w:val="00231575"/>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20C99"/>
    <w:rsid w:val="003274A9"/>
    <w:rsid w:val="00331221"/>
    <w:rsid w:val="00346223"/>
    <w:rsid w:val="00363610"/>
    <w:rsid w:val="003649EE"/>
    <w:rsid w:val="00371BC6"/>
    <w:rsid w:val="00373A15"/>
    <w:rsid w:val="00383ACA"/>
    <w:rsid w:val="00384CB1"/>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7128D"/>
    <w:rsid w:val="00487444"/>
    <w:rsid w:val="00493C9C"/>
    <w:rsid w:val="004A06D1"/>
    <w:rsid w:val="004A11FC"/>
    <w:rsid w:val="004A2BF7"/>
    <w:rsid w:val="004B2C67"/>
    <w:rsid w:val="004C0224"/>
    <w:rsid w:val="004C053E"/>
    <w:rsid w:val="004C3255"/>
    <w:rsid w:val="004D07E1"/>
    <w:rsid w:val="004D1C19"/>
    <w:rsid w:val="004E739A"/>
    <w:rsid w:val="004F29B8"/>
    <w:rsid w:val="004F2CD1"/>
    <w:rsid w:val="004F5E26"/>
    <w:rsid w:val="0050413E"/>
    <w:rsid w:val="00515657"/>
    <w:rsid w:val="00521275"/>
    <w:rsid w:val="0052216F"/>
    <w:rsid w:val="005232CA"/>
    <w:rsid w:val="00523636"/>
    <w:rsid w:val="005335B9"/>
    <w:rsid w:val="00536CCE"/>
    <w:rsid w:val="00552CE5"/>
    <w:rsid w:val="005541E4"/>
    <w:rsid w:val="00562FE7"/>
    <w:rsid w:val="0057094A"/>
    <w:rsid w:val="00570BD4"/>
    <w:rsid w:val="0057450D"/>
    <w:rsid w:val="0058302A"/>
    <w:rsid w:val="00583D81"/>
    <w:rsid w:val="005859EE"/>
    <w:rsid w:val="005A175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67043"/>
    <w:rsid w:val="006740A7"/>
    <w:rsid w:val="006767D5"/>
    <w:rsid w:val="00691524"/>
    <w:rsid w:val="006A654B"/>
    <w:rsid w:val="006C4BB3"/>
    <w:rsid w:val="006D38CE"/>
    <w:rsid w:val="006E2924"/>
    <w:rsid w:val="006E7A26"/>
    <w:rsid w:val="006F04EF"/>
    <w:rsid w:val="006F2B3D"/>
    <w:rsid w:val="007052CC"/>
    <w:rsid w:val="00724C84"/>
    <w:rsid w:val="007319E0"/>
    <w:rsid w:val="007345AA"/>
    <w:rsid w:val="00737B00"/>
    <w:rsid w:val="0075155C"/>
    <w:rsid w:val="00753A05"/>
    <w:rsid w:val="00757193"/>
    <w:rsid w:val="00761190"/>
    <w:rsid w:val="00776537"/>
    <w:rsid w:val="00783A25"/>
    <w:rsid w:val="007877F4"/>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07B9"/>
    <w:rsid w:val="00883DB0"/>
    <w:rsid w:val="00884C8F"/>
    <w:rsid w:val="00896D38"/>
    <w:rsid w:val="008A0216"/>
    <w:rsid w:val="008C3296"/>
    <w:rsid w:val="008C3413"/>
    <w:rsid w:val="008E2D03"/>
    <w:rsid w:val="008F2BB5"/>
    <w:rsid w:val="008F425D"/>
    <w:rsid w:val="008F5472"/>
    <w:rsid w:val="008F5D0F"/>
    <w:rsid w:val="00907001"/>
    <w:rsid w:val="009122E0"/>
    <w:rsid w:val="00913351"/>
    <w:rsid w:val="0096193C"/>
    <w:rsid w:val="009769E1"/>
    <w:rsid w:val="00977E0D"/>
    <w:rsid w:val="00982D5C"/>
    <w:rsid w:val="00986132"/>
    <w:rsid w:val="00986C04"/>
    <w:rsid w:val="009913E4"/>
    <w:rsid w:val="009A11E3"/>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40EA9"/>
    <w:rsid w:val="00A4532A"/>
    <w:rsid w:val="00A5206D"/>
    <w:rsid w:val="00A72E47"/>
    <w:rsid w:val="00A90956"/>
    <w:rsid w:val="00A95404"/>
    <w:rsid w:val="00A968C5"/>
    <w:rsid w:val="00AA3C28"/>
    <w:rsid w:val="00AA759D"/>
    <w:rsid w:val="00AB2786"/>
    <w:rsid w:val="00AD4308"/>
    <w:rsid w:val="00AF0BE6"/>
    <w:rsid w:val="00AF2A33"/>
    <w:rsid w:val="00B02C98"/>
    <w:rsid w:val="00B03EFA"/>
    <w:rsid w:val="00B309DD"/>
    <w:rsid w:val="00B36621"/>
    <w:rsid w:val="00B36D64"/>
    <w:rsid w:val="00B41B48"/>
    <w:rsid w:val="00B56194"/>
    <w:rsid w:val="00B60F41"/>
    <w:rsid w:val="00B61A34"/>
    <w:rsid w:val="00B64E8E"/>
    <w:rsid w:val="00B65E8B"/>
    <w:rsid w:val="00B8025A"/>
    <w:rsid w:val="00B827B1"/>
    <w:rsid w:val="00B922E3"/>
    <w:rsid w:val="00BA5A7F"/>
    <w:rsid w:val="00BB23A4"/>
    <w:rsid w:val="00BC2276"/>
    <w:rsid w:val="00BD1BFF"/>
    <w:rsid w:val="00BD2150"/>
    <w:rsid w:val="00BE1CC3"/>
    <w:rsid w:val="00BE365A"/>
    <w:rsid w:val="00BE47C4"/>
    <w:rsid w:val="00C052A2"/>
    <w:rsid w:val="00C06A4A"/>
    <w:rsid w:val="00C12267"/>
    <w:rsid w:val="00C1391A"/>
    <w:rsid w:val="00C14CE6"/>
    <w:rsid w:val="00C15218"/>
    <w:rsid w:val="00C2725D"/>
    <w:rsid w:val="00C31E79"/>
    <w:rsid w:val="00C403C9"/>
    <w:rsid w:val="00C42033"/>
    <w:rsid w:val="00C464DD"/>
    <w:rsid w:val="00C52423"/>
    <w:rsid w:val="00C62EF9"/>
    <w:rsid w:val="00C672B6"/>
    <w:rsid w:val="00C76854"/>
    <w:rsid w:val="00C900C5"/>
    <w:rsid w:val="00C92AE0"/>
    <w:rsid w:val="00C943B4"/>
    <w:rsid w:val="00CA450F"/>
    <w:rsid w:val="00CB2B1E"/>
    <w:rsid w:val="00CC3E8B"/>
    <w:rsid w:val="00CC4E84"/>
    <w:rsid w:val="00CD5641"/>
    <w:rsid w:val="00CE64AC"/>
    <w:rsid w:val="00CF49BA"/>
    <w:rsid w:val="00CF7718"/>
    <w:rsid w:val="00D177F1"/>
    <w:rsid w:val="00D323B5"/>
    <w:rsid w:val="00D42ACC"/>
    <w:rsid w:val="00D51DC5"/>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742A"/>
    <w:rsid w:val="00E041F4"/>
    <w:rsid w:val="00E050BA"/>
    <w:rsid w:val="00E25442"/>
    <w:rsid w:val="00E25A1F"/>
    <w:rsid w:val="00E37EEB"/>
    <w:rsid w:val="00E710FB"/>
    <w:rsid w:val="00E806D9"/>
    <w:rsid w:val="00E82CA2"/>
    <w:rsid w:val="00E94E5A"/>
    <w:rsid w:val="00E95594"/>
    <w:rsid w:val="00EA31C3"/>
    <w:rsid w:val="00EB33AC"/>
    <w:rsid w:val="00EC669D"/>
    <w:rsid w:val="00EC6F21"/>
    <w:rsid w:val="00EE0913"/>
    <w:rsid w:val="00F01440"/>
    <w:rsid w:val="00F04C64"/>
    <w:rsid w:val="00F13305"/>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paragraph" w:customStyle="1" w:styleId="GB23126">
    <w:name w:val="样式 (中文) 楷体_GB2312 六号 蓝色 右 段后: 6 磅 行距: 单倍行距"/>
    <w:basedOn w:val="Normal"/>
    <w:rsid w:val="00212279"/>
    <w:pPr>
      <w:spacing w:after="120" w:line="240" w:lineRule="auto"/>
      <w:jc w:val="right"/>
    </w:pPr>
    <w:rPr>
      <w:rFonts w:eastAsia="KaiTi_GB2312" w:cs="SimSun"/>
      <w:sz w:val="15"/>
    </w:rPr>
  </w:style>
  <w:style w:type="paragraph" w:customStyle="1" w:styleId="HCh6">
    <w:name w:val="样式 _ H _Ch + (中文) 宋体 段后: 6 磅"/>
    <w:basedOn w:val="HCh"/>
    <w:rsid w:val="00212279"/>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TotalTime>
  <Pages>1</Pages>
  <Words>2278</Words>
  <Characters>11185</Characters>
  <Application>Microsoft Office Outlook</Application>
  <DocSecurity>4</DocSecurity>
  <Lines>349</Lines>
  <Paragraphs>119</Paragraphs>
  <ScaleCrop>false</ScaleCrop>
  <Company>United Nations</Company>
  <LinksUpToDate>false</LinksUpToDate>
  <CharactersWithSpaces>13344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FrontDesk1</dc:creator>
  <cp:keywords/>
  <dc:description/>
  <cp:lastModifiedBy>United Nations</cp:lastModifiedBy>
  <cp:revision>20</cp:revision>
  <cp:lastPrinted>2012-08-23T15:16:00Z</cp:lastPrinted>
  <dcterms:created xsi:type="dcterms:W3CDTF">2012-08-23T11:51:00Z</dcterms:created>
  <dcterms:modified xsi:type="dcterms:W3CDTF">2012-08-23T15:20:00Z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1244982</vt:lpwstr>
  </property>
  <property fmtid="{D5CDD505-2E9C-101B-9397-08002B2CF9AE}" pid="3" name="Symbol1">
    <vt:lpwstr>A/67/222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JSX</vt:lpwstr>
  </property>
</Properties>
</file>