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2117BA" w14:paraId="27101FF4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7C811F5F" w14:textId="77777777" w:rsidR="002D5AAC" w:rsidRPr="002117BA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09D6B7D" w14:textId="77777777" w:rsidR="002D5AAC" w:rsidRPr="002117BA" w:rsidRDefault="00BD33EE" w:rsidP="00E56EE3">
            <w:pPr>
              <w:spacing w:after="80" w:line="300" w:lineRule="exact"/>
              <w:rPr>
                <w:sz w:val="28"/>
              </w:rPr>
            </w:pPr>
            <w:r w:rsidRPr="002117BA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314425" w14:textId="2C31802D" w:rsidR="002D5AAC" w:rsidRPr="002117BA" w:rsidRDefault="00D7481B" w:rsidP="00E56EE3">
            <w:pPr>
              <w:jc w:val="right"/>
            </w:pPr>
            <w:r w:rsidRPr="002117BA">
              <w:rPr>
                <w:sz w:val="40"/>
              </w:rPr>
              <w:t>CERD</w:t>
            </w:r>
            <w:r w:rsidR="00935A0B" w:rsidRPr="002117BA">
              <w:t>/</w:t>
            </w:r>
            <w:r w:rsidR="004377FA">
              <w:fldChar w:fldCharType="begin"/>
            </w:r>
            <w:r w:rsidR="004377FA">
              <w:instrText xml:space="preserve"> DOCPROPERTY  sym1  \* MERGEFORMAT </w:instrText>
            </w:r>
            <w:r w:rsidR="004377FA">
              <w:fldChar w:fldCharType="separate"/>
            </w:r>
            <w:r w:rsidR="004377FA">
              <w:t>C/COL/Q/17-19</w:t>
            </w:r>
            <w:r w:rsidR="004377FA">
              <w:fldChar w:fldCharType="end"/>
            </w:r>
          </w:p>
        </w:tc>
      </w:tr>
      <w:tr w:rsidR="002D5AAC" w:rsidRPr="002117BA" w14:paraId="36AC4C78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0A690D2" w14:textId="031AD336" w:rsidR="002D5AAC" w:rsidRPr="002117BA" w:rsidRDefault="005C2CDC" w:rsidP="00E56EE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B6C256D" wp14:editId="413AAD65">
                  <wp:extent cx="715645" cy="584835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10E9AD4" w14:textId="77777777" w:rsidR="002D5AAC" w:rsidRPr="002117BA" w:rsidRDefault="00D7481B" w:rsidP="00D7481B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2117BA">
              <w:rPr>
                <w:b/>
                <w:sz w:val="34"/>
                <w:szCs w:val="34"/>
              </w:rPr>
              <w:t>Convención Internacional sobre</w:t>
            </w:r>
            <w:r w:rsidRPr="002117BA">
              <w:rPr>
                <w:b/>
                <w:sz w:val="34"/>
                <w:szCs w:val="34"/>
              </w:rPr>
              <w:br/>
              <w:t>la Eliminación de Todas las Formas</w:t>
            </w:r>
            <w:r w:rsidRPr="002117BA"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8565A45" w14:textId="1606334C" w:rsidR="00935A0B" w:rsidRPr="002117BA" w:rsidRDefault="00935A0B" w:rsidP="00935A0B">
            <w:pPr>
              <w:spacing w:before="240" w:line="240" w:lineRule="exact"/>
            </w:pPr>
            <w:r w:rsidRPr="002117BA">
              <w:t>Distr.</w:t>
            </w:r>
            <w:r w:rsidR="000574D4" w:rsidRPr="002117BA">
              <w:t>:</w:t>
            </w:r>
            <w:r w:rsidRPr="002117BA">
              <w:t xml:space="preserve"> </w:t>
            </w:r>
            <w:r w:rsidR="004377FA">
              <w:fldChar w:fldCharType="begin"/>
            </w:r>
            <w:r w:rsidR="004377FA">
              <w:instrText xml:space="preserve"> DOCPROPERTY  dist  \* MERGEFORMAT </w:instrText>
            </w:r>
            <w:r w:rsidR="004377FA">
              <w:fldChar w:fldCharType="separate"/>
            </w:r>
            <w:r w:rsidR="004377FA">
              <w:t>general</w:t>
            </w:r>
            <w:r w:rsidR="004377FA">
              <w:fldChar w:fldCharType="end"/>
            </w:r>
          </w:p>
          <w:p w14:paraId="13D1E173" w14:textId="244B0227" w:rsidR="00935A0B" w:rsidRPr="002117BA" w:rsidRDefault="004E3242" w:rsidP="002A7F98">
            <w:r w:rsidRPr="002117BA">
              <w:t>8</w:t>
            </w:r>
            <w:r w:rsidR="005B1B80" w:rsidRPr="002117BA">
              <w:t xml:space="preserve"> de </w:t>
            </w:r>
            <w:r w:rsidRPr="002117BA">
              <w:t xml:space="preserve">octubre </w:t>
            </w:r>
            <w:r w:rsidR="005B1B80" w:rsidRPr="002117BA">
              <w:t>de 2019</w:t>
            </w:r>
          </w:p>
          <w:p w14:paraId="75C2ADF9" w14:textId="722FB59F" w:rsidR="00935A0B" w:rsidRPr="002117BA" w:rsidRDefault="009B69D1" w:rsidP="00935A0B">
            <w:r w:rsidRPr="002117BA">
              <w:fldChar w:fldCharType="begin"/>
            </w:r>
            <w:r w:rsidRPr="002117BA">
              <w:instrText xml:space="preserve"> DOCPROPERTY  tlang  \* MERGEFORMAT </w:instrText>
            </w:r>
            <w:r w:rsidRPr="002117BA">
              <w:fldChar w:fldCharType="end"/>
            </w:r>
          </w:p>
          <w:p w14:paraId="5466295A" w14:textId="77777777" w:rsidR="000733AC" w:rsidRPr="002117BA" w:rsidRDefault="000733AC" w:rsidP="000733AC">
            <w:pPr>
              <w:spacing w:line="240" w:lineRule="exact"/>
            </w:pPr>
            <w:r w:rsidRPr="002117BA">
              <w:t>Original: español</w:t>
            </w:r>
          </w:p>
          <w:p w14:paraId="4899284F" w14:textId="5776B672" w:rsidR="002D5AAC" w:rsidRPr="002117BA" w:rsidRDefault="004377FA" w:rsidP="00935A0B">
            <w:pPr>
              <w:spacing w:line="240" w:lineRule="exact"/>
            </w:pPr>
            <w:r>
              <w:fldChar w:fldCharType="begin"/>
            </w:r>
            <w:r>
              <w:instrText xml:space="preserve"> DOCPROPERTY  virs  \* MERGEFORMAT </w:instrText>
            </w:r>
            <w:r>
              <w:fldChar w:fldCharType="separate"/>
            </w:r>
            <w:r>
              <w:t>Español, francés e inglés únicamente</w:t>
            </w:r>
            <w:r>
              <w:fldChar w:fldCharType="end"/>
            </w:r>
          </w:p>
        </w:tc>
      </w:tr>
    </w:tbl>
    <w:p w14:paraId="0AFE7568" w14:textId="77777777" w:rsidR="001A4396" w:rsidRPr="008E3C9D" w:rsidRDefault="00D7481B" w:rsidP="001A4396">
      <w:pPr>
        <w:spacing w:before="120"/>
        <w:rPr>
          <w:b/>
          <w:sz w:val="24"/>
          <w:szCs w:val="24"/>
          <w:lang w:val="es-ES_tradnl"/>
        </w:rPr>
      </w:pPr>
      <w:r w:rsidRPr="008E3C9D">
        <w:rPr>
          <w:b/>
          <w:sz w:val="24"/>
          <w:szCs w:val="24"/>
          <w:lang w:val="es-ES_tradnl"/>
        </w:rPr>
        <w:t>Comité para la Eliminación de la Discriminación Racial</w:t>
      </w:r>
    </w:p>
    <w:p w14:paraId="5EEADA24" w14:textId="025958E6" w:rsidR="009A7FC7" w:rsidRPr="009F6E7B" w:rsidRDefault="009A7FC7" w:rsidP="009A7FC7">
      <w:pPr>
        <w:rPr>
          <w:b/>
        </w:rPr>
      </w:pPr>
      <w:r w:rsidRPr="00D1642A">
        <w:rPr>
          <w:b/>
        </w:rPr>
        <w:fldChar w:fldCharType="begin"/>
      </w:r>
      <w:r w:rsidRPr="008E3C9D">
        <w:rPr>
          <w:b/>
        </w:rPr>
        <w:instrText xml:space="preserve"> DOCPROPERTY  snum  \* MERGEFORMAT </w:instrText>
      </w:r>
      <w:r w:rsidRPr="00D1642A">
        <w:rPr>
          <w:b/>
        </w:rPr>
        <w:fldChar w:fldCharType="separate"/>
      </w:r>
      <w:r w:rsidR="004377FA">
        <w:rPr>
          <w:b/>
        </w:rPr>
        <w:t>100ᵒ</w:t>
      </w:r>
      <w:r w:rsidRPr="00D1642A">
        <w:rPr>
          <w:b/>
        </w:rPr>
        <w:fldChar w:fldCharType="end"/>
      </w:r>
      <w:r w:rsidRPr="00D1642A">
        <w:rPr>
          <w:b/>
        </w:rPr>
        <w:t xml:space="preserve"> período de sesiones</w:t>
      </w:r>
    </w:p>
    <w:p w14:paraId="72BF7C3B" w14:textId="72DE9C5F" w:rsidR="009A7FC7" w:rsidRPr="00D1642A" w:rsidRDefault="00264B55" w:rsidP="009A7FC7">
      <w:r w:rsidRPr="00D1642A">
        <w:fldChar w:fldCharType="begin"/>
      </w:r>
      <w:r w:rsidRPr="008E3C9D">
        <w:instrText xml:space="preserve"> DOCPROPERTY  sdate  \* MERGEFORMAT </w:instrText>
      </w:r>
      <w:r w:rsidRPr="00D1642A">
        <w:fldChar w:fldCharType="separate"/>
      </w:r>
      <w:r w:rsidR="004377FA">
        <w:t>25 de noviembre a 13 de diciembre 2019</w:t>
      </w:r>
      <w:r w:rsidRPr="00D1642A">
        <w:fldChar w:fldCharType="end"/>
      </w:r>
    </w:p>
    <w:p w14:paraId="370DC584" w14:textId="77777777" w:rsidR="009A7FC7" w:rsidRPr="008E3C9D" w:rsidRDefault="009A7FC7" w:rsidP="009A7FC7">
      <w:r w:rsidRPr="008E3C9D">
        <w:t xml:space="preserve">Tema </w:t>
      </w:r>
      <w:r w:rsidR="00B0309D" w:rsidRPr="000574D4">
        <w:t>4</w:t>
      </w:r>
      <w:r w:rsidRPr="008E3C9D">
        <w:t xml:space="preserve"> del programa provisional</w:t>
      </w:r>
    </w:p>
    <w:p w14:paraId="265F29F4" w14:textId="6A8821A4" w:rsidR="009A7FC7" w:rsidRPr="00D1642A" w:rsidRDefault="009A7FC7" w:rsidP="009A7FC7">
      <w:pPr>
        <w:rPr>
          <w:b/>
          <w:bCs/>
        </w:rPr>
      </w:pPr>
      <w:r w:rsidRPr="00D1642A">
        <w:rPr>
          <w:b/>
          <w:bCs/>
        </w:rPr>
        <w:fldChar w:fldCharType="begin"/>
      </w:r>
      <w:r w:rsidRPr="008E3C9D">
        <w:rPr>
          <w:b/>
          <w:bCs/>
        </w:rPr>
        <w:instrText xml:space="preserve"> DOCPROPERTY  atitle  \* MERGEFORMAT </w:instrText>
      </w:r>
      <w:r w:rsidRPr="00D1642A">
        <w:rPr>
          <w:b/>
          <w:bCs/>
        </w:rPr>
        <w:fldChar w:fldCharType="separate"/>
      </w:r>
      <w:r w:rsidR="004377FA" w:rsidRPr="004377FA">
        <w:rPr>
          <w:b/>
        </w:rPr>
        <w:t>[Title]</w:t>
      </w:r>
      <w:r w:rsidRPr="00D1642A">
        <w:rPr>
          <w:b/>
          <w:bCs/>
        </w:rPr>
        <w:fldChar w:fldCharType="end"/>
      </w:r>
    </w:p>
    <w:p w14:paraId="2BD936AE" w14:textId="4F8EBE14" w:rsidR="009A7FC7" w:rsidRPr="00D1642A" w:rsidRDefault="001A4396" w:rsidP="009A7FC7">
      <w:pPr>
        <w:pStyle w:val="HChG"/>
      </w:pPr>
      <w:r w:rsidRPr="00D1642A">
        <w:rPr>
          <w:color w:val="000000"/>
        </w:rPr>
        <w:tab/>
      </w:r>
      <w:r w:rsidRPr="00D1642A">
        <w:rPr>
          <w:color w:val="000000"/>
        </w:rPr>
        <w:tab/>
      </w:r>
      <w:r w:rsidR="009A7FC7" w:rsidRPr="008E3C9D">
        <w:rPr>
          <w:lang w:val="es-ES_tradnl"/>
        </w:rPr>
        <w:t>Lista</w:t>
      </w:r>
      <w:r w:rsidR="009A7FC7" w:rsidRPr="00D1642A">
        <w:rPr>
          <w:lang w:val="es-ES_tradnl"/>
        </w:rPr>
        <w:t xml:space="preserve"> de temas relativa </w:t>
      </w:r>
      <w:r w:rsidR="009A7FC7" w:rsidRPr="00D1642A">
        <w:rPr>
          <w:szCs w:val="28"/>
          <w:lang w:val="es-ES_tradnl" w:eastAsia="en-US"/>
        </w:rPr>
        <w:fldChar w:fldCharType="begin"/>
      </w:r>
      <w:r w:rsidR="009A7FC7" w:rsidRPr="008E3C9D">
        <w:rPr>
          <w:szCs w:val="28"/>
          <w:lang w:val="es-ES_tradnl" w:eastAsia="en-US"/>
        </w:rPr>
        <w:instrText xml:space="preserve"> DOCPROPERTY  prep  \* MERGEFORMAT </w:instrText>
      </w:r>
      <w:r w:rsidR="009A7FC7" w:rsidRPr="00D1642A">
        <w:rPr>
          <w:szCs w:val="28"/>
          <w:lang w:val="es-ES_tradnl" w:eastAsia="en-US"/>
        </w:rPr>
        <w:fldChar w:fldCharType="separate"/>
      </w:r>
      <w:r w:rsidR="004377FA">
        <w:rPr>
          <w:szCs w:val="28"/>
          <w:lang w:val="es-ES_tradnl" w:eastAsia="en-US"/>
        </w:rPr>
        <w:t>a los informes periódicos 17ᵒ a 19ᵒ combinados de Colombia</w:t>
      </w:r>
      <w:r w:rsidR="009A7FC7" w:rsidRPr="00D1642A">
        <w:rPr>
          <w:szCs w:val="28"/>
          <w:lang w:val="es-ES_tradnl" w:eastAsia="en-US"/>
        </w:rPr>
        <w:fldChar w:fldCharType="end"/>
      </w:r>
    </w:p>
    <w:p w14:paraId="47137E2A" w14:textId="77777777" w:rsidR="009A7FC7" w:rsidRPr="008E3C9D" w:rsidRDefault="009A7FC7" w:rsidP="009A7FC7">
      <w:pPr>
        <w:pStyle w:val="H1G"/>
      </w:pPr>
      <w:r w:rsidRPr="008E3C9D">
        <w:tab/>
      </w:r>
      <w:r w:rsidRPr="008E3C9D">
        <w:tab/>
      </w:r>
      <w:r w:rsidRPr="008E3C9D">
        <w:rPr>
          <w:lang w:val="es-ES_tradnl"/>
        </w:rPr>
        <w:t>Nota del Relator para el país</w:t>
      </w:r>
    </w:p>
    <w:p w14:paraId="51DBD9A3" w14:textId="1379B3EE" w:rsidR="009A7FC7" w:rsidRPr="005B1B80" w:rsidRDefault="009A7FC7" w:rsidP="00F40407">
      <w:pPr>
        <w:pStyle w:val="SingleTxtG"/>
        <w:numPr>
          <w:ilvl w:val="0"/>
          <w:numId w:val="22"/>
        </w:numPr>
        <w:ind w:left="1134" w:firstLine="0"/>
      </w:pPr>
      <w:r w:rsidRPr="005B1B80">
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7A392DE2" w14:textId="57B74798" w:rsidR="00CE5D65" w:rsidRPr="00D1642A" w:rsidRDefault="009A7FC7" w:rsidP="0035574D">
      <w:pPr>
        <w:pStyle w:val="H23G"/>
        <w:rPr>
          <w:rFonts w:eastAsia="Times New Roman"/>
          <w:b w:val="0"/>
        </w:rPr>
      </w:pPr>
      <w:r w:rsidRPr="008E3C9D">
        <w:tab/>
      </w:r>
      <w:r w:rsidRPr="008E3C9D">
        <w:tab/>
      </w:r>
      <w:r w:rsidR="000E4F8D" w:rsidRPr="008E3C9D">
        <w:rPr>
          <w:rFonts w:eastAsia="Times New Roman"/>
        </w:rPr>
        <w:t>C</w:t>
      </w:r>
      <w:r w:rsidR="00CE5D65" w:rsidRPr="008E3C9D">
        <w:rPr>
          <w:rFonts w:eastAsia="Times New Roman"/>
        </w:rPr>
        <w:t>omposición demográfica</w:t>
      </w:r>
      <w:r w:rsidR="00CE5D65" w:rsidRPr="00D1642A">
        <w:rPr>
          <w:rFonts w:eastAsia="Times New Roman"/>
        </w:rPr>
        <w:t xml:space="preserve"> de la población</w:t>
      </w:r>
    </w:p>
    <w:p w14:paraId="7EA237FA" w14:textId="384FCD7D" w:rsidR="00264B55" w:rsidRPr="00D1642A" w:rsidRDefault="00435B09" w:rsidP="00F40407">
      <w:pPr>
        <w:pStyle w:val="SingleTxtG"/>
        <w:numPr>
          <w:ilvl w:val="0"/>
          <w:numId w:val="22"/>
        </w:numPr>
        <w:ind w:left="1134" w:firstLine="0"/>
        <w:rPr>
          <w:rFonts w:eastAsia="Times New Roman"/>
        </w:rPr>
      </w:pPr>
      <w:r w:rsidRPr="008E3C9D">
        <w:rPr>
          <w:rFonts w:eastAsia="Times New Roman"/>
        </w:rPr>
        <w:t>C</w:t>
      </w:r>
      <w:r w:rsidR="00CE5D65" w:rsidRPr="008E3C9D">
        <w:rPr>
          <w:rFonts w:eastAsia="Times New Roman"/>
        </w:rPr>
        <w:t>omposición</w:t>
      </w:r>
      <w:r w:rsidRPr="008E3C9D">
        <w:rPr>
          <w:rFonts w:eastAsia="Times New Roman"/>
        </w:rPr>
        <w:t xml:space="preserve"> étnica de</w:t>
      </w:r>
      <w:r w:rsidR="00CE5D65" w:rsidRPr="008E3C9D">
        <w:rPr>
          <w:rFonts w:eastAsia="Times New Roman"/>
        </w:rPr>
        <w:t xml:space="preserve"> la población del Estado parte, en particular con relación a la población afrocolombiana, negra, </w:t>
      </w:r>
      <w:r w:rsidR="00835687" w:rsidRPr="008E3C9D">
        <w:rPr>
          <w:rFonts w:eastAsia="Times New Roman"/>
        </w:rPr>
        <w:t>pal</w:t>
      </w:r>
      <w:r w:rsidR="00CB27DF">
        <w:rPr>
          <w:rFonts w:eastAsia="Times New Roman"/>
        </w:rPr>
        <w:t>e</w:t>
      </w:r>
      <w:r w:rsidR="00835687" w:rsidRPr="008E3C9D">
        <w:rPr>
          <w:rFonts w:eastAsia="Times New Roman"/>
        </w:rPr>
        <w:t>nquera</w:t>
      </w:r>
      <w:r w:rsidR="00264B55" w:rsidRPr="00D1642A">
        <w:rPr>
          <w:rFonts w:eastAsia="Times New Roman"/>
        </w:rPr>
        <w:t xml:space="preserve"> y raizal (CERD/C/COL/CO/15-16, párr</w:t>
      </w:r>
      <w:r w:rsidR="00CB27DF">
        <w:rPr>
          <w:rFonts w:eastAsia="Times New Roman"/>
        </w:rPr>
        <w:t>s</w:t>
      </w:r>
      <w:r w:rsidR="00264B55" w:rsidRPr="00D1642A">
        <w:rPr>
          <w:rFonts w:eastAsia="Times New Roman"/>
        </w:rPr>
        <w:t>. 7</w:t>
      </w:r>
      <w:r w:rsidR="00CB27DF">
        <w:rPr>
          <w:rFonts w:eastAsia="Times New Roman"/>
        </w:rPr>
        <w:t xml:space="preserve"> y </w:t>
      </w:r>
      <w:r w:rsidR="00264B55" w:rsidRPr="00D1642A">
        <w:rPr>
          <w:rFonts w:eastAsia="Times New Roman"/>
        </w:rPr>
        <w:t xml:space="preserve">8). </w:t>
      </w:r>
      <w:r w:rsidR="00264B55" w:rsidRPr="009F6E7B">
        <w:rPr>
          <w:rFonts w:eastAsia="Times New Roman"/>
        </w:rPr>
        <w:t xml:space="preserve">Resultados del </w:t>
      </w:r>
      <w:r w:rsidR="00264B55" w:rsidRPr="008E3C9D">
        <w:rPr>
          <w:rFonts w:eastAsia="Times New Roman"/>
        </w:rPr>
        <w:t xml:space="preserve">Censo de Población y Vivienda que estaba previsto para el 2016 y sobre la aplicación e incorporación del criterio de </w:t>
      </w:r>
      <w:r w:rsidR="00835687" w:rsidRPr="008E3C9D">
        <w:rPr>
          <w:rFonts w:eastAsia="Times New Roman"/>
        </w:rPr>
        <w:t>autoidentificación</w:t>
      </w:r>
      <w:r w:rsidR="00264B55" w:rsidRPr="00D1642A">
        <w:rPr>
          <w:rFonts w:eastAsia="Times New Roman"/>
        </w:rPr>
        <w:t>.</w:t>
      </w:r>
    </w:p>
    <w:p w14:paraId="2FB24835" w14:textId="5D339891" w:rsidR="00264B55" w:rsidRPr="008E3C9D" w:rsidRDefault="005B1B80" w:rsidP="005B1B80">
      <w:pPr>
        <w:pStyle w:val="H23G"/>
      </w:pPr>
      <w:r>
        <w:tab/>
      </w:r>
      <w:r>
        <w:tab/>
      </w:r>
      <w:r w:rsidR="00264B55" w:rsidRPr="008E3C9D">
        <w:t>Marco legal, institucional y de políticas públicas contra la discriminación racial (arts. 1, 2, 4, 5, 6 y 7)</w:t>
      </w:r>
    </w:p>
    <w:p w14:paraId="6A62CD8D" w14:textId="688AFAD7" w:rsidR="00264B55" w:rsidRPr="008E3C9D" w:rsidRDefault="00264B55" w:rsidP="00F40407">
      <w:pPr>
        <w:pStyle w:val="SingleTxtG"/>
        <w:numPr>
          <w:ilvl w:val="0"/>
          <w:numId w:val="22"/>
        </w:numPr>
        <w:ind w:left="1134" w:firstLine="0"/>
        <w:rPr>
          <w:rFonts w:eastAsia="Times New Roman"/>
          <w:bCs/>
        </w:rPr>
      </w:pPr>
      <w:r w:rsidRPr="008E3C9D">
        <w:rPr>
          <w:rFonts w:eastAsia="Times New Roman"/>
        </w:rPr>
        <w:t xml:space="preserve">Medidas para combatir la discriminación estructural, la pobreza, la exclusión social y </w:t>
      </w:r>
      <w:r w:rsidR="00B21F8D">
        <w:rPr>
          <w:rFonts w:eastAsia="Times New Roman"/>
        </w:rPr>
        <w:t xml:space="preserve">la </w:t>
      </w:r>
      <w:r w:rsidRPr="008E3C9D">
        <w:rPr>
          <w:rFonts w:eastAsia="Times New Roman"/>
        </w:rPr>
        <w:t xml:space="preserve">marginación que </w:t>
      </w:r>
      <w:r w:rsidRPr="005B1B80">
        <w:t>afecta</w:t>
      </w:r>
      <w:r w:rsidRPr="008E3C9D">
        <w:rPr>
          <w:rFonts w:eastAsia="Times New Roman"/>
        </w:rPr>
        <w:t xml:space="preserve"> de manera significativa a los pueblos indígenas y </w:t>
      </w:r>
      <w:r w:rsidR="00B21F8D">
        <w:rPr>
          <w:rFonts w:eastAsia="Times New Roman"/>
        </w:rPr>
        <w:t xml:space="preserve">las </w:t>
      </w:r>
      <w:r w:rsidRPr="008E3C9D">
        <w:rPr>
          <w:rFonts w:eastAsia="Times New Roman"/>
        </w:rPr>
        <w:t xml:space="preserve">personas afrodescendientes. Avances en la implementación de la </w:t>
      </w:r>
      <w:r w:rsidR="00B21F8D">
        <w:rPr>
          <w:rFonts w:eastAsia="Times New Roman"/>
        </w:rPr>
        <w:t>L</w:t>
      </w:r>
      <w:r w:rsidRPr="008E3C9D">
        <w:rPr>
          <w:rFonts w:eastAsia="Times New Roman"/>
        </w:rPr>
        <w:t xml:space="preserve">ey 70 </w:t>
      </w:r>
      <w:r w:rsidR="00B21F8D">
        <w:rPr>
          <w:rFonts w:eastAsia="Times New Roman"/>
        </w:rPr>
        <w:t xml:space="preserve">de 1993 </w:t>
      </w:r>
      <w:r w:rsidRPr="008E3C9D">
        <w:rPr>
          <w:rFonts w:eastAsia="Times New Roman"/>
        </w:rPr>
        <w:t>y su impacto.</w:t>
      </w:r>
      <w:r w:rsidRPr="008E3C9D">
        <w:rPr>
          <w:rFonts w:eastAsia="Times New Roman"/>
          <w:bCs/>
        </w:rPr>
        <w:t xml:space="preserve"> </w:t>
      </w:r>
    </w:p>
    <w:p w14:paraId="5AC33DF8" w14:textId="650ADB71" w:rsidR="005B1B80" w:rsidRDefault="00264B55" w:rsidP="005B1B80">
      <w:pPr>
        <w:pStyle w:val="SingleTxtG"/>
        <w:numPr>
          <w:ilvl w:val="0"/>
          <w:numId w:val="22"/>
        </w:numPr>
        <w:ind w:left="1134" w:firstLine="0"/>
        <w:rPr>
          <w:rFonts w:eastAsia="Times New Roman"/>
          <w:bCs/>
        </w:rPr>
      </w:pPr>
      <w:r w:rsidRPr="005B1B80">
        <w:rPr>
          <w:rFonts w:eastAsia="Times New Roman"/>
        </w:rPr>
        <w:t xml:space="preserve">Medidas adoptadas para asegurar que: a) la definición de discriminación racial en su legislación sea </w:t>
      </w:r>
      <w:r w:rsidRPr="005B1B80">
        <w:t>conforme</w:t>
      </w:r>
      <w:r w:rsidRPr="005B1B80">
        <w:rPr>
          <w:rFonts w:eastAsia="Times New Roman"/>
        </w:rPr>
        <w:t xml:space="preserve"> al artículo 1, párrafo 1, de la </w:t>
      </w:r>
      <w:r w:rsidRPr="005B1B80">
        <w:rPr>
          <w:rFonts w:eastAsia="Times New Roman"/>
          <w:lang w:val="es-ES_tradnl"/>
        </w:rPr>
        <w:t>Convención</w:t>
      </w:r>
      <w:r w:rsidRPr="005B1B80">
        <w:rPr>
          <w:rFonts w:eastAsia="Times New Roman"/>
        </w:rPr>
        <w:t>; b) la legislación penal est</w:t>
      </w:r>
      <w:r w:rsidR="00B21F8D">
        <w:rPr>
          <w:rFonts w:eastAsia="Times New Roman"/>
        </w:rPr>
        <w:t>é</w:t>
      </w:r>
      <w:r w:rsidRPr="005B1B80">
        <w:rPr>
          <w:rFonts w:eastAsia="Times New Roman"/>
        </w:rPr>
        <w:t xml:space="preserve"> en plena conformidad con el artículo 4 de la </w:t>
      </w:r>
      <w:r w:rsidR="00835687" w:rsidRPr="005B1B80">
        <w:rPr>
          <w:rFonts w:eastAsia="Times New Roman"/>
        </w:rPr>
        <w:t>Convención</w:t>
      </w:r>
      <w:r w:rsidR="00B21F8D">
        <w:rPr>
          <w:rFonts w:eastAsia="Times New Roman"/>
        </w:rPr>
        <w:t>; c</w:t>
      </w:r>
      <w:r w:rsidRPr="005B1B80">
        <w:rPr>
          <w:rFonts w:eastAsia="Times New Roman"/>
        </w:rPr>
        <w:t xml:space="preserve">) </w:t>
      </w:r>
      <w:r w:rsidRPr="005B1B80">
        <w:rPr>
          <w:rFonts w:eastAsia="Times New Roman"/>
          <w:bCs/>
        </w:rPr>
        <w:t>se introduzca la prohibición de la discriminación directa e indirecta en todos los ámbitos de</w:t>
      </w:r>
      <w:r w:rsidR="005B1B80" w:rsidRPr="005B1B80">
        <w:rPr>
          <w:rFonts w:eastAsia="Times New Roman"/>
          <w:bCs/>
        </w:rPr>
        <w:t xml:space="preserve"> la vida pública y en relación </w:t>
      </w:r>
      <w:r w:rsidRPr="005B1B80">
        <w:rPr>
          <w:rFonts w:eastAsia="Times New Roman"/>
          <w:bCs/>
        </w:rPr>
        <w:t>con el artículo 5 de la Convención (CERD/C/COL/CO/15-16, párr</w:t>
      </w:r>
      <w:r w:rsidR="00B21F8D">
        <w:rPr>
          <w:rFonts w:eastAsia="Times New Roman"/>
          <w:bCs/>
        </w:rPr>
        <w:t>.</w:t>
      </w:r>
      <w:r w:rsidRPr="005B1B80">
        <w:rPr>
          <w:rFonts w:eastAsia="Times New Roman"/>
          <w:bCs/>
        </w:rPr>
        <w:t xml:space="preserve"> 10). </w:t>
      </w:r>
    </w:p>
    <w:p w14:paraId="2E0F1A94" w14:textId="1FDCCC61" w:rsidR="00264B55" w:rsidRPr="005B1B80" w:rsidRDefault="00264B55" w:rsidP="00F40407">
      <w:pPr>
        <w:pStyle w:val="SingleTxtG"/>
        <w:numPr>
          <w:ilvl w:val="0"/>
          <w:numId w:val="22"/>
        </w:numPr>
        <w:ind w:left="1134" w:firstLine="0"/>
        <w:rPr>
          <w:rFonts w:eastAsia="Times New Roman"/>
          <w:bCs/>
        </w:rPr>
      </w:pPr>
      <w:r w:rsidRPr="005B1B80">
        <w:rPr>
          <w:rFonts w:eastAsia="Times New Roman"/>
        </w:rPr>
        <w:t xml:space="preserve">Implementación de la </w:t>
      </w:r>
      <w:r w:rsidR="00B21F8D">
        <w:rPr>
          <w:rFonts w:eastAsia="Times New Roman"/>
        </w:rPr>
        <w:t>L</w:t>
      </w:r>
      <w:r w:rsidRPr="005B1B80">
        <w:rPr>
          <w:rFonts w:eastAsia="Times New Roman"/>
        </w:rPr>
        <w:t xml:space="preserve">ey 1482 de 2011 y datos actualizados sobre el número de denuncias, </w:t>
      </w:r>
      <w:r w:rsidRPr="005B1B80">
        <w:t>casos</w:t>
      </w:r>
      <w:r w:rsidRPr="005B1B80">
        <w:rPr>
          <w:rFonts w:eastAsia="Times New Roman"/>
        </w:rPr>
        <w:t xml:space="preserve"> investigados, sentencias, penas impuestas y reparaciones otorgadas a las v</w:t>
      </w:r>
      <w:r w:rsidR="00B21F8D">
        <w:rPr>
          <w:rFonts w:eastAsia="Times New Roman"/>
        </w:rPr>
        <w:t>í</w:t>
      </w:r>
      <w:r w:rsidRPr="005B1B80">
        <w:rPr>
          <w:rFonts w:eastAsia="Times New Roman"/>
        </w:rPr>
        <w:t>ctimas</w:t>
      </w:r>
    </w:p>
    <w:p w14:paraId="147B67A0" w14:textId="65FA39A0" w:rsidR="00264B55" w:rsidRPr="002117BA" w:rsidRDefault="00264B55" w:rsidP="005B1B80">
      <w:pPr>
        <w:pStyle w:val="SingleTxtG"/>
        <w:numPr>
          <w:ilvl w:val="0"/>
          <w:numId w:val="22"/>
        </w:numPr>
        <w:ind w:left="1134" w:firstLine="0"/>
        <w:rPr>
          <w:rFonts w:eastAsia="Calibri"/>
          <w:lang w:eastAsia="en-US"/>
        </w:rPr>
      </w:pPr>
      <w:r w:rsidRPr="002117BA">
        <w:rPr>
          <w:rFonts w:eastAsia="Calibri"/>
          <w:lang w:eastAsia="en-US"/>
        </w:rPr>
        <w:t xml:space="preserve">Impacto de las actividades realizadas por el Observatorio contra la Discriminación </w:t>
      </w:r>
      <w:r w:rsidR="00B21F8D" w:rsidRPr="002117BA">
        <w:rPr>
          <w:rFonts w:eastAsia="Calibri"/>
          <w:lang w:eastAsia="en-US"/>
        </w:rPr>
        <w:t xml:space="preserve">Racial </w:t>
      </w:r>
      <w:r w:rsidRPr="002117BA">
        <w:rPr>
          <w:rFonts w:eastAsia="Calibri"/>
          <w:lang w:eastAsia="en-US"/>
        </w:rPr>
        <w:t>y el Racismo (</w:t>
      </w:r>
      <w:hyperlink r:id="rId9" w:history="1">
        <w:r w:rsidRPr="002117BA">
          <w:rPr>
            <w:rFonts w:eastAsia="Calibri"/>
            <w:lang w:eastAsia="en-US"/>
          </w:rPr>
          <w:t>CERD/C/COL/17-19</w:t>
        </w:r>
      </w:hyperlink>
      <w:r w:rsidRPr="002117BA">
        <w:rPr>
          <w:rFonts w:eastAsia="Calibri"/>
          <w:lang w:eastAsia="en-US"/>
        </w:rPr>
        <w:t>, párr. 38). Resultados de la encuesta nacional de discriminación y medidas de seguimiento (</w:t>
      </w:r>
      <w:hyperlink r:id="rId10" w:history="1">
        <w:r w:rsidRPr="002117BA">
          <w:rPr>
            <w:rFonts w:eastAsia="Calibri"/>
            <w:lang w:eastAsia="en-US"/>
          </w:rPr>
          <w:t>CERD/C/COL/17-19</w:t>
        </w:r>
      </w:hyperlink>
      <w:r w:rsidRPr="002117BA">
        <w:rPr>
          <w:rFonts w:eastAsia="Calibri"/>
          <w:bCs/>
          <w:lang w:eastAsia="en-US"/>
        </w:rPr>
        <w:t>, párr</w:t>
      </w:r>
      <w:r w:rsidR="00137857" w:rsidRPr="002117BA">
        <w:rPr>
          <w:rFonts w:eastAsia="Calibri"/>
          <w:bCs/>
          <w:lang w:eastAsia="en-US"/>
        </w:rPr>
        <w:t>s.</w:t>
      </w:r>
      <w:r w:rsidRPr="002117BA">
        <w:rPr>
          <w:rFonts w:eastAsia="Calibri"/>
          <w:lang w:eastAsia="en-US"/>
        </w:rPr>
        <w:t xml:space="preserve"> 42 a 45).</w:t>
      </w:r>
    </w:p>
    <w:p w14:paraId="5D432004" w14:textId="0FCDFCC8" w:rsidR="00264B55" w:rsidRPr="008E3C9D" w:rsidRDefault="005B1B80">
      <w:pPr>
        <w:pStyle w:val="H23G"/>
      </w:pPr>
      <w:r>
        <w:lastRenderedPageBreak/>
        <w:tab/>
      </w:r>
      <w:r>
        <w:tab/>
      </w:r>
      <w:r w:rsidR="00264B55" w:rsidRPr="008E3C9D">
        <w:t xml:space="preserve">Situación de los pueblos indígenas y </w:t>
      </w:r>
      <w:r w:rsidR="00137857">
        <w:t xml:space="preserve">las </w:t>
      </w:r>
      <w:r w:rsidR="00264B55" w:rsidRPr="008E3C9D">
        <w:t>p</w:t>
      </w:r>
      <w:r w:rsidR="002825C9">
        <w:t>ersonas afrodescendientes (art</w:t>
      </w:r>
      <w:r w:rsidR="00137857">
        <w:t>s</w:t>
      </w:r>
      <w:r w:rsidR="002825C9">
        <w:t>. </w:t>
      </w:r>
      <w:r w:rsidR="00264B55" w:rsidRPr="008E3C9D">
        <w:t>2, 4, 5 y 6)</w:t>
      </w:r>
    </w:p>
    <w:p w14:paraId="733030D0" w14:textId="4131411A" w:rsidR="00264B55" w:rsidRPr="00686318" w:rsidRDefault="00264B55" w:rsidP="005B1B80">
      <w:pPr>
        <w:pStyle w:val="SingleTxtG"/>
        <w:numPr>
          <w:ilvl w:val="0"/>
          <w:numId w:val="22"/>
        </w:numPr>
        <w:ind w:left="1134" w:firstLine="0"/>
        <w:rPr>
          <w:rFonts w:eastAsia="Times New Roman"/>
          <w:lang w:val="es-ES_tradnl"/>
        </w:rPr>
      </w:pPr>
      <w:r w:rsidRPr="00686318">
        <w:rPr>
          <w:rFonts w:eastAsia="Times New Roman"/>
          <w:lang w:val="es-ES_tradnl"/>
        </w:rPr>
        <w:t xml:space="preserve">Aplicación efectiva del derecho a la consulta previa </w:t>
      </w:r>
      <w:r w:rsidRPr="00686318">
        <w:rPr>
          <w:rFonts w:eastAsia="Times New Roman"/>
          <w:bCs/>
        </w:rPr>
        <w:t xml:space="preserve">de los pueblos indígenas y </w:t>
      </w:r>
      <w:r w:rsidRPr="00686318">
        <w:t>afrocolombianos</w:t>
      </w:r>
      <w:r w:rsidRPr="00686318">
        <w:rPr>
          <w:rFonts w:eastAsia="Times New Roman"/>
          <w:bCs/>
        </w:rPr>
        <w:t xml:space="preserve"> en todos los procesos legislativos o administrativos o para la realización de </w:t>
      </w:r>
      <w:r w:rsidRPr="00686318">
        <w:rPr>
          <w:rFonts w:eastAsia="Times New Roman"/>
          <w:bCs/>
          <w:lang w:val="es-ES_tradnl"/>
        </w:rPr>
        <w:t>proyectos, obras o actividades</w:t>
      </w:r>
      <w:r w:rsidRPr="00686318">
        <w:rPr>
          <w:rFonts w:eastAsia="Times New Roman"/>
          <w:bCs/>
        </w:rPr>
        <w:t xml:space="preserve"> que puedan afectar sus derechos</w:t>
      </w:r>
      <w:r w:rsidRPr="00686318">
        <w:rPr>
          <w:rFonts w:eastAsia="Times New Roman"/>
          <w:lang w:val="es-ES_tradnl"/>
        </w:rPr>
        <w:t xml:space="preserve">. </w:t>
      </w:r>
      <w:r w:rsidRPr="00686318">
        <w:rPr>
          <w:rFonts w:eastAsia="Times New Roman"/>
        </w:rPr>
        <w:t>Procesos de consulta previa realizados y sus resultados respecto al otorgamiento de licencias para la realización de estos proyectos.</w:t>
      </w:r>
    </w:p>
    <w:p w14:paraId="59260AAE" w14:textId="4B819447" w:rsidR="00264B55" w:rsidRPr="002117BA" w:rsidRDefault="00264B55" w:rsidP="00686318">
      <w:pPr>
        <w:pStyle w:val="SingleTxtG"/>
        <w:numPr>
          <w:ilvl w:val="0"/>
          <w:numId w:val="22"/>
        </w:numPr>
        <w:ind w:left="1134" w:firstLine="0"/>
        <w:rPr>
          <w:rFonts w:eastAsia="Calibri"/>
          <w:bCs/>
          <w:lang w:eastAsia="en-US"/>
        </w:rPr>
      </w:pPr>
      <w:r w:rsidRPr="002117BA">
        <w:rPr>
          <w:rFonts w:eastAsia="Calibri"/>
          <w:bCs/>
          <w:lang w:eastAsia="en-US"/>
        </w:rPr>
        <w:t>Implementación efectiva de la Ley de Víctimas y Restitución de Tierras (Ley 1448 de 2011) y de la Ley 70 de 1993. Goce efectivo por los pueblos indígenas y afrocolombianos de sus derechos territoriales</w:t>
      </w:r>
      <w:r w:rsidRPr="002117BA">
        <w:rPr>
          <w:rFonts w:eastAsia="Calibri"/>
          <w:bCs/>
          <w:lang w:val="es-CO" w:eastAsia="en-US"/>
        </w:rPr>
        <w:t xml:space="preserve"> e impacto de los Decretos 1953 de 2014 y 632 de 2018 en la garantía de estos derechos</w:t>
      </w:r>
      <w:r w:rsidRPr="002117BA">
        <w:rPr>
          <w:rFonts w:eastAsia="Calibri"/>
          <w:bCs/>
          <w:lang w:eastAsia="en-US"/>
        </w:rPr>
        <w:t>. Estado actual de las demandas de restitución de tierras (</w:t>
      </w:r>
      <w:hyperlink r:id="rId11" w:history="1">
        <w:r w:rsidRPr="002117BA">
          <w:rPr>
            <w:rFonts w:eastAsia="Calibri"/>
            <w:bCs/>
            <w:lang w:eastAsia="en-US"/>
          </w:rPr>
          <w:t>CERD/C/COL/17-19</w:t>
        </w:r>
      </w:hyperlink>
      <w:r w:rsidRPr="002117BA">
        <w:rPr>
          <w:rFonts w:eastAsia="Calibri"/>
          <w:bCs/>
          <w:lang w:eastAsia="en-US"/>
        </w:rPr>
        <w:t xml:space="preserve">, párr. 154). </w:t>
      </w:r>
    </w:p>
    <w:p w14:paraId="5318FB9B" w14:textId="0FB4D5B5" w:rsidR="00264B55" w:rsidRPr="002117BA" w:rsidRDefault="00264B55" w:rsidP="00F40407">
      <w:pPr>
        <w:pStyle w:val="SingleTxtG"/>
        <w:numPr>
          <w:ilvl w:val="0"/>
          <w:numId w:val="22"/>
        </w:numPr>
        <w:ind w:left="1134" w:firstLine="0"/>
        <w:rPr>
          <w:rFonts w:eastAsia="Calibri"/>
          <w:lang w:eastAsia="en-US"/>
        </w:rPr>
      </w:pPr>
      <w:r w:rsidRPr="002117BA">
        <w:rPr>
          <w:rFonts w:eastAsia="Calibri"/>
          <w:lang w:val="es-ES_tradnl" w:eastAsia="en-US"/>
        </w:rPr>
        <w:t>Impacto de las medidas mencionadas en los párrafos 207, 209 y 212 del informe del Estado</w:t>
      </w:r>
      <w:r w:rsidRPr="002117BA">
        <w:rPr>
          <w:rFonts w:eastAsia="Calibri"/>
          <w:bCs/>
          <w:lang w:val="es-CO" w:eastAsia="en-US"/>
        </w:rPr>
        <w:t xml:space="preserve"> </w:t>
      </w:r>
      <w:r w:rsidR="00E073E8" w:rsidRPr="002117BA">
        <w:rPr>
          <w:rFonts w:eastAsia="Calibri"/>
          <w:bCs/>
          <w:lang w:val="es-CO" w:eastAsia="en-US"/>
        </w:rPr>
        <w:t xml:space="preserve">parte </w:t>
      </w:r>
      <w:r w:rsidRPr="002117BA">
        <w:rPr>
          <w:rFonts w:eastAsia="Calibri"/>
          <w:bCs/>
          <w:lang w:val="es-CO" w:eastAsia="en-US"/>
        </w:rPr>
        <w:t xml:space="preserve">con respecto a la protección de </w:t>
      </w:r>
      <w:r w:rsidRPr="002117BA">
        <w:rPr>
          <w:rFonts w:eastAsia="Calibri"/>
          <w:bCs/>
          <w:lang w:eastAsia="en-US"/>
        </w:rPr>
        <w:t xml:space="preserve">los derechos de los pueblos indígenas y </w:t>
      </w:r>
      <w:r w:rsidRPr="005B1B80">
        <w:t>afrocolombianos</w:t>
      </w:r>
      <w:r w:rsidRPr="002117BA">
        <w:rPr>
          <w:rFonts w:eastAsia="Calibri"/>
          <w:bCs/>
          <w:lang w:eastAsia="en-US"/>
        </w:rPr>
        <w:t xml:space="preserve"> sobre las tierras y recursos naturales,</w:t>
      </w:r>
      <w:r w:rsidRPr="002117BA">
        <w:rPr>
          <w:rFonts w:eastAsia="Calibri"/>
          <w:bCs/>
          <w:lang w:val="es-ES_tradnl" w:eastAsia="en-US"/>
        </w:rPr>
        <w:t xml:space="preserve"> en particular en el Norte del Cauca, el pueblo </w:t>
      </w:r>
      <w:r w:rsidR="00E073E8" w:rsidRPr="002117BA">
        <w:rPr>
          <w:rFonts w:eastAsia="Calibri"/>
          <w:bCs/>
          <w:lang w:val="es-ES_tradnl" w:eastAsia="en-US"/>
        </w:rPr>
        <w:t>w</w:t>
      </w:r>
      <w:r w:rsidR="00BB3F02" w:rsidRPr="002117BA">
        <w:rPr>
          <w:rFonts w:eastAsia="Calibri"/>
          <w:bCs/>
          <w:lang w:val="es-ES_tradnl" w:eastAsia="en-US"/>
        </w:rPr>
        <w:t>ayuu</w:t>
      </w:r>
      <w:r w:rsidRPr="002117BA">
        <w:rPr>
          <w:rFonts w:eastAsia="Calibri"/>
          <w:bCs/>
          <w:lang w:val="es-ES_tradnl" w:eastAsia="en-US"/>
        </w:rPr>
        <w:t xml:space="preserve"> y los pueblos indígenas en Putumayo y Nariño. </w:t>
      </w:r>
    </w:p>
    <w:p w14:paraId="5FEF6EC8" w14:textId="27772A31" w:rsidR="00264B55" w:rsidRPr="002117BA" w:rsidRDefault="00264B55" w:rsidP="00F40407">
      <w:pPr>
        <w:pStyle w:val="SingleTxtG"/>
        <w:numPr>
          <w:ilvl w:val="0"/>
          <w:numId w:val="22"/>
        </w:numPr>
        <w:ind w:left="1134" w:firstLine="0"/>
        <w:rPr>
          <w:rFonts w:eastAsia="Calibri"/>
          <w:lang w:eastAsia="en-US"/>
        </w:rPr>
      </w:pPr>
      <w:r w:rsidRPr="00D1642A">
        <w:rPr>
          <w:rFonts w:eastAsia="Times New Roman"/>
          <w:bCs/>
          <w:lang w:val="es-ES_tradnl"/>
        </w:rPr>
        <w:t xml:space="preserve">Impacto de las </w:t>
      </w:r>
      <w:r w:rsidRPr="002117BA">
        <w:rPr>
          <w:rFonts w:eastAsia="Calibri"/>
          <w:bCs/>
          <w:lang w:eastAsia="en-US"/>
        </w:rPr>
        <w:t xml:space="preserve">medidas adoptadas para garantizar el acceso a la educación, al trabajo y </w:t>
      </w:r>
      <w:r w:rsidR="00524EB3" w:rsidRPr="002117BA">
        <w:rPr>
          <w:rFonts w:eastAsia="Calibri"/>
          <w:bCs/>
          <w:lang w:eastAsia="en-US"/>
        </w:rPr>
        <w:t xml:space="preserve">a servicios de </w:t>
      </w:r>
      <w:r w:rsidR="00835687" w:rsidRPr="002117BA">
        <w:rPr>
          <w:rFonts w:eastAsia="Calibri"/>
          <w:bCs/>
          <w:lang w:eastAsia="en-US"/>
        </w:rPr>
        <w:t>salu</w:t>
      </w:r>
      <w:r w:rsidR="00524EB3" w:rsidRPr="002117BA">
        <w:rPr>
          <w:rFonts w:eastAsia="Calibri"/>
          <w:bCs/>
          <w:lang w:eastAsia="en-US"/>
        </w:rPr>
        <w:t xml:space="preserve">d </w:t>
      </w:r>
      <w:r w:rsidR="00835687" w:rsidRPr="002117BA">
        <w:rPr>
          <w:rFonts w:eastAsia="Calibri"/>
          <w:bCs/>
          <w:lang w:eastAsia="en-US"/>
        </w:rPr>
        <w:t>d</w:t>
      </w:r>
      <w:r w:rsidR="00835687" w:rsidRPr="002117BA">
        <w:rPr>
          <w:rFonts w:eastAsia="Calibri"/>
          <w:lang w:eastAsia="en-US"/>
        </w:rPr>
        <w:t>e</w:t>
      </w:r>
      <w:r w:rsidRPr="002117BA">
        <w:rPr>
          <w:rFonts w:eastAsia="Calibri"/>
          <w:lang w:eastAsia="en-US"/>
        </w:rPr>
        <w:t xml:space="preserve"> las personas afrocolombianas e indígenas, incluyendo niños, niñas y adolescentes, particularmente </w:t>
      </w:r>
      <w:r w:rsidRPr="002117BA">
        <w:rPr>
          <w:rFonts w:eastAsia="Calibri"/>
          <w:lang w:val="es-ES_tradnl" w:eastAsia="en-US"/>
        </w:rPr>
        <w:t>en zonas rurales y remotas</w:t>
      </w:r>
      <w:r w:rsidRPr="002117BA">
        <w:rPr>
          <w:rFonts w:eastAsia="Calibri"/>
          <w:lang w:eastAsia="en-US"/>
        </w:rPr>
        <w:t xml:space="preserve">. </w:t>
      </w:r>
    </w:p>
    <w:p w14:paraId="27CDFB9C" w14:textId="52FE5D95" w:rsidR="00264B55" w:rsidRPr="002117BA" w:rsidRDefault="00264B55" w:rsidP="00860EA7">
      <w:pPr>
        <w:pStyle w:val="SingleTxtG"/>
        <w:numPr>
          <w:ilvl w:val="0"/>
          <w:numId w:val="22"/>
        </w:numPr>
        <w:ind w:left="1134" w:firstLine="0"/>
        <w:rPr>
          <w:rFonts w:eastAsia="Calibri"/>
          <w:lang w:eastAsia="en-US"/>
        </w:rPr>
      </w:pPr>
      <w:r w:rsidRPr="002117BA">
        <w:rPr>
          <w:rFonts w:eastAsia="Calibri"/>
          <w:lang w:val="es-ES_tradnl" w:eastAsia="en-US"/>
        </w:rPr>
        <w:t xml:space="preserve">Implementación del </w:t>
      </w:r>
      <w:r w:rsidRPr="002117BA">
        <w:rPr>
          <w:rFonts w:eastAsia="Calibri"/>
          <w:lang w:eastAsia="en-US"/>
        </w:rPr>
        <w:t>Sistema Indígena de Salud Propia e Inte</w:t>
      </w:r>
      <w:r w:rsidR="00524EB3" w:rsidRPr="002117BA">
        <w:rPr>
          <w:rFonts w:eastAsia="Calibri"/>
          <w:lang w:eastAsia="en-US"/>
        </w:rPr>
        <w:t>rcultural</w:t>
      </w:r>
      <w:r w:rsidRPr="002117BA">
        <w:rPr>
          <w:rFonts w:eastAsia="Calibri"/>
          <w:lang w:eastAsia="en-US"/>
        </w:rPr>
        <w:t xml:space="preserve"> y de la </w:t>
      </w:r>
      <w:r w:rsidRPr="005B1B80">
        <w:t>Circular</w:t>
      </w:r>
      <w:r w:rsidRPr="002117BA">
        <w:rPr>
          <w:rFonts w:eastAsia="Calibri"/>
          <w:lang w:eastAsia="en-US"/>
        </w:rPr>
        <w:t xml:space="preserve"> 11 </w:t>
      </w:r>
      <w:r w:rsidR="00860EA7" w:rsidRPr="002117BA">
        <w:rPr>
          <w:rFonts w:eastAsia="Calibri"/>
          <w:lang w:eastAsia="en-US"/>
        </w:rPr>
        <w:t xml:space="preserve">de 2018 </w:t>
      </w:r>
      <w:r w:rsidRPr="002117BA">
        <w:rPr>
          <w:rFonts w:eastAsia="Calibri"/>
          <w:lang w:eastAsia="en-US"/>
        </w:rPr>
        <w:t xml:space="preserve">respecto al acceso a la salud. Medidas para asegurar el registro de nacimientos. </w:t>
      </w:r>
    </w:p>
    <w:p w14:paraId="0488E0AC" w14:textId="062BE568" w:rsidR="00264B55" w:rsidRPr="005B1B80" w:rsidRDefault="00264B55" w:rsidP="005B1B80">
      <w:pPr>
        <w:pStyle w:val="SingleTxtG"/>
        <w:numPr>
          <w:ilvl w:val="0"/>
          <w:numId w:val="22"/>
        </w:numPr>
        <w:ind w:left="1134" w:firstLine="0"/>
      </w:pPr>
      <w:r w:rsidRPr="005B1B80">
        <w:t xml:space="preserve">Impacto de las medidas adoptadas para promover y preservar la identidad cultural de los pueblos indígenas y afrocolombianos. </w:t>
      </w:r>
    </w:p>
    <w:p w14:paraId="23C65C98" w14:textId="2621278D" w:rsidR="00264B55" w:rsidRPr="005B1B80" w:rsidRDefault="00264B55" w:rsidP="00F40407">
      <w:pPr>
        <w:pStyle w:val="SingleTxtG"/>
        <w:numPr>
          <w:ilvl w:val="0"/>
          <w:numId w:val="22"/>
        </w:numPr>
        <w:ind w:left="1134" w:firstLine="0"/>
      </w:pPr>
      <w:r w:rsidRPr="005B1B80">
        <w:t xml:space="preserve">Acceso al agua potable y saneamiento básico por parte de </w:t>
      </w:r>
      <w:r w:rsidR="00860EA7">
        <w:t xml:space="preserve">los </w:t>
      </w:r>
      <w:r w:rsidRPr="005B1B80">
        <w:t>pueblos indígenas y afrocolombianos en zonas rurales y remotas, incluyend</w:t>
      </w:r>
      <w:r w:rsidR="00835687">
        <w:t xml:space="preserve">o el pueblo </w:t>
      </w:r>
      <w:r w:rsidR="00524EB3">
        <w:t>way</w:t>
      </w:r>
      <w:r w:rsidR="00BB3F02">
        <w:t>uu</w:t>
      </w:r>
      <w:r w:rsidR="00524EB3" w:rsidRPr="005B1B80">
        <w:t xml:space="preserve"> </w:t>
      </w:r>
      <w:r w:rsidRPr="005B1B80">
        <w:t xml:space="preserve">en </w:t>
      </w:r>
      <w:r w:rsidR="00860EA7">
        <w:t>L</w:t>
      </w:r>
      <w:r w:rsidRPr="005B1B80">
        <w:t>a Guajira</w:t>
      </w:r>
      <w:r w:rsidR="00591CFB">
        <w:t xml:space="preserve"> y </w:t>
      </w:r>
      <w:r w:rsidRPr="005B1B80">
        <w:t>los pueblos indígenas del Choc</w:t>
      </w:r>
      <w:r w:rsidR="00860EA7">
        <w:t>ó</w:t>
      </w:r>
      <w:r w:rsidRPr="005B1B80">
        <w:t>.</w:t>
      </w:r>
    </w:p>
    <w:p w14:paraId="20ED64B1" w14:textId="0311D5C9" w:rsidR="00264B55" w:rsidRPr="005B1B80" w:rsidRDefault="00264B55" w:rsidP="00F40407">
      <w:pPr>
        <w:pStyle w:val="SingleTxtG"/>
        <w:numPr>
          <w:ilvl w:val="0"/>
          <w:numId w:val="22"/>
        </w:numPr>
        <w:ind w:left="1134" w:firstLine="0"/>
      </w:pPr>
      <w:r w:rsidRPr="005B1B80">
        <w:t>Implementación de las resoluciones de la Corte Constitucional y de los planes de salvaguarda étnica de los pueblos que han sido identificados como en peligro de extinción física o cultural. Protección efectiva de los pueblos indígenas en aislamiento voluntario o en situación de contacto inic</w:t>
      </w:r>
      <w:r w:rsidR="00835687">
        <w:t xml:space="preserve">ial, particularmente el pueblo </w:t>
      </w:r>
      <w:r w:rsidR="00602888">
        <w:t>n</w:t>
      </w:r>
      <w:r w:rsidRPr="005B1B80">
        <w:t>ukak</w:t>
      </w:r>
      <w:r w:rsidR="00602888">
        <w:t xml:space="preserve"> </w:t>
      </w:r>
      <w:r w:rsidRPr="005B1B80">
        <w:t xml:space="preserve">makú. </w:t>
      </w:r>
    </w:p>
    <w:p w14:paraId="4F8206CC" w14:textId="335BE7E2" w:rsidR="00264B55" w:rsidRPr="005B1B80" w:rsidRDefault="00264B55" w:rsidP="005B1B80">
      <w:pPr>
        <w:pStyle w:val="SingleTxtG"/>
        <w:numPr>
          <w:ilvl w:val="0"/>
          <w:numId w:val="22"/>
        </w:numPr>
        <w:ind w:left="1134" w:firstLine="0"/>
      </w:pPr>
      <w:r w:rsidRPr="005B1B80">
        <w:t>Impacto del Plan de Acción Integral y Prevención para la población afrocolombiana de Buenaventura. Investigaciones y sus resultados sobre violaciones de derechos humanos contra esta población.</w:t>
      </w:r>
    </w:p>
    <w:p w14:paraId="3C4517B1" w14:textId="5E432136" w:rsidR="00264B55" w:rsidRPr="005B1B80" w:rsidRDefault="00264B55" w:rsidP="00F40407">
      <w:pPr>
        <w:pStyle w:val="SingleTxtG"/>
        <w:numPr>
          <w:ilvl w:val="0"/>
          <w:numId w:val="22"/>
        </w:numPr>
        <w:ind w:left="1134" w:firstLine="0"/>
      </w:pPr>
      <w:r w:rsidRPr="005B1B80">
        <w:t xml:space="preserve">Promoción de la participación política de las personas pertenecientes a pueblos indígenas y personas afrodescendientes, en particular en cargos de toma de decisiones, así como su representación en las instituciones de la </w:t>
      </w:r>
      <w:r w:rsidR="00602888">
        <w:t>A</w:t>
      </w:r>
      <w:r w:rsidRPr="005B1B80">
        <w:t xml:space="preserve">dministración pública y en aquellas instituciones encargadas de diseñar políticas que les conciernen. </w:t>
      </w:r>
    </w:p>
    <w:p w14:paraId="4F7AE6AD" w14:textId="4140E845" w:rsidR="00264B55" w:rsidRPr="008E3C9D" w:rsidRDefault="00591CFB">
      <w:pPr>
        <w:pStyle w:val="H23G"/>
      </w:pPr>
      <w:r>
        <w:rPr>
          <w:lang w:val="es-ES_tradnl"/>
        </w:rPr>
        <w:tab/>
      </w:r>
      <w:r>
        <w:rPr>
          <w:lang w:val="es-ES_tradnl"/>
        </w:rPr>
        <w:tab/>
      </w:r>
      <w:r w:rsidR="00264B55" w:rsidRPr="008E3C9D">
        <w:rPr>
          <w:lang w:val="es-ES_tradnl"/>
        </w:rPr>
        <w:t>Impacto del conflicto armado, acuerdos de paz, justicia y reparación</w:t>
      </w:r>
      <w:r w:rsidR="00264B55" w:rsidRPr="008E3C9D">
        <w:t xml:space="preserve"> (art</w:t>
      </w:r>
      <w:r w:rsidR="00723742">
        <w:t>s</w:t>
      </w:r>
      <w:r w:rsidR="00264B55" w:rsidRPr="008E3C9D">
        <w:t>. 2</w:t>
      </w:r>
      <w:r w:rsidR="00723742">
        <w:t xml:space="preserve"> y</w:t>
      </w:r>
      <w:r w:rsidR="00264B55" w:rsidRPr="008E3C9D">
        <w:t xml:space="preserve"> 5)</w:t>
      </w:r>
    </w:p>
    <w:p w14:paraId="77217347" w14:textId="5F4540B1" w:rsidR="00264B55" w:rsidRPr="005B1B80" w:rsidRDefault="00264B55" w:rsidP="005B1B80">
      <w:pPr>
        <w:pStyle w:val="SingleTxtG"/>
        <w:numPr>
          <w:ilvl w:val="0"/>
          <w:numId w:val="22"/>
        </w:numPr>
        <w:ind w:left="1134" w:firstLine="0"/>
      </w:pPr>
      <w:r w:rsidRPr="005B1B80">
        <w:t>Prevención y protección de los pueblos indígenas y afrocolombianos contra los desalojos forzosos. Resultados de la implementación del Programa de Garantías de los Derechos de los Pueblos Indígenas Afectados por el Desplazamiento y del Plan Integral de Prevención, Protección y Atención para la población afrocolombiana en situación de desplazamiento.</w:t>
      </w:r>
    </w:p>
    <w:p w14:paraId="59506D18" w14:textId="452249E0" w:rsidR="00264B55" w:rsidRPr="002117BA" w:rsidRDefault="00264B55" w:rsidP="005B1B80">
      <w:pPr>
        <w:pStyle w:val="SingleTxtG"/>
        <w:numPr>
          <w:ilvl w:val="0"/>
          <w:numId w:val="22"/>
        </w:numPr>
        <w:ind w:left="1134" w:firstLine="0"/>
        <w:rPr>
          <w:rFonts w:eastAsia="Calibri"/>
          <w:lang w:eastAsia="en-US"/>
        </w:rPr>
      </w:pPr>
      <w:r w:rsidRPr="005B1B80">
        <w:t>Prevención del reclutamiento de niños y niñas indígenas y afrocolombianos por parte de grupos armados</w:t>
      </w:r>
      <w:r w:rsidRPr="002117BA">
        <w:rPr>
          <w:rFonts w:eastAsia="Calibri"/>
          <w:bCs/>
          <w:lang w:eastAsia="en-US"/>
        </w:rPr>
        <w:t xml:space="preserve"> no estatales y de la violencia sexual contra mujeres afrocolombianas e indígenas, así como </w:t>
      </w:r>
      <w:r w:rsidRPr="002117BA">
        <w:rPr>
          <w:rFonts w:eastAsia="Calibri"/>
          <w:lang w:eastAsia="en-US"/>
        </w:rPr>
        <w:t>resultados de las medidas adoptadas (</w:t>
      </w:r>
      <w:hyperlink r:id="rId12" w:history="1">
        <w:r w:rsidRPr="00835687">
          <w:rPr>
            <w:rFonts w:eastAsia="Calibri"/>
            <w:lang w:eastAsia="en-US"/>
          </w:rPr>
          <w:t>CERD/C/COL/CO/15-16/Add.1</w:t>
        </w:r>
      </w:hyperlink>
      <w:r w:rsidRPr="00D1642A">
        <w:rPr>
          <w:rFonts w:eastAsia="Calibri"/>
          <w:lang w:eastAsia="en-US"/>
        </w:rPr>
        <w:t>, p</w:t>
      </w:r>
      <w:r w:rsidR="00723742">
        <w:rPr>
          <w:rFonts w:eastAsia="Calibri"/>
          <w:lang w:eastAsia="en-US"/>
        </w:rPr>
        <w:t>árrs</w:t>
      </w:r>
      <w:r w:rsidRPr="00D1642A">
        <w:rPr>
          <w:rFonts w:eastAsia="Calibri"/>
          <w:lang w:eastAsia="en-US"/>
        </w:rPr>
        <w:t>.</w:t>
      </w:r>
      <w:r w:rsidR="005B1B80">
        <w:rPr>
          <w:rFonts w:eastAsia="Calibri"/>
          <w:lang w:eastAsia="en-US"/>
        </w:rPr>
        <w:t> </w:t>
      </w:r>
      <w:r w:rsidRPr="00D1642A">
        <w:rPr>
          <w:rFonts w:eastAsia="Calibri"/>
          <w:lang w:eastAsia="en-US"/>
        </w:rPr>
        <w:t>11 y 12</w:t>
      </w:r>
      <w:r w:rsidRPr="002117BA">
        <w:rPr>
          <w:rFonts w:eastAsia="Calibri"/>
          <w:lang w:eastAsia="en-US"/>
        </w:rPr>
        <w:t xml:space="preserve">) con respecto a la Ley 1719 de 2014 sobre el acceso a la justicia para las víctimas de violencia sexual, especialmente relacionadas con el conflicto armado. </w:t>
      </w:r>
    </w:p>
    <w:p w14:paraId="7D7606C2" w14:textId="12561FFD" w:rsidR="00264B55" w:rsidRPr="002117BA" w:rsidRDefault="00264B55" w:rsidP="00F40407">
      <w:pPr>
        <w:pStyle w:val="SingleTxtG"/>
        <w:numPr>
          <w:ilvl w:val="0"/>
          <w:numId w:val="22"/>
        </w:numPr>
        <w:ind w:left="1134" w:firstLine="0"/>
        <w:rPr>
          <w:rFonts w:eastAsia="Calibri"/>
          <w:lang w:val="es-CO" w:eastAsia="en-US"/>
        </w:rPr>
      </w:pPr>
      <w:r w:rsidRPr="001A17F7">
        <w:t>Participación</w:t>
      </w:r>
      <w:r w:rsidRPr="002117BA">
        <w:rPr>
          <w:rFonts w:eastAsia="Calibri"/>
          <w:lang w:eastAsia="en-US"/>
        </w:rPr>
        <w:t xml:space="preserve"> de los pueblos indígenas y de la población afrocolombiana en la implementación del </w:t>
      </w:r>
      <w:r w:rsidR="00723742" w:rsidRPr="002117BA">
        <w:rPr>
          <w:rFonts w:eastAsia="Calibri"/>
          <w:lang w:eastAsia="en-US"/>
        </w:rPr>
        <w:t>A</w:t>
      </w:r>
      <w:r w:rsidRPr="002117BA">
        <w:rPr>
          <w:rFonts w:eastAsia="Calibri"/>
          <w:lang w:eastAsia="en-US"/>
        </w:rPr>
        <w:t xml:space="preserve">cuerdo de </w:t>
      </w:r>
      <w:r w:rsidR="00723742" w:rsidRPr="002117BA">
        <w:rPr>
          <w:rFonts w:eastAsia="Calibri"/>
          <w:lang w:eastAsia="en-US"/>
        </w:rPr>
        <w:t>P</w:t>
      </w:r>
      <w:r w:rsidRPr="002117BA">
        <w:rPr>
          <w:rFonts w:eastAsia="Calibri"/>
          <w:lang w:eastAsia="en-US"/>
        </w:rPr>
        <w:t>az y</w:t>
      </w:r>
      <w:r w:rsidR="00723742" w:rsidRPr="002117BA">
        <w:rPr>
          <w:rFonts w:eastAsia="Calibri"/>
          <w:lang w:eastAsia="en-US"/>
        </w:rPr>
        <w:t>,</w:t>
      </w:r>
      <w:r w:rsidRPr="002117BA">
        <w:rPr>
          <w:rFonts w:eastAsia="Calibri"/>
          <w:lang w:eastAsia="en-US"/>
        </w:rPr>
        <w:t xml:space="preserve"> en particular, los resultados obtenidos del </w:t>
      </w:r>
      <w:r w:rsidRPr="002117BA">
        <w:rPr>
          <w:rFonts w:eastAsia="Calibri"/>
          <w:lang w:val="es-CO" w:eastAsia="en-US"/>
        </w:rPr>
        <w:t>Plan Marco de Implementación y la implementación del Capítulo Étnico.</w:t>
      </w:r>
    </w:p>
    <w:p w14:paraId="5722BA4C" w14:textId="0BB004DB" w:rsidR="00264B55" w:rsidRPr="002117BA" w:rsidRDefault="00264B55" w:rsidP="005B1B80">
      <w:pPr>
        <w:pStyle w:val="SingleTxtG"/>
        <w:numPr>
          <w:ilvl w:val="0"/>
          <w:numId w:val="22"/>
        </w:numPr>
        <w:ind w:left="1134" w:firstLine="0"/>
        <w:rPr>
          <w:rFonts w:eastAsia="Calibri"/>
          <w:lang w:val="es-CO" w:eastAsia="en-US"/>
        </w:rPr>
      </w:pPr>
      <w:r w:rsidRPr="002117BA">
        <w:rPr>
          <w:rFonts w:eastAsia="Calibri"/>
          <w:bCs/>
          <w:lang w:eastAsia="en-US"/>
        </w:rPr>
        <w:t xml:space="preserve">Avances en las investigaciones y reparaciones otorgadas relativas a las violaciones de derechos humanos contra miembros de pueblos indígenas y afrocolombianos en el marco del conflicto </w:t>
      </w:r>
      <w:r w:rsidRPr="005B1B80">
        <w:t>armado</w:t>
      </w:r>
      <w:r w:rsidRPr="002117BA">
        <w:rPr>
          <w:rFonts w:eastAsia="Calibri"/>
          <w:bCs/>
          <w:lang w:eastAsia="en-US"/>
        </w:rPr>
        <w:t xml:space="preserve">. </w:t>
      </w:r>
      <w:r w:rsidRPr="002117BA">
        <w:rPr>
          <w:rFonts w:eastAsia="Calibri"/>
          <w:lang w:eastAsia="en-US"/>
        </w:rPr>
        <w:t xml:space="preserve">Resultados del Sistema Integral de Verdad, </w:t>
      </w:r>
      <w:r w:rsidRPr="002117BA">
        <w:rPr>
          <w:rFonts w:eastAsia="Calibri"/>
          <w:lang w:val="es-CO" w:eastAsia="en-US"/>
        </w:rPr>
        <w:t>Justicia, Reparación y No Repetición.</w:t>
      </w:r>
    </w:p>
    <w:p w14:paraId="6211439C" w14:textId="0D15D6A6" w:rsidR="00264B55" w:rsidRPr="002117BA" w:rsidRDefault="00264B55" w:rsidP="00F40407">
      <w:pPr>
        <w:pStyle w:val="SingleTxtG"/>
        <w:numPr>
          <w:ilvl w:val="0"/>
          <w:numId w:val="22"/>
        </w:numPr>
        <w:ind w:left="1134" w:firstLine="0"/>
        <w:rPr>
          <w:rFonts w:eastAsia="Calibri"/>
          <w:lang w:val="es-CO" w:eastAsia="en-US"/>
        </w:rPr>
      </w:pPr>
      <w:r w:rsidRPr="002117BA">
        <w:rPr>
          <w:rFonts w:eastAsia="Calibri"/>
          <w:lang w:eastAsia="en-US"/>
        </w:rPr>
        <w:t xml:space="preserve">Resultados de las evaluaciones realizadas por el Ministerio del Interior de los informes de </w:t>
      </w:r>
      <w:r w:rsidRPr="001B219C">
        <w:t>riesgo</w:t>
      </w:r>
      <w:r w:rsidRPr="002117BA">
        <w:rPr>
          <w:rFonts w:eastAsia="Calibri"/>
          <w:lang w:eastAsia="en-US"/>
        </w:rPr>
        <w:t xml:space="preserve"> emitidos por el S</w:t>
      </w:r>
      <w:r w:rsidR="001B219C" w:rsidRPr="002117BA">
        <w:rPr>
          <w:rFonts w:eastAsia="Calibri"/>
          <w:lang w:eastAsia="en-US"/>
        </w:rPr>
        <w:t xml:space="preserve">istema de </w:t>
      </w:r>
      <w:r w:rsidRPr="002117BA">
        <w:rPr>
          <w:rFonts w:eastAsia="Calibri"/>
          <w:lang w:eastAsia="en-US"/>
        </w:rPr>
        <w:t>A</w:t>
      </w:r>
      <w:r w:rsidR="001B219C" w:rsidRPr="002117BA">
        <w:rPr>
          <w:rFonts w:eastAsia="Calibri"/>
          <w:lang w:eastAsia="en-US"/>
        </w:rPr>
        <w:t xml:space="preserve">lertas </w:t>
      </w:r>
      <w:r w:rsidRPr="002117BA">
        <w:rPr>
          <w:rFonts w:eastAsia="Calibri"/>
          <w:lang w:eastAsia="en-US"/>
        </w:rPr>
        <w:t>T</w:t>
      </w:r>
      <w:r w:rsidR="001B219C" w:rsidRPr="002117BA">
        <w:rPr>
          <w:rFonts w:eastAsia="Calibri"/>
          <w:lang w:eastAsia="en-US"/>
        </w:rPr>
        <w:t>empranas</w:t>
      </w:r>
      <w:r w:rsidRPr="002117BA">
        <w:rPr>
          <w:rFonts w:eastAsia="Calibri"/>
          <w:lang w:eastAsia="en-US"/>
        </w:rPr>
        <w:t xml:space="preserve"> y resultados de las recomendaciones emitidas al respecto. Implementación del </w:t>
      </w:r>
      <w:r w:rsidR="001B219C" w:rsidRPr="002117BA">
        <w:rPr>
          <w:rFonts w:eastAsia="Calibri"/>
          <w:lang w:eastAsia="en-US"/>
        </w:rPr>
        <w:t>n</w:t>
      </w:r>
      <w:r w:rsidRPr="002117BA">
        <w:rPr>
          <w:rFonts w:eastAsia="Calibri"/>
          <w:lang w:eastAsia="en-US"/>
        </w:rPr>
        <w:t xml:space="preserve">uevo </w:t>
      </w:r>
      <w:r w:rsidRPr="002117BA">
        <w:rPr>
          <w:rFonts w:eastAsia="Calibri"/>
          <w:lang w:val="es-CO" w:eastAsia="en-US"/>
        </w:rPr>
        <w:t>Sistema de Prevención y Alerta para la Reacción Rápida.</w:t>
      </w:r>
    </w:p>
    <w:p w14:paraId="58D250B1" w14:textId="51F9C68E" w:rsidR="00264B55" w:rsidRPr="00C76789" w:rsidRDefault="005B1B80" w:rsidP="005B1B80">
      <w:pPr>
        <w:pStyle w:val="H23G"/>
      </w:pPr>
      <w:r>
        <w:rPr>
          <w:lang w:val="es-CO"/>
        </w:rPr>
        <w:tab/>
      </w:r>
      <w:r>
        <w:rPr>
          <w:lang w:val="es-CO"/>
        </w:rPr>
        <w:tab/>
      </w:r>
      <w:r w:rsidR="00264B55" w:rsidRPr="004355A6">
        <w:t xml:space="preserve">Situación de defensores de derechos humanos </w:t>
      </w:r>
      <w:r w:rsidR="00264B55" w:rsidRPr="004355A6">
        <w:rPr>
          <w:lang w:val="es-ES_tradnl"/>
        </w:rPr>
        <w:t>y líderes de pueblos indígenas y afrocolombianos</w:t>
      </w:r>
      <w:r w:rsidR="00264B55" w:rsidRPr="00C76789">
        <w:t xml:space="preserve"> (art. 5)</w:t>
      </w:r>
    </w:p>
    <w:p w14:paraId="271E1260" w14:textId="7774996B" w:rsidR="00264B55" w:rsidRPr="009F6E7B" w:rsidRDefault="00264B55" w:rsidP="005B1B80">
      <w:pPr>
        <w:pStyle w:val="SingleTxtG"/>
        <w:numPr>
          <w:ilvl w:val="0"/>
          <w:numId w:val="22"/>
        </w:numPr>
        <w:ind w:left="1134" w:firstLine="0"/>
        <w:rPr>
          <w:rFonts w:eastAsia="Times New Roman"/>
          <w:b/>
        </w:rPr>
      </w:pPr>
      <w:r w:rsidRPr="005B1B80">
        <w:t>Protección</w:t>
      </w:r>
      <w:r w:rsidRPr="009F6E7B">
        <w:rPr>
          <w:rFonts w:eastAsia="Times New Roman"/>
        </w:rPr>
        <w:t xml:space="preserve"> de defensores de derechos humanos pertenecientes a pueblos indígenas o afrocolombianos</w:t>
      </w:r>
      <w:r w:rsidRPr="00D1642A">
        <w:rPr>
          <w:rFonts w:eastAsia="Times New Roman"/>
        </w:rPr>
        <w:t xml:space="preserve"> y prevención de</w:t>
      </w:r>
      <w:r w:rsidRPr="004355A6">
        <w:rPr>
          <w:rFonts w:eastAsia="Times New Roman"/>
        </w:rPr>
        <w:t xml:space="preserve"> actos de violencia contra estos, así como </w:t>
      </w:r>
      <w:r w:rsidRPr="00D1642A">
        <w:rPr>
          <w:rFonts w:eastAsia="Times New Roman"/>
        </w:rPr>
        <w:t>r</w:t>
      </w:r>
      <w:r w:rsidRPr="004355A6">
        <w:rPr>
          <w:rFonts w:eastAsia="Times New Roman"/>
        </w:rPr>
        <w:t>esultados de las medidas tomadas para estos fines</w:t>
      </w:r>
      <w:r w:rsidRPr="00D1642A">
        <w:rPr>
          <w:rFonts w:eastAsia="Times New Roman"/>
        </w:rPr>
        <w:t>.</w:t>
      </w:r>
      <w:r w:rsidRPr="00D1642A">
        <w:rPr>
          <w:rFonts w:eastAsia="Times New Roman"/>
          <w:lang w:val="es-CO"/>
        </w:rPr>
        <w:t xml:space="preserve"> </w:t>
      </w:r>
      <w:r w:rsidRPr="004355A6">
        <w:rPr>
          <w:rFonts w:eastAsia="Times New Roman"/>
        </w:rPr>
        <w:t>Funcionamiento efectivo de la Unidad Nacional de Protección</w:t>
      </w:r>
      <w:r w:rsidRPr="00D1642A">
        <w:rPr>
          <w:rFonts w:eastAsia="Times New Roman"/>
        </w:rPr>
        <w:t>, incluyendo en áreas rurales.</w:t>
      </w:r>
      <w:r w:rsidRPr="00D1642A">
        <w:rPr>
          <w:rFonts w:eastAsia="Times New Roman"/>
          <w:b/>
        </w:rPr>
        <w:t xml:space="preserve"> </w:t>
      </w:r>
      <w:r w:rsidRPr="009F6E7B">
        <w:rPr>
          <w:rFonts w:eastAsia="Times New Roman"/>
        </w:rPr>
        <w:t xml:space="preserve">Investigaciones relativas a asesinatos y actos de violencia, amenazas, intimidación y represalias en contra de estos defensores. </w:t>
      </w:r>
    </w:p>
    <w:p w14:paraId="71ABE0CE" w14:textId="57C20128" w:rsidR="00264B55" w:rsidRDefault="00264B55" w:rsidP="005B1B80">
      <w:pPr>
        <w:pStyle w:val="SingleTxtG"/>
        <w:numPr>
          <w:ilvl w:val="0"/>
          <w:numId w:val="22"/>
        </w:numPr>
        <w:ind w:left="1134" w:firstLine="0"/>
        <w:rPr>
          <w:rFonts w:eastAsia="Times New Roman"/>
          <w:bCs/>
        </w:rPr>
      </w:pPr>
      <w:r w:rsidRPr="008E3C9D">
        <w:rPr>
          <w:rFonts w:eastAsia="Times New Roman"/>
          <w:bCs/>
        </w:rPr>
        <w:t>Resultados de las medidas adoptadas para fortalecer el funcionamiento de la jurisdicción especial indígena y mejorar el acceso a la justicia por parte de pueblos indígenas y afrodesce</w:t>
      </w:r>
      <w:r w:rsidR="005B1B80">
        <w:rPr>
          <w:rFonts w:eastAsia="Times New Roman"/>
          <w:bCs/>
        </w:rPr>
        <w:t xml:space="preserve">ndientes. </w:t>
      </w:r>
    </w:p>
    <w:p w14:paraId="03AA82FB" w14:textId="080F10A3" w:rsidR="00264B55" w:rsidRPr="008E3C9D" w:rsidRDefault="00264B55" w:rsidP="005B1B80">
      <w:pPr>
        <w:pStyle w:val="SingleTxtG"/>
        <w:numPr>
          <w:ilvl w:val="0"/>
          <w:numId w:val="22"/>
        </w:numPr>
        <w:ind w:left="1134" w:firstLine="0"/>
        <w:rPr>
          <w:rFonts w:eastAsia="Times New Roman"/>
          <w:bCs/>
        </w:rPr>
      </w:pPr>
      <w:r w:rsidRPr="005B1B80">
        <w:t>Resultados</w:t>
      </w:r>
      <w:r w:rsidRPr="008E3C9D">
        <w:rPr>
          <w:rFonts w:eastAsia="Times New Roman"/>
        </w:rPr>
        <w:t xml:space="preserve"> de las medidas adoptadas para combatir las múltiples formas de discriminación que afectan a las mujeres indígenas y afrocolombianas </w:t>
      </w:r>
      <w:r w:rsidRPr="008E3C9D">
        <w:rPr>
          <w:rFonts w:eastAsia="Times New Roman"/>
          <w:bCs/>
        </w:rPr>
        <w:t xml:space="preserve">y para mejorar su acceso a la educación, empleo, justicia y salud. </w:t>
      </w:r>
    </w:p>
    <w:p w14:paraId="4B0B5410" w14:textId="65BC75CA" w:rsidR="00381C24" w:rsidRPr="005B1B80" w:rsidRDefault="00264B55" w:rsidP="000B6D12">
      <w:pPr>
        <w:pStyle w:val="SingleTxtG"/>
        <w:numPr>
          <w:ilvl w:val="0"/>
          <w:numId w:val="22"/>
        </w:numPr>
        <w:ind w:left="1134" w:firstLine="0"/>
        <w:rPr>
          <w:u w:val="single"/>
        </w:rPr>
      </w:pPr>
      <w:r w:rsidRPr="005B1B80">
        <w:rPr>
          <w:rFonts w:eastAsia="Times New Roman"/>
          <w:bCs/>
          <w:lang w:val="es-ES_tradnl"/>
        </w:rPr>
        <w:t xml:space="preserve">Resultados del </w:t>
      </w:r>
      <w:r w:rsidRPr="005B1B80">
        <w:rPr>
          <w:rFonts w:eastAsia="Times New Roman"/>
          <w:bCs/>
          <w:lang w:val="es-CO"/>
        </w:rPr>
        <w:t xml:space="preserve">Programa de Protección de los Derechos Fundamentales de las Mujeres </w:t>
      </w:r>
      <w:r w:rsidRPr="005B1B80">
        <w:t>Indígenas</w:t>
      </w:r>
      <w:r w:rsidRPr="005B1B80">
        <w:rPr>
          <w:rFonts w:eastAsia="Times New Roman"/>
          <w:bCs/>
          <w:lang w:val="es-CO"/>
        </w:rPr>
        <w:t xml:space="preserve"> en situación de desplazamiento o en riesgo</w:t>
      </w:r>
      <w:r w:rsidR="005B1B80">
        <w:rPr>
          <w:rFonts w:eastAsia="Times New Roman"/>
          <w:bCs/>
          <w:lang w:val="es-CO"/>
        </w:rPr>
        <w:t>.</w:t>
      </w:r>
    </w:p>
    <w:p w14:paraId="09FFB2E2" w14:textId="33E5C43A" w:rsidR="005B1B80" w:rsidRPr="005B1B80" w:rsidRDefault="005B1B80" w:rsidP="005B1B80">
      <w:pPr>
        <w:pStyle w:val="SingleTxtG"/>
        <w:suppressAutoHyphens/>
        <w:spacing w:before="240" w:after="0"/>
        <w:jc w:val="center"/>
        <w:rPr>
          <w:u w:val="single"/>
        </w:rPr>
      </w:pPr>
      <w:bookmarkStart w:id="0" w:name="_GoBack"/>
      <w:bookmarkEnd w:id="0"/>
      <w:r>
        <w:rPr>
          <w:rFonts w:eastAsia="Times New Roman"/>
          <w:bCs/>
          <w:u w:val="single"/>
          <w:lang w:val="es-CO"/>
        </w:rPr>
        <w:tab/>
      </w:r>
      <w:r>
        <w:rPr>
          <w:rFonts w:eastAsia="Times New Roman"/>
          <w:bCs/>
          <w:u w:val="single"/>
          <w:lang w:val="es-CO"/>
        </w:rPr>
        <w:tab/>
      </w:r>
      <w:r>
        <w:rPr>
          <w:rFonts w:eastAsia="Times New Roman"/>
          <w:bCs/>
          <w:u w:val="single"/>
          <w:lang w:val="es-CO"/>
        </w:rPr>
        <w:tab/>
      </w:r>
    </w:p>
    <w:sectPr w:rsidR="005B1B80" w:rsidRPr="005B1B80" w:rsidSect="00E56EE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F82F8" w14:textId="77777777" w:rsidR="00B565E3" w:rsidRDefault="00B565E3">
      <w:r>
        <w:separator/>
      </w:r>
    </w:p>
  </w:endnote>
  <w:endnote w:type="continuationSeparator" w:id="0">
    <w:p w14:paraId="3B25CA68" w14:textId="77777777" w:rsidR="00B565E3" w:rsidRDefault="00B5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6CD98" w14:textId="5CBF6F24" w:rsidR="00C43435" w:rsidRPr="001A4396" w:rsidRDefault="00C43435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4377FA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  <w:r>
      <w:fldChar w:fldCharType="begin"/>
    </w:r>
    <w:r>
      <w:instrText xml:space="preserve"> DOCPROPERTY  gdocf  \* MERGEFORMAT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076E9" w14:textId="1E42D62D" w:rsidR="00C43435" w:rsidRPr="001A4396" w:rsidRDefault="00C43435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fldChar w:fldCharType="begin"/>
    </w:r>
    <w:r>
      <w:instrText xml:space="preserve"> DOCPROPERTY  gdocf  \* MERGEFORMAT </w:instrText>
    </w:r>
    <w:r>
      <w:fldChar w:fldCharType="end"/>
    </w: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4377FA"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08C72" w14:textId="5544B715" w:rsidR="00C43435" w:rsidRPr="005F601D" w:rsidRDefault="005F601D" w:rsidP="005F601D">
    <w:pPr>
      <w:pStyle w:val="Footer"/>
      <w:spacing w:before="120" w:line="240" w:lineRule="auto"/>
      <w:rPr>
        <w:sz w:val="20"/>
      </w:rPr>
    </w:pPr>
    <w:r>
      <w:rPr>
        <w:sz w:val="20"/>
      </w:rPr>
      <w:t>GE.19-17310  (S)</w:t>
    </w:r>
    <w:r>
      <w:rPr>
        <w:sz w:val="20"/>
      </w:rPr>
      <w:br/>
    </w:r>
    <w:r w:rsidRPr="005F601D">
      <w:rPr>
        <w:rFonts w:ascii="C39T30Lfz" w:hAnsi="C39T30Lfz"/>
        <w:sz w:val="56"/>
      </w:rPr>
      <w:t></w:t>
    </w:r>
    <w:r w:rsidRPr="005F601D">
      <w:rPr>
        <w:rFonts w:ascii="C39T30Lfz" w:hAnsi="C39T30Lfz"/>
        <w:sz w:val="56"/>
      </w:rPr>
      <w:t></w:t>
    </w:r>
    <w:r w:rsidRPr="005F601D">
      <w:rPr>
        <w:rFonts w:ascii="C39T30Lfz" w:hAnsi="C39T30Lfz"/>
        <w:sz w:val="56"/>
      </w:rPr>
      <w:t></w:t>
    </w:r>
    <w:r w:rsidRPr="005F601D">
      <w:rPr>
        <w:rFonts w:ascii="C39T30Lfz" w:hAnsi="C39T30Lfz"/>
        <w:sz w:val="56"/>
      </w:rPr>
      <w:t></w:t>
    </w:r>
    <w:r w:rsidRPr="005F601D">
      <w:rPr>
        <w:rFonts w:ascii="C39T30Lfz" w:hAnsi="C39T30Lfz"/>
        <w:sz w:val="56"/>
      </w:rPr>
      <w:t></w:t>
    </w:r>
    <w:r w:rsidRPr="005F601D">
      <w:rPr>
        <w:rFonts w:ascii="C39T30Lfz" w:hAnsi="C39T30Lfz"/>
        <w:sz w:val="56"/>
      </w:rPr>
      <w:t></w:t>
    </w:r>
    <w:r w:rsidRPr="005F601D">
      <w:rPr>
        <w:rFonts w:ascii="C39T30Lfz" w:hAnsi="C39T30Lfz"/>
        <w:sz w:val="56"/>
      </w:rPr>
      <w:t></w:t>
    </w:r>
    <w:r w:rsidRPr="005F601D">
      <w:rPr>
        <w:rFonts w:ascii="C39T30Lfz" w:hAnsi="C39T30Lfz"/>
        <w:sz w:val="56"/>
      </w:rPr>
      <w:t></w:t>
    </w:r>
    <w:r w:rsidRPr="005F601D">
      <w:rPr>
        <w:rFonts w:ascii="C39T30Lfz" w:hAnsi="C39T30Lfz"/>
        <w:sz w:val="56"/>
      </w:rPr>
      <w:t></w:t>
    </w:r>
    <w:r w:rsidRPr="005F601D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 wp14:anchorId="483094B1" wp14:editId="0AC5320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0E125B1C" wp14:editId="7504294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2" descr="https://undocs.org/m2/QRCode.ashx?DS=CERD/C/COL/Q/17-19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undocs.org/m2/QRCode.ashx?DS=CERD/C/COL/Q/17-19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88BB5" w14:textId="77777777" w:rsidR="00B565E3" w:rsidRPr="001075E9" w:rsidRDefault="00B565E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862068C" w14:textId="77777777" w:rsidR="00B565E3" w:rsidRDefault="00B565E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B2A8F" w14:textId="7F02F109" w:rsidR="00C43435" w:rsidRPr="001A4396" w:rsidRDefault="00C04D81">
    <w:pPr>
      <w:pStyle w:val="Header"/>
    </w:pPr>
    <w:fldSimple w:instr=" DOCPROPERTY  symh  \* MERGEFORMAT ">
      <w:r w:rsidR="004377FA">
        <w:t>CERD/C/COL/Q/17-19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366FA" w14:textId="4312955D" w:rsidR="00C43435" w:rsidRPr="00935A0B" w:rsidRDefault="00C04D81" w:rsidP="00935A0B">
    <w:pPr>
      <w:pStyle w:val="Header"/>
      <w:jc w:val="right"/>
      <w:rPr>
        <w:u w:val="double"/>
      </w:rPr>
    </w:pPr>
    <w:fldSimple w:instr=" DOCPROPERTY  symh  \* MERGEFORMAT ">
      <w:r w:rsidR="004377FA">
        <w:t>CERD/C/COL/Q/17-19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4BF3A" w14:textId="77777777" w:rsidR="00C43435" w:rsidRDefault="00C43435" w:rsidP="00A711F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DC33CE7"/>
    <w:multiLevelType w:val="hybridMultilevel"/>
    <w:tmpl w:val="47421EE4"/>
    <w:lvl w:ilvl="0" w:tplc="68AAD7E2">
      <w:start w:val="1"/>
      <w:numFmt w:val="decimal"/>
      <w:lvlText w:val="%1."/>
      <w:lvlJc w:val="righ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B7160F"/>
    <w:multiLevelType w:val="hybridMultilevel"/>
    <w:tmpl w:val="C4348F88"/>
    <w:lvl w:ilvl="0" w:tplc="68AAD7E2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7B72201"/>
    <w:multiLevelType w:val="hybridMultilevel"/>
    <w:tmpl w:val="423ECEA2"/>
    <w:lvl w:ilvl="0" w:tplc="95D44A98">
      <w:start w:val="1"/>
      <w:numFmt w:val="decimal"/>
      <w:lvlText w:val="%1."/>
      <w:lvlJc w:val="left"/>
      <w:pPr>
        <w:ind w:left="1854" w:hanging="360"/>
      </w:pPr>
      <w:rPr>
        <w:rFonts w:ascii="Times New Roman" w:eastAsia="Calibri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A767085"/>
    <w:multiLevelType w:val="hybridMultilevel"/>
    <w:tmpl w:val="0AA0F9B2"/>
    <w:lvl w:ilvl="0" w:tplc="647C47B0">
      <w:start w:val="2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3A923B88"/>
    <w:multiLevelType w:val="hybridMultilevel"/>
    <w:tmpl w:val="039E118A"/>
    <w:lvl w:ilvl="0" w:tplc="DD268098">
      <w:start w:val="2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3A9F2962"/>
    <w:multiLevelType w:val="hybridMultilevel"/>
    <w:tmpl w:val="B0C63E04"/>
    <w:lvl w:ilvl="0" w:tplc="A366F52E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21"/>
  </w:num>
  <w:num w:numId="2">
    <w:abstractNumId w:val="20"/>
  </w:num>
  <w:num w:numId="3">
    <w:abstractNumId w:val="18"/>
  </w:num>
  <w:num w:numId="4">
    <w:abstractNumId w:val="10"/>
  </w:num>
  <w:num w:numId="5">
    <w:abstractNumId w:val="19"/>
  </w:num>
  <w:num w:numId="6">
    <w:abstractNumId w:val="12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6"/>
  </w:num>
  <w:num w:numId="18">
    <w:abstractNumId w:val="15"/>
  </w:num>
  <w:num w:numId="19">
    <w:abstractNumId w:val="11"/>
  </w:num>
  <w:num w:numId="20">
    <w:abstractNumId w:val="13"/>
  </w:num>
  <w:num w:numId="21">
    <w:abstractNumId w:val="17"/>
  </w:num>
  <w:num w:numId="22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3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86F80"/>
    <w:rsid w:val="00001762"/>
    <w:rsid w:val="00003291"/>
    <w:rsid w:val="000107AA"/>
    <w:rsid w:val="00033EE1"/>
    <w:rsid w:val="00042B72"/>
    <w:rsid w:val="0004674E"/>
    <w:rsid w:val="00053EA6"/>
    <w:rsid w:val="000558BD"/>
    <w:rsid w:val="00056CAD"/>
    <w:rsid w:val="000574D4"/>
    <w:rsid w:val="0006165B"/>
    <w:rsid w:val="00061C42"/>
    <w:rsid w:val="000733AC"/>
    <w:rsid w:val="00075459"/>
    <w:rsid w:val="000B57E7"/>
    <w:rsid w:val="000B6373"/>
    <w:rsid w:val="000D3664"/>
    <w:rsid w:val="000D3F93"/>
    <w:rsid w:val="000E4F8D"/>
    <w:rsid w:val="000E658F"/>
    <w:rsid w:val="000F09DF"/>
    <w:rsid w:val="000F61B2"/>
    <w:rsid w:val="001075E9"/>
    <w:rsid w:val="001137C8"/>
    <w:rsid w:val="001155A5"/>
    <w:rsid w:val="00130EAF"/>
    <w:rsid w:val="00137857"/>
    <w:rsid w:val="00141A0B"/>
    <w:rsid w:val="00180183"/>
    <w:rsid w:val="0018024D"/>
    <w:rsid w:val="0018649F"/>
    <w:rsid w:val="0019021E"/>
    <w:rsid w:val="00196389"/>
    <w:rsid w:val="001A17F7"/>
    <w:rsid w:val="001A4396"/>
    <w:rsid w:val="001B219C"/>
    <w:rsid w:val="001B3EF6"/>
    <w:rsid w:val="001B4830"/>
    <w:rsid w:val="001C42DF"/>
    <w:rsid w:val="001C7A89"/>
    <w:rsid w:val="001D031E"/>
    <w:rsid w:val="001E70AD"/>
    <w:rsid w:val="001E7B60"/>
    <w:rsid w:val="001E7F0F"/>
    <w:rsid w:val="002044FD"/>
    <w:rsid w:val="002117BA"/>
    <w:rsid w:val="00216772"/>
    <w:rsid w:val="0024209A"/>
    <w:rsid w:val="00254624"/>
    <w:rsid w:val="00264B55"/>
    <w:rsid w:val="002825C9"/>
    <w:rsid w:val="00287A51"/>
    <w:rsid w:val="00293E53"/>
    <w:rsid w:val="002A02C6"/>
    <w:rsid w:val="002A28F3"/>
    <w:rsid w:val="002A297A"/>
    <w:rsid w:val="002A2EFC"/>
    <w:rsid w:val="002A7F98"/>
    <w:rsid w:val="002B1B84"/>
    <w:rsid w:val="002C0E18"/>
    <w:rsid w:val="002C1CED"/>
    <w:rsid w:val="002D3C49"/>
    <w:rsid w:val="002D4172"/>
    <w:rsid w:val="002D5AAC"/>
    <w:rsid w:val="002E445C"/>
    <w:rsid w:val="002F31CE"/>
    <w:rsid w:val="002F405F"/>
    <w:rsid w:val="00301299"/>
    <w:rsid w:val="00304517"/>
    <w:rsid w:val="00307FB6"/>
    <w:rsid w:val="0031353D"/>
    <w:rsid w:val="003162D9"/>
    <w:rsid w:val="00317339"/>
    <w:rsid w:val="00322004"/>
    <w:rsid w:val="0033335A"/>
    <w:rsid w:val="00334D4D"/>
    <w:rsid w:val="00335397"/>
    <w:rsid w:val="003402C2"/>
    <w:rsid w:val="003532A9"/>
    <w:rsid w:val="0035574D"/>
    <w:rsid w:val="00361DA3"/>
    <w:rsid w:val="00373710"/>
    <w:rsid w:val="00373E46"/>
    <w:rsid w:val="00376E4E"/>
    <w:rsid w:val="003811AD"/>
    <w:rsid w:val="00381578"/>
    <w:rsid w:val="003815ED"/>
    <w:rsid w:val="00381C24"/>
    <w:rsid w:val="003864F8"/>
    <w:rsid w:val="003958D0"/>
    <w:rsid w:val="003A3CE4"/>
    <w:rsid w:val="003A54E4"/>
    <w:rsid w:val="003B00E5"/>
    <w:rsid w:val="003B4C71"/>
    <w:rsid w:val="003B7231"/>
    <w:rsid w:val="003D3526"/>
    <w:rsid w:val="003E0332"/>
    <w:rsid w:val="003E7537"/>
    <w:rsid w:val="003F0639"/>
    <w:rsid w:val="003F43D1"/>
    <w:rsid w:val="003F6FF0"/>
    <w:rsid w:val="00401A77"/>
    <w:rsid w:val="00407B78"/>
    <w:rsid w:val="00424203"/>
    <w:rsid w:val="0043281C"/>
    <w:rsid w:val="004355A6"/>
    <w:rsid w:val="00435B09"/>
    <w:rsid w:val="004377FA"/>
    <w:rsid w:val="0043795D"/>
    <w:rsid w:val="00441831"/>
    <w:rsid w:val="00444D59"/>
    <w:rsid w:val="004452DE"/>
    <w:rsid w:val="00454E07"/>
    <w:rsid w:val="00456BC3"/>
    <w:rsid w:val="00466278"/>
    <w:rsid w:val="00476205"/>
    <w:rsid w:val="00487E5D"/>
    <w:rsid w:val="004A74B3"/>
    <w:rsid w:val="004B28B3"/>
    <w:rsid w:val="004B6CC2"/>
    <w:rsid w:val="004C6C2E"/>
    <w:rsid w:val="004D1828"/>
    <w:rsid w:val="004E3242"/>
    <w:rsid w:val="004F2DB9"/>
    <w:rsid w:val="0050108D"/>
    <w:rsid w:val="00513081"/>
    <w:rsid w:val="005146B1"/>
    <w:rsid w:val="005172CB"/>
    <w:rsid w:val="00517901"/>
    <w:rsid w:val="00520CB3"/>
    <w:rsid w:val="00521DC1"/>
    <w:rsid w:val="00524EB3"/>
    <w:rsid w:val="00526683"/>
    <w:rsid w:val="00532C82"/>
    <w:rsid w:val="005709E0"/>
    <w:rsid w:val="00572E19"/>
    <w:rsid w:val="00575B76"/>
    <w:rsid w:val="00581AC0"/>
    <w:rsid w:val="00591CFB"/>
    <w:rsid w:val="005927B3"/>
    <w:rsid w:val="005961C8"/>
    <w:rsid w:val="005A1EE6"/>
    <w:rsid w:val="005B1B80"/>
    <w:rsid w:val="005B3CD3"/>
    <w:rsid w:val="005C2CDC"/>
    <w:rsid w:val="005D2B93"/>
    <w:rsid w:val="005D7914"/>
    <w:rsid w:val="005E4678"/>
    <w:rsid w:val="005E53C5"/>
    <w:rsid w:val="005F0B42"/>
    <w:rsid w:val="005F1D5A"/>
    <w:rsid w:val="005F5121"/>
    <w:rsid w:val="005F601D"/>
    <w:rsid w:val="00602888"/>
    <w:rsid w:val="00615123"/>
    <w:rsid w:val="00615628"/>
    <w:rsid w:val="00621949"/>
    <w:rsid w:val="00624C3E"/>
    <w:rsid w:val="00632690"/>
    <w:rsid w:val="006402A1"/>
    <w:rsid w:val="00654358"/>
    <w:rsid w:val="006551F6"/>
    <w:rsid w:val="006606BB"/>
    <w:rsid w:val="00662205"/>
    <w:rsid w:val="006776B7"/>
    <w:rsid w:val="00681A10"/>
    <w:rsid w:val="006848C3"/>
    <w:rsid w:val="00686318"/>
    <w:rsid w:val="006C2031"/>
    <w:rsid w:val="006D317E"/>
    <w:rsid w:val="006D461A"/>
    <w:rsid w:val="006F35EE"/>
    <w:rsid w:val="007021FF"/>
    <w:rsid w:val="00702F15"/>
    <w:rsid w:val="00707432"/>
    <w:rsid w:val="0071209C"/>
    <w:rsid w:val="00712895"/>
    <w:rsid w:val="00722630"/>
    <w:rsid w:val="00723742"/>
    <w:rsid w:val="0073629A"/>
    <w:rsid w:val="00746ADD"/>
    <w:rsid w:val="007560BD"/>
    <w:rsid w:val="00757357"/>
    <w:rsid w:val="007615DC"/>
    <w:rsid w:val="007618AD"/>
    <w:rsid w:val="007C333F"/>
    <w:rsid w:val="007C7325"/>
    <w:rsid w:val="007E072F"/>
    <w:rsid w:val="007E6DE9"/>
    <w:rsid w:val="007F17C2"/>
    <w:rsid w:val="007F7215"/>
    <w:rsid w:val="008058E2"/>
    <w:rsid w:val="00805D1C"/>
    <w:rsid w:val="0081503D"/>
    <w:rsid w:val="0082051E"/>
    <w:rsid w:val="00825F8D"/>
    <w:rsid w:val="00834B71"/>
    <w:rsid w:val="00835687"/>
    <w:rsid w:val="00840FD8"/>
    <w:rsid w:val="00841CBA"/>
    <w:rsid w:val="00860EA7"/>
    <w:rsid w:val="0086445C"/>
    <w:rsid w:val="00890C68"/>
    <w:rsid w:val="00894693"/>
    <w:rsid w:val="00895B47"/>
    <w:rsid w:val="008A08D7"/>
    <w:rsid w:val="008B6909"/>
    <w:rsid w:val="008C7837"/>
    <w:rsid w:val="008D5A20"/>
    <w:rsid w:val="008E3C9D"/>
    <w:rsid w:val="00906890"/>
    <w:rsid w:val="00911BE4"/>
    <w:rsid w:val="009271C1"/>
    <w:rsid w:val="00927CCD"/>
    <w:rsid w:val="00935A0B"/>
    <w:rsid w:val="00941039"/>
    <w:rsid w:val="00942342"/>
    <w:rsid w:val="00944445"/>
    <w:rsid w:val="009478C3"/>
    <w:rsid w:val="00951972"/>
    <w:rsid w:val="00953B31"/>
    <w:rsid w:val="009608F3"/>
    <w:rsid w:val="009663F1"/>
    <w:rsid w:val="00991EF2"/>
    <w:rsid w:val="00992D0F"/>
    <w:rsid w:val="009A293F"/>
    <w:rsid w:val="009A41D8"/>
    <w:rsid w:val="009A7FC7"/>
    <w:rsid w:val="009B2F0E"/>
    <w:rsid w:val="009B67D4"/>
    <w:rsid w:val="009B69D1"/>
    <w:rsid w:val="009E69CD"/>
    <w:rsid w:val="009F1913"/>
    <w:rsid w:val="009F6E7B"/>
    <w:rsid w:val="00A10191"/>
    <w:rsid w:val="00A143EF"/>
    <w:rsid w:val="00A16DB9"/>
    <w:rsid w:val="00A22EC0"/>
    <w:rsid w:val="00A32382"/>
    <w:rsid w:val="00A449E7"/>
    <w:rsid w:val="00A44B2D"/>
    <w:rsid w:val="00A44E11"/>
    <w:rsid w:val="00A52C95"/>
    <w:rsid w:val="00A56860"/>
    <w:rsid w:val="00A70F01"/>
    <w:rsid w:val="00A711FB"/>
    <w:rsid w:val="00A84021"/>
    <w:rsid w:val="00A86787"/>
    <w:rsid w:val="00A86F80"/>
    <w:rsid w:val="00A90C2B"/>
    <w:rsid w:val="00A917B3"/>
    <w:rsid w:val="00AA02D4"/>
    <w:rsid w:val="00AB351F"/>
    <w:rsid w:val="00AB4B51"/>
    <w:rsid w:val="00AD634C"/>
    <w:rsid w:val="00AE5F3B"/>
    <w:rsid w:val="00AF53EC"/>
    <w:rsid w:val="00B0309D"/>
    <w:rsid w:val="00B10CC7"/>
    <w:rsid w:val="00B13CC8"/>
    <w:rsid w:val="00B21F8D"/>
    <w:rsid w:val="00B45104"/>
    <w:rsid w:val="00B539E7"/>
    <w:rsid w:val="00B563EB"/>
    <w:rsid w:val="00B565E3"/>
    <w:rsid w:val="00B57417"/>
    <w:rsid w:val="00B62458"/>
    <w:rsid w:val="00B80A93"/>
    <w:rsid w:val="00BA1794"/>
    <w:rsid w:val="00BB00B0"/>
    <w:rsid w:val="00BB3F02"/>
    <w:rsid w:val="00BD33EE"/>
    <w:rsid w:val="00BF2E5C"/>
    <w:rsid w:val="00C022A1"/>
    <w:rsid w:val="00C04D81"/>
    <w:rsid w:val="00C106D6"/>
    <w:rsid w:val="00C249AA"/>
    <w:rsid w:val="00C374C5"/>
    <w:rsid w:val="00C43435"/>
    <w:rsid w:val="00C60F0C"/>
    <w:rsid w:val="00C76789"/>
    <w:rsid w:val="00C801E8"/>
    <w:rsid w:val="00C805C9"/>
    <w:rsid w:val="00C83288"/>
    <w:rsid w:val="00C874CC"/>
    <w:rsid w:val="00C92939"/>
    <w:rsid w:val="00CA1679"/>
    <w:rsid w:val="00CA25E3"/>
    <w:rsid w:val="00CB151C"/>
    <w:rsid w:val="00CB242B"/>
    <w:rsid w:val="00CB27DF"/>
    <w:rsid w:val="00CB725D"/>
    <w:rsid w:val="00CC0DA8"/>
    <w:rsid w:val="00CC4D96"/>
    <w:rsid w:val="00CC7093"/>
    <w:rsid w:val="00CD2E8B"/>
    <w:rsid w:val="00CE2BF0"/>
    <w:rsid w:val="00CE5A1A"/>
    <w:rsid w:val="00CE5D65"/>
    <w:rsid w:val="00CF2D6C"/>
    <w:rsid w:val="00CF55F6"/>
    <w:rsid w:val="00D01B68"/>
    <w:rsid w:val="00D01C49"/>
    <w:rsid w:val="00D04407"/>
    <w:rsid w:val="00D1642A"/>
    <w:rsid w:val="00D21BCF"/>
    <w:rsid w:val="00D33D63"/>
    <w:rsid w:val="00D46FF5"/>
    <w:rsid w:val="00D4778E"/>
    <w:rsid w:val="00D7481B"/>
    <w:rsid w:val="00D75DCB"/>
    <w:rsid w:val="00D8245F"/>
    <w:rsid w:val="00D82740"/>
    <w:rsid w:val="00D90138"/>
    <w:rsid w:val="00D91303"/>
    <w:rsid w:val="00DF00E0"/>
    <w:rsid w:val="00E0442A"/>
    <w:rsid w:val="00E073E8"/>
    <w:rsid w:val="00E31CF9"/>
    <w:rsid w:val="00E56EE3"/>
    <w:rsid w:val="00E6478B"/>
    <w:rsid w:val="00E73F76"/>
    <w:rsid w:val="00E86371"/>
    <w:rsid w:val="00E910F9"/>
    <w:rsid w:val="00EA2C9F"/>
    <w:rsid w:val="00EB51B2"/>
    <w:rsid w:val="00EC0A83"/>
    <w:rsid w:val="00EC4363"/>
    <w:rsid w:val="00ED0BDA"/>
    <w:rsid w:val="00ED0FDC"/>
    <w:rsid w:val="00ED2144"/>
    <w:rsid w:val="00ED3749"/>
    <w:rsid w:val="00EE587D"/>
    <w:rsid w:val="00EE7654"/>
    <w:rsid w:val="00EF1360"/>
    <w:rsid w:val="00EF3220"/>
    <w:rsid w:val="00EF472F"/>
    <w:rsid w:val="00F37BF0"/>
    <w:rsid w:val="00F40407"/>
    <w:rsid w:val="00F41D38"/>
    <w:rsid w:val="00F44443"/>
    <w:rsid w:val="00F63772"/>
    <w:rsid w:val="00F76A49"/>
    <w:rsid w:val="00F9377E"/>
    <w:rsid w:val="00F94155"/>
    <w:rsid w:val="00F95536"/>
    <w:rsid w:val="00F9639C"/>
    <w:rsid w:val="00FD234F"/>
    <w:rsid w:val="00FD2EF7"/>
    <w:rsid w:val="00FE024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7B0F6DF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="SimSun"/>
      <w:lang w:val="es-ES" w:eastAsia="es-ES"/>
    </w:rPr>
  </w:style>
  <w:style w:type="paragraph" w:styleId="Heading1">
    <w:name w:val="heading 1"/>
    <w:aliases w:val="Cuadro_G,Table_G"/>
    <w:basedOn w:val="SingleTxtG"/>
    <w:next w:val="SingleTxtG"/>
    <w:link w:val="Heading1Ch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qFormat/>
    <w:rsid w:val="00D7481B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qFormat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qFormat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qFormat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qFormat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qFormat/>
    <w:rsid w:val="00D7481B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qFormat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qFormat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="SimSun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="SimSun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7481B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D7481B"/>
    <w:pPr>
      <w:spacing w:line="240" w:lineRule="atLeast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D7481B"/>
    <w:pPr>
      <w:numPr>
        <w:numId w:val="1"/>
      </w:numPr>
    </w:pPr>
  </w:style>
  <w:style w:type="numbering" w:styleId="1ai">
    <w:name w:val="Outline List 1"/>
    <w:basedOn w:val="NoList"/>
    <w:semiHidden/>
    <w:rsid w:val="00D7481B"/>
    <w:pPr>
      <w:numPr>
        <w:numId w:val="2"/>
      </w:numPr>
    </w:pPr>
  </w:style>
  <w:style w:type="character" w:styleId="HTMLAcronym">
    <w:name w:val="HTML Acronym"/>
    <w:basedOn w:val="DefaultParagraphFont"/>
    <w:semiHidden/>
    <w:rsid w:val="00D7481B"/>
  </w:style>
  <w:style w:type="numbering" w:styleId="ArticleSection">
    <w:name w:val="Outline List 3"/>
    <w:basedOn w:val="NoList"/>
    <w:semiHidden/>
    <w:rsid w:val="00D7481B"/>
    <w:pPr>
      <w:numPr>
        <w:numId w:val="3"/>
      </w:numPr>
    </w:pPr>
  </w:style>
  <w:style w:type="paragraph" w:styleId="Closing">
    <w:name w:val="Closing"/>
    <w:basedOn w:val="Normal"/>
    <w:semiHidden/>
    <w:rsid w:val="00D7481B"/>
    <w:pPr>
      <w:ind w:left="4252"/>
    </w:pPr>
  </w:style>
  <w:style w:type="character" w:styleId="HTMLCite">
    <w:name w:val="HTML Cite"/>
    <w:semiHidden/>
    <w:rsid w:val="00D7481B"/>
    <w:rPr>
      <w:i/>
      <w:iCs/>
    </w:rPr>
  </w:style>
  <w:style w:type="character" w:styleId="HTMLCode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D7481B"/>
    <w:pPr>
      <w:spacing w:after="120"/>
      <w:ind w:left="283"/>
    </w:pPr>
  </w:style>
  <w:style w:type="paragraph" w:styleId="ListContinue2">
    <w:name w:val="List Continue 2"/>
    <w:basedOn w:val="Normal"/>
    <w:semiHidden/>
    <w:rsid w:val="00D7481B"/>
    <w:pPr>
      <w:spacing w:after="120"/>
      <w:ind w:left="566"/>
    </w:pPr>
  </w:style>
  <w:style w:type="paragraph" w:styleId="ListContinue3">
    <w:name w:val="List Continue 3"/>
    <w:basedOn w:val="Normal"/>
    <w:semiHidden/>
    <w:rsid w:val="00D7481B"/>
    <w:pPr>
      <w:spacing w:after="120"/>
      <w:ind w:left="849"/>
    </w:pPr>
  </w:style>
  <w:style w:type="paragraph" w:styleId="ListContinue4">
    <w:name w:val="List Continue 4"/>
    <w:basedOn w:val="Normal"/>
    <w:semiHidden/>
    <w:rsid w:val="00D7481B"/>
    <w:pPr>
      <w:spacing w:after="120"/>
      <w:ind w:left="1132"/>
    </w:pPr>
  </w:style>
  <w:style w:type="paragraph" w:styleId="ListContinue5">
    <w:name w:val="List Continue 5"/>
    <w:basedOn w:val="Normal"/>
    <w:semiHidden/>
    <w:rsid w:val="00D7481B"/>
    <w:pPr>
      <w:spacing w:after="120"/>
      <w:ind w:left="1415"/>
    </w:pPr>
  </w:style>
  <w:style w:type="character" w:styleId="HTMLDefinition">
    <w:name w:val="HTML Definition"/>
    <w:semiHidden/>
    <w:rsid w:val="00D7481B"/>
    <w:rPr>
      <w:i/>
      <w:iCs/>
    </w:rPr>
  </w:style>
  <w:style w:type="paragraph" w:styleId="HTMLAddress">
    <w:name w:val="HTML Address"/>
    <w:basedOn w:val="Normal"/>
    <w:semiHidden/>
    <w:rsid w:val="00D7481B"/>
    <w:rPr>
      <w:i/>
      <w:iCs/>
    </w:rPr>
  </w:style>
  <w:style w:type="paragraph" w:styleId="EnvelopeAddress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D7481B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D7481B"/>
  </w:style>
  <w:style w:type="character" w:styleId="Emphasis">
    <w:name w:val="Emphasis"/>
    <w:semiHidden/>
    <w:qFormat/>
    <w:rsid w:val="00D7481B"/>
    <w:rPr>
      <w:i/>
      <w:iCs/>
    </w:rPr>
  </w:style>
  <w:style w:type="paragraph" w:styleId="Date">
    <w:name w:val="Date"/>
    <w:basedOn w:val="Normal"/>
    <w:next w:val="Normal"/>
    <w:semiHidden/>
    <w:rsid w:val="00D7481B"/>
  </w:style>
  <w:style w:type="paragraph" w:styleId="Signature">
    <w:name w:val="Signature"/>
    <w:basedOn w:val="Normal"/>
    <w:semiHidden/>
    <w:rsid w:val="00D7481B"/>
    <w:pPr>
      <w:ind w:left="4252"/>
    </w:pPr>
  </w:style>
  <w:style w:type="paragraph" w:styleId="E-mailSignature">
    <w:name w:val="E-mail Signature"/>
    <w:basedOn w:val="Normal"/>
    <w:semiHidden/>
    <w:rsid w:val="00D7481B"/>
  </w:style>
  <w:style w:type="character" w:styleId="Hyperlink">
    <w:name w:val="Hyperlink"/>
    <w:rsid w:val="00D7481B"/>
    <w:rPr>
      <w:color w:val="0000FF"/>
      <w:u w:val="none"/>
    </w:rPr>
  </w:style>
  <w:style w:type="character" w:styleId="FollowedHyperlink">
    <w:name w:val="FollowedHyperlink"/>
    <w:rsid w:val="00D7481B"/>
    <w:rPr>
      <w:color w:val="0000FF"/>
      <w:u w:val="none"/>
    </w:rPr>
  </w:style>
  <w:style w:type="paragraph" w:styleId="HTMLPreformatted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">
    <w:name w:val="List"/>
    <w:basedOn w:val="Normal"/>
    <w:semiHidden/>
    <w:rsid w:val="00D7481B"/>
    <w:pPr>
      <w:ind w:left="283" w:hanging="283"/>
    </w:pPr>
  </w:style>
  <w:style w:type="paragraph" w:styleId="List2">
    <w:name w:val="List 2"/>
    <w:basedOn w:val="Normal"/>
    <w:semiHidden/>
    <w:rsid w:val="00D7481B"/>
    <w:pPr>
      <w:ind w:left="566" w:hanging="283"/>
    </w:pPr>
  </w:style>
  <w:style w:type="paragraph" w:styleId="List3">
    <w:name w:val="List 3"/>
    <w:basedOn w:val="Normal"/>
    <w:semiHidden/>
    <w:rsid w:val="00D7481B"/>
    <w:pPr>
      <w:ind w:left="849" w:hanging="283"/>
    </w:pPr>
  </w:style>
  <w:style w:type="paragraph" w:styleId="List4">
    <w:name w:val="List 4"/>
    <w:basedOn w:val="Normal"/>
    <w:semiHidden/>
    <w:rsid w:val="00D7481B"/>
    <w:pPr>
      <w:ind w:left="1132" w:hanging="283"/>
    </w:pPr>
  </w:style>
  <w:style w:type="paragraph" w:styleId="List5">
    <w:name w:val="List 5"/>
    <w:basedOn w:val="Normal"/>
    <w:semiHidden/>
    <w:rsid w:val="00D7481B"/>
    <w:pPr>
      <w:ind w:left="1415" w:hanging="283"/>
    </w:pPr>
  </w:style>
  <w:style w:type="paragraph" w:styleId="ListNumber">
    <w:name w:val="List Number"/>
    <w:basedOn w:val="Normal"/>
    <w:semiHidden/>
    <w:rsid w:val="00D7481B"/>
    <w:pPr>
      <w:numPr>
        <w:numId w:val="12"/>
      </w:numPr>
    </w:pPr>
  </w:style>
  <w:style w:type="paragraph" w:styleId="ListNumber2">
    <w:name w:val="List Number 2"/>
    <w:basedOn w:val="Normal"/>
    <w:semiHidden/>
    <w:rsid w:val="00D7481B"/>
    <w:pPr>
      <w:numPr>
        <w:numId w:val="13"/>
      </w:numPr>
    </w:pPr>
  </w:style>
  <w:style w:type="paragraph" w:styleId="ListNumber3">
    <w:name w:val="List Number 3"/>
    <w:basedOn w:val="Normal"/>
    <w:semiHidden/>
    <w:rsid w:val="00D7481B"/>
    <w:pPr>
      <w:numPr>
        <w:numId w:val="14"/>
      </w:numPr>
    </w:pPr>
  </w:style>
  <w:style w:type="paragraph" w:styleId="ListNumber4">
    <w:name w:val="List Number 4"/>
    <w:basedOn w:val="Normal"/>
    <w:semiHidden/>
    <w:rsid w:val="00D7481B"/>
    <w:pPr>
      <w:numPr>
        <w:numId w:val="15"/>
      </w:numPr>
    </w:pPr>
  </w:style>
  <w:style w:type="paragraph" w:styleId="ListNumber5">
    <w:name w:val="List Number 5"/>
    <w:basedOn w:val="Normal"/>
    <w:semiHidden/>
    <w:rsid w:val="00D7481B"/>
    <w:pPr>
      <w:numPr>
        <w:numId w:val="16"/>
      </w:numPr>
    </w:pPr>
  </w:style>
  <w:style w:type="paragraph" w:styleId="ListBullet">
    <w:name w:val="List Bullet"/>
    <w:basedOn w:val="Normal"/>
    <w:semiHidden/>
    <w:rsid w:val="00D7481B"/>
    <w:pPr>
      <w:numPr>
        <w:numId w:val="7"/>
      </w:numPr>
    </w:pPr>
  </w:style>
  <w:style w:type="paragraph" w:styleId="ListBullet2">
    <w:name w:val="List Bullet 2"/>
    <w:basedOn w:val="Normal"/>
    <w:semiHidden/>
    <w:rsid w:val="00D7481B"/>
    <w:pPr>
      <w:numPr>
        <w:numId w:val="8"/>
      </w:numPr>
    </w:pPr>
  </w:style>
  <w:style w:type="paragraph" w:styleId="ListBullet3">
    <w:name w:val="List Bullet 3"/>
    <w:basedOn w:val="Normal"/>
    <w:semiHidden/>
    <w:rsid w:val="00D7481B"/>
    <w:pPr>
      <w:numPr>
        <w:numId w:val="9"/>
      </w:numPr>
    </w:pPr>
  </w:style>
  <w:style w:type="paragraph" w:styleId="ListBullet4">
    <w:name w:val="List Bullet 4"/>
    <w:basedOn w:val="Normal"/>
    <w:semiHidden/>
    <w:rsid w:val="00D7481B"/>
    <w:pPr>
      <w:numPr>
        <w:numId w:val="10"/>
      </w:numPr>
    </w:pPr>
  </w:style>
  <w:style w:type="paragraph" w:styleId="ListBullet5">
    <w:name w:val="List Bullet 5"/>
    <w:basedOn w:val="Normal"/>
    <w:semiHidden/>
    <w:rsid w:val="00D7481B"/>
    <w:pPr>
      <w:numPr>
        <w:numId w:val="11"/>
      </w:numPr>
    </w:pPr>
  </w:style>
  <w:style w:type="character" w:styleId="HTMLTypewriter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LineNumber">
    <w:name w:val="line number"/>
    <w:basedOn w:val="DefaultParagraphFont"/>
    <w:semiHidden/>
    <w:rsid w:val="00D7481B"/>
  </w:style>
  <w:style w:type="character" w:styleId="PageNumber">
    <w:name w:val="page number"/>
    <w:aliases w:val="7_G"/>
    <w:qFormat/>
    <w:rsid w:val="00D7481B"/>
    <w:rPr>
      <w:b/>
      <w:sz w:val="18"/>
    </w:rPr>
  </w:style>
  <w:style w:type="character" w:styleId="EndnoteReference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D7481B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D7481B"/>
  </w:style>
  <w:style w:type="paragraph" w:styleId="BodyTextIndent2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D7481B"/>
    <w:pPr>
      <w:spacing w:after="120"/>
      <w:ind w:left="283"/>
    </w:pPr>
  </w:style>
  <w:style w:type="paragraph" w:styleId="NormalIndent">
    <w:name w:val="Normal Indent"/>
    <w:basedOn w:val="Normal"/>
    <w:semiHidden/>
    <w:rsid w:val="00D7481B"/>
    <w:pPr>
      <w:ind w:left="567"/>
    </w:pPr>
  </w:style>
  <w:style w:type="paragraph" w:styleId="Subtitle">
    <w:name w:val="Subtitle"/>
    <w:basedOn w:val="Normal"/>
    <w:semiHidden/>
    <w:qFormat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D7481B"/>
    <w:pPr>
      <w:spacing w:line="240" w:lineRule="atLeast"/>
    </w:pPr>
    <w:rPr>
      <w:rFonts w:eastAsia="SimSu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D7481B"/>
    <w:pPr>
      <w:spacing w:line="240" w:lineRule="atLeast"/>
    </w:pPr>
    <w:rPr>
      <w:rFonts w:eastAsia="SimSu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D7481B"/>
    <w:pPr>
      <w:spacing w:line="240" w:lineRule="atLeast"/>
    </w:pPr>
    <w:rPr>
      <w:rFonts w:eastAsia="SimSu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D7481B"/>
    <w:pPr>
      <w:spacing w:line="240" w:lineRule="atLeast"/>
    </w:pPr>
    <w:rPr>
      <w:rFonts w:eastAsia="SimSu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D7481B"/>
    <w:pPr>
      <w:spacing w:line="240" w:lineRule="atLeast"/>
    </w:pPr>
    <w:rPr>
      <w:rFonts w:eastAsia="SimSu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D7481B"/>
    <w:pPr>
      <w:spacing w:line="240" w:lineRule="atLeast"/>
    </w:pPr>
    <w:rPr>
      <w:rFonts w:eastAsia="SimSu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D7481B"/>
    <w:pPr>
      <w:spacing w:line="240" w:lineRule="atLeast"/>
    </w:pPr>
    <w:rPr>
      <w:rFonts w:eastAsia="SimSu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D7481B"/>
    <w:pPr>
      <w:spacing w:line="240" w:lineRule="atLeast"/>
    </w:pPr>
    <w:rPr>
      <w:rFonts w:eastAsia="SimSu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D7481B"/>
    <w:pPr>
      <w:spacing w:line="240" w:lineRule="atLeast"/>
    </w:pPr>
    <w:rPr>
      <w:rFonts w:eastAsia="SimSu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D7481B"/>
    <w:pPr>
      <w:spacing w:line="240" w:lineRule="atLeast"/>
    </w:pPr>
    <w:rPr>
      <w:rFonts w:eastAsia="SimSu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D7481B"/>
    <w:pPr>
      <w:spacing w:line="240" w:lineRule="atLeast"/>
    </w:pPr>
    <w:rPr>
      <w:rFonts w:eastAsia="SimSu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D7481B"/>
    <w:pPr>
      <w:spacing w:line="240" w:lineRule="atLeast"/>
    </w:pPr>
    <w:rPr>
      <w:rFonts w:eastAsia="SimSu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D7481B"/>
    <w:pPr>
      <w:spacing w:line="240" w:lineRule="atLeast"/>
    </w:pPr>
    <w:rPr>
      <w:rFonts w:eastAsia="SimSu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D7481B"/>
    <w:pPr>
      <w:spacing w:line="240" w:lineRule="atLeast"/>
    </w:pPr>
    <w:rPr>
      <w:rFonts w:eastAsia="SimSu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D7481B"/>
    <w:pPr>
      <w:spacing w:line="240" w:lineRule="atLeast"/>
    </w:pPr>
    <w:rPr>
      <w:rFonts w:eastAsia="SimSu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D7481B"/>
    <w:pPr>
      <w:spacing w:line="240" w:lineRule="atLeast"/>
    </w:pPr>
    <w:rPr>
      <w:rFonts w:eastAsia="SimSu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D7481B"/>
    <w:pPr>
      <w:spacing w:line="240" w:lineRule="atLeast"/>
    </w:pPr>
    <w:rPr>
      <w:rFonts w:eastAsia="SimSu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D7481B"/>
    <w:pPr>
      <w:spacing w:line="240" w:lineRule="atLeast"/>
    </w:pPr>
    <w:rPr>
      <w:rFonts w:eastAsia="SimSu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D7481B"/>
    <w:pPr>
      <w:spacing w:line="240" w:lineRule="atLeast"/>
    </w:pPr>
    <w:rPr>
      <w:rFonts w:eastAsia="SimSu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D7481B"/>
    <w:pPr>
      <w:spacing w:after="120"/>
      <w:ind w:left="1440" w:right="1440"/>
    </w:pPr>
  </w:style>
  <w:style w:type="character" w:styleId="Strong">
    <w:name w:val="Strong"/>
    <w:semiHidden/>
    <w:qFormat/>
    <w:rsid w:val="00D7481B"/>
    <w:rPr>
      <w:b/>
      <w:bCs/>
    </w:rPr>
  </w:style>
  <w:style w:type="paragraph" w:styleId="BodyText">
    <w:name w:val="Body Text"/>
    <w:basedOn w:val="Normal"/>
    <w:semiHidden/>
    <w:rsid w:val="00D7481B"/>
    <w:pPr>
      <w:spacing w:after="120"/>
    </w:pPr>
  </w:style>
  <w:style w:type="paragraph" w:styleId="BodyText2">
    <w:name w:val="Body Text 2"/>
    <w:basedOn w:val="Normal"/>
    <w:semiHidden/>
    <w:rsid w:val="00D7481B"/>
    <w:pPr>
      <w:spacing w:after="120" w:line="480" w:lineRule="auto"/>
    </w:pPr>
  </w:style>
  <w:style w:type="paragraph" w:styleId="BodyText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D7481B"/>
    <w:pPr>
      <w:ind w:firstLine="210"/>
    </w:pPr>
  </w:style>
  <w:style w:type="paragraph" w:styleId="BodyTextFirstIndent2">
    <w:name w:val="Body Text First Indent 2"/>
    <w:basedOn w:val="BodyTextIndent"/>
    <w:semiHidden/>
    <w:rsid w:val="00D7481B"/>
    <w:pPr>
      <w:ind w:firstLine="210"/>
    </w:pPr>
  </w:style>
  <w:style w:type="paragraph" w:styleId="EndnoteText">
    <w:name w:val="endnote text"/>
    <w:aliases w:val="2_G"/>
    <w:basedOn w:val="FootnoteText"/>
    <w:link w:val="EndnoteTextChar"/>
    <w:qFormat/>
    <w:rsid w:val="00D7481B"/>
  </w:style>
  <w:style w:type="paragraph" w:styleId="PlainText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itle">
    <w:name w:val="Title"/>
    <w:basedOn w:val="Normal"/>
    <w:semiHidden/>
    <w:qFormat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5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6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D7481B"/>
    <w:rPr>
      <w:rFonts w:eastAsia="SimSun"/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Heading1Char">
    <w:name w:val="Heading 1 Char"/>
    <w:aliases w:val="Cuadro_G Char,Table_G Char"/>
    <w:link w:val="Heading1"/>
    <w:rsid w:val="00D7481B"/>
    <w:rPr>
      <w:rFonts w:eastAsia="SimSun"/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="Calibri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4"/>
      </w:numPr>
      <w:tabs>
        <w:tab w:val="clear" w:pos="1701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Calibri"/>
      <w:lang w:val="fr-CH" w:eastAsia="en-US"/>
    </w:rPr>
  </w:style>
  <w:style w:type="paragraph" w:styleId="ListParagraph">
    <w:name w:val="List Paragraph"/>
    <w:basedOn w:val="Normal"/>
    <w:uiPriority w:val="34"/>
    <w:qFormat/>
    <w:rsid w:val="00CE5D65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CE5D65"/>
  </w:style>
  <w:style w:type="table" w:customStyle="1" w:styleId="TableGrid10">
    <w:name w:val="Table Grid1"/>
    <w:basedOn w:val="TableNormal"/>
    <w:next w:val="TableGrid"/>
    <w:semiHidden/>
    <w:rsid w:val="00CE5D6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leSimple11">
    <w:name w:val="Table Simple 11"/>
    <w:basedOn w:val="TableNormal"/>
    <w:next w:val="TableSimple1"/>
    <w:semiHidden/>
    <w:rsid w:val="00CE5D6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TableSimple21">
    <w:name w:val="Table Simple 21"/>
    <w:basedOn w:val="TableNormal"/>
    <w:next w:val="TableSimple2"/>
    <w:semiHidden/>
    <w:rsid w:val="00CE5D6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eSimple31">
    <w:name w:val="Table Simple 31"/>
    <w:basedOn w:val="TableNormal"/>
    <w:next w:val="TableSimple3"/>
    <w:semiHidden/>
    <w:rsid w:val="00CE5D6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eClassic11">
    <w:name w:val="Table Classic 11"/>
    <w:basedOn w:val="TableNormal"/>
    <w:next w:val="TableClassic1"/>
    <w:semiHidden/>
    <w:rsid w:val="00CE5D6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lassic21">
    <w:name w:val="Table Classic 21"/>
    <w:basedOn w:val="TableNormal"/>
    <w:next w:val="TableClassic2"/>
    <w:semiHidden/>
    <w:rsid w:val="00CE5D6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lassic31">
    <w:name w:val="Table Classic 31"/>
    <w:basedOn w:val="TableNormal"/>
    <w:next w:val="TableClassic3"/>
    <w:semiHidden/>
    <w:rsid w:val="00CE5D6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lassic41">
    <w:name w:val="Table Classic 41"/>
    <w:basedOn w:val="TableNormal"/>
    <w:next w:val="TableClassic4"/>
    <w:semiHidden/>
    <w:rsid w:val="00CE5D6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11">
    <w:name w:val="Table Columns 11"/>
    <w:basedOn w:val="TableNormal"/>
    <w:next w:val="TableColumns1"/>
    <w:semiHidden/>
    <w:rsid w:val="00CE5D6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21">
    <w:name w:val="Table Columns 21"/>
    <w:basedOn w:val="TableNormal"/>
    <w:next w:val="TableColumns2"/>
    <w:semiHidden/>
    <w:rsid w:val="00CE5D6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31">
    <w:name w:val="Table Columns 31"/>
    <w:basedOn w:val="TableNormal"/>
    <w:next w:val="TableColumns3"/>
    <w:semiHidden/>
    <w:rsid w:val="00CE5D6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41">
    <w:name w:val="Table Columns 41"/>
    <w:basedOn w:val="TableNormal"/>
    <w:next w:val="TableColumns4"/>
    <w:semiHidden/>
    <w:rsid w:val="00CE5D6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TableColumns51">
    <w:name w:val="Table Columns 51"/>
    <w:basedOn w:val="TableNormal"/>
    <w:next w:val="TableColumns5"/>
    <w:semiHidden/>
    <w:rsid w:val="00CE5D6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TableGrid11">
    <w:name w:val="Table Grid 11"/>
    <w:basedOn w:val="TableNormal"/>
    <w:next w:val="TableGrid1"/>
    <w:semiHidden/>
    <w:rsid w:val="00CE5D6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21">
    <w:name w:val="Table Grid 21"/>
    <w:basedOn w:val="TableNormal"/>
    <w:next w:val="TableGrid2"/>
    <w:semiHidden/>
    <w:rsid w:val="00CE5D6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31">
    <w:name w:val="Table Grid 31"/>
    <w:basedOn w:val="TableNormal"/>
    <w:next w:val="TableGrid3"/>
    <w:semiHidden/>
    <w:rsid w:val="00CE5D6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41">
    <w:name w:val="Table Grid 41"/>
    <w:basedOn w:val="TableNormal"/>
    <w:next w:val="TableGrid4"/>
    <w:semiHidden/>
    <w:rsid w:val="00CE5D6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51">
    <w:name w:val="Table Grid 51"/>
    <w:basedOn w:val="TableNormal"/>
    <w:next w:val="TableGrid5"/>
    <w:semiHidden/>
    <w:rsid w:val="00CE5D6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Grid61">
    <w:name w:val="Table Grid 61"/>
    <w:basedOn w:val="TableNormal"/>
    <w:next w:val="TableGrid6"/>
    <w:semiHidden/>
    <w:rsid w:val="00CE5D6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Grid71">
    <w:name w:val="Table Grid 71"/>
    <w:basedOn w:val="TableNormal"/>
    <w:next w:val="TableGrid7"/>
    <w:semiHidden/>
    <w:rsid w:val="00CE5D6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Grid81">
    <w:name w:val="Table Grid 81"/>
    <w:basedOn w:val="TableNormal"/>
    <w:next w:val="TableGrid8"/>
    <w:semiHidden/>
    <w:rsid w:val="00CE5D6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3Deffects11">
    <w:name w:val="Table 3D effects 11"/>
    <w:basedOn w:val="TableNormal"/>
    <w:next w:val="Table3Deffects1"/>
    <w:semiHidden/>
    <w:rsid w:val="00CE5D6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e3Deffects21">
    <w:name w:val="Table 3D effects 21"/>
    <w:basedOn w:val="TableNormal"/>
    <w:next w:val="Table3Deffects2"/>
    <w:semiHidden/>
    <w:rsid w:val="00CE5D6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3Deffects31">
    <w:name w:val="Table 3D effects 31"/>
    <w:basedOn w:val="TableNormal"/>
    <w:next w:val="Table3Deffects3"/>
    <w:semiHidden/>
    <w:rsid w:val="00CE5D6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11">
    <w:name w:val="Table List 11"/>
    <w:basedOn w:val="TableNormal"/>
    <w:next w:val="TableList1"/>
    <w:semiHidden/>
    <w:rsid w:val="00CE5D6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21">
    <w:name w:val="Table List 21"/>
    <w:basedOn w:val="TableNormal"/>
    <w:next w:val="TableList2"/>
    <w:semiHidden/>
    <w:rsid w:val="00CE5D6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31">
    <w:name w:val="Table List 31"/>
    <w:basedOn w:val="TableNormal"/>
    <w:next w:val="TableList3"/>
    <w:semiHidden/>
    <w:rsid w:val="00CE5D6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41">
    <w:name w:val="Table List 41"/>
    <w:basedOn w:val="TableNormal"/>
    <w:next w:val="TableList4"/>
    <w:semiHidden/>
    <w:rsid w:val="00CE5D6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leList51">
    <w:name w:val="Table List 51"/>
    <w:basedOn w:val="TableNormal"/>
    <w:next w:val="TableList5"/>
    <w:semiHidden/>
    <w:rsid w:val="00CE5D6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61">
    <w:name w:val="Table List 61"/>
    <w:basedOn w:val="TableNormal"/>
    <w:next w:val="TableList6"/>
    <w:semiHidden/>
    <w:rsid w:val="00CE5D6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TableList71">
    <w:name w:val="Table List 71"/>
    <w:basedOn w:val="TableNormal"/>
    <w:next w:val="TableList7"/>
    <w:semiHidden/>
    <w:rsid w:val="00CE5D6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TableList81">
    <w:name w:val="Table List 81"/>
    <w:basedOn w:val="TableNormal"/>
    <w:next w:val="TableList8"/>
    <w:semiHidden/>
    <w:rsid w:val="00CE5D6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TableTheme1">
    <w:name w:val="Table Theme1"/>
    <w:basedOn w:val="TableNormal"/>
    <w:next w:val="TableTheme"/>
    <w:semiHidden/>
    <w:rsid w:val="00CE5D6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Elegant1">
    <w:name w:val="Table Elegant1"/>
    <w:basedOn w:val="TableNormal"/>
    <w:next w:val="TableElegant"/>
    <w:semiHidden/>
    <w:rsid w:val="00CE5D6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ntemporary1">
    <w:name w:val="Table Contemporary1"/>
    <w:basedOn w:val="TableNormal"/>
    <w:next w:val="TableContemporary"/>
    <w:semiHidden/>
    <w:rsid w:val="00CE5D6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TableProfessional1">
    <w:name w:val="Table Professional1"/>
    <w:basedOn w:val="TableNormal"/>
    <w:next w:val="TableProfessional"/>
    <w:semiHidden/>
    <w:rsid w:val="00CE5D6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eSubtle11">
    <w:name w:val="Table Subtle 11"/>
    <w:basedOn w:val="TableNormal"/>
    <w:next w:val="TableSubtle1"/>
    <w:semiHidden/>
    <w:rsid w:val="00CE5D6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Subtle21">
    <w:name w:val="Table Subtle 21"/>
    <w:basedOn w:val="TableNormal"/>
    <w:next w:val="TableSubtle2"/>
    <w:semiHidden/>
    <w:rsid w:val="00CE5D6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orful11">
    <w:name w:val="Table Colorful 11"/>
    <w:basedOn w:val="TableNormal"/>
    <w:next w:val="TableColorful1"/>
    <w:semiHidden/>
    <w:rsid w:val="00CE5D6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orful21">
    <w:name w:val="Table Colorful 21"/>
    <w:basedOn w:val="TableNormal"/>
    <w:next w:val="TableColorful2"/>
    <w:semiHidden/>
    <w:rsid w:val="00CE5D6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orful31">
    <w:name w:val="Table Colorful 31"/>
    <w:basedOn w:val="TableNormal"/>
    <w:next w:val="TableColorful3"/>
    <w:semiHidden/>
    <w:rsid w:val="00CE5D6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eWeb11">
    <w:name w:val="Table Web 11"/>
    <w:basedOn w:val="TableNormal"/>
    <w:next w:val="TableWeb1"/>
    <w:semiHidden/>
    <w:rsid w:val="00CE5D6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Web21">
    <w:name w:val="Table Web 21"/>
    <w:basedOn w:val="TableNormal"/>
    <w:next w:val="TableWeb2"/>
    <w:semiHidden/>
    <w:rsid w:val="00CE5D6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Web31">
    <w:name w:val="Table Web 31"/>
    <w:basedOn w:val="TableNormal"/>
    <w:next w:val="TableWeb3"/>
    <w:semiHidden/>
    <w:rsid w:val="00CE5D6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Text">
    <w:name w:val="annotation text"/>
    <w:basedOn w:val="Normal"/>
    <w:link w:val="CommentTextChar"/>
    <w:rsid w:val="00CE5D65"/>
    <w:rPr>
      <w:rFonts w:eastAsia="Times New Roman"/>
      <w:sz w:val="24"/>
      <w:szCs w:val="24"/>
    </w:rPr>
  </w:style>
  <w:style w:type="character" w:customStyle="1" w:styleId="CommentTextChar">
    <w:name w:val="Comment Text Char"/>
    <w:link w:val="CommentText"/>
    <w:rsid w:val="00CE5D65"/>
    <w:rPr>
      <w:sz w:val="24"/>
      <w:szCs w:val="24"/>
      <w:lang w:val="es-ES" w:eastAsia="es-ES"/>
    </w:rPr>
  </w:style>
  <w:style w:type="character" w:customStyle="1" w:styleId="SingleTxtGChar">
    <w:name w:val="_ Single Txt_G Char"/>
    <w:link w:val="SingleTxtG"/>
    <w:locked/>
    <w:rsid w:val="00CE5D65"/>
    <w:rPr>
      <w:rFonts w:eastAsia="SimSun"/>
      <w:lang w:val="es-ES" w:eastAsia="es-ES"/>
    </w:rPr>
  </w:style>
  <w:style w:type="character" w:customStyle="1" w:styleId="FootnoteTextChar">
    <w:name w:val="Footnote Text Char"/>
    <w:aliases w:val="5_G Char"/>
    <w:link w:val="FootnoteText"/>
    <w:rsid w:val="00CE5D65"/>
    <w:rPr>
      <w:rFonts w:eastAsia="SimSun"/>
      <w:sz w:val="18"/>
      <w:lang w:val="es-ES" w:eastAsia="es-ES"/>
    </w:rPr>
  </w:style>
  <w:style w:type="character" w:styleId="CommentReference">
    <w:name w:val="annotation reference"/>
    <w:uiPriority w:val="99"/>
    <w:semiHidden/>
    <w:unhideWhenUsed/>
    <w:rsid w:val="00CE5D65"/>
    <w:rPr>
      <w:sz w:val="16"/>
      <w:szCs w:val="16"/>
    </w:rPr>
  </w:style>
  <w:style w:type="character" w:customStyle="1" w:styleId="EndnoteTextChar">
    <w:name w:val="Endnote Text Char"/>
    <w:aliases w:val="2_G Char"/>
    <w:link w:val="EndnoteText"/>
    <w:rsid w:val="00CE5D65"/>
    <w:rPr>
      <w:rFonts w:eastAsia="SimSun"/>
      <w:sz w:val="18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E4F8D"/>
    <w:pPr>
      <w:spacing w:line="240" w:lineRule="auto"/>
    </w:pPr>
    <w:rPr>
      <w:rFonts w:eastAsia="SimSun"/>
      <w:b/>
      <w:bCs/>
      <w:sz w:val="20"/>
      <w:szCs w:val="20"/>
    </w:rPr>
  </w:style>
  <w:style w:type="character" w:customStyle="1" w:styleId="CommentSubjectChar">
    <w:name w:val="Comment Subject Char"/>
    <w:link w:val="CommentSubject"/>
    <w:semiHidden/>
    <w:rsid w:val="000E4F8D"/>
    <w:rPr>
      <w:rFonts w:eastAsia="SimSun"/>
      <w:b/>
      <w:bCs/>
      <w:sz w:val="24"/>
      <w:szCs w:val="24"/>
      <w:lang w:val="es-ES" w:eastAsia="es-ES"/>
    </w:rPr>
  </w:style>
  <w:style w:type="paragraph" w:styleId="Revision">
    <w:name w:val="Revision"/>
    <w:hidden/>
    <w:uiPriority w:val="99"/>
    <w:semiHidden/>
    <w:rsid w:val="00EF472F"/>
    <w:rPr>
      <w:rFonts w:eastAsia="SimSu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binternet.ohchr.org/_layouts/15/treatybodyexternal/Download.aspx?symbolno=CERD%2fC%2fCOL%2fCO%2f15-16%2fAdd.1&amp;Lang=en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binternet.ohchr.org/_layouts/15/treatybodyexternal/Download.aspx?symbolno=CERD%2fC%2fCOL%2f17-19&amp;Lang=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tbinternet.ohchr.org/_layouts/treatybodyexternal/Download.aspx?symbolno=CERD%2fC%2fCOL%2f15-16&amp;Lang=en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binternet.ohchr.org/_layouts/treatybodyexternal/Download.aspx?symbolno=CERD%2fC%2fCOL%2f15-16&amp;Lang=en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E8312-E6F5-47EA-8889-CEBDF591D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1381</Words>
  <Characters>7597</Characters>
  <Application>Microsoft Office Word</Application>
  <DocSecurity>0</DocSecurity>
  <Lines>63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CERD/C/COL/Q/17-19</vt:lpstr>
      <vt:lpstr>CERD/C/COL/Q/17-19</vt:lpstr>
      <vt:lpstr>CAT/C/XXX/Y</vt:lpstr>
    </vt:vector>
  </TitlesOfParts>
  <Company>DCM</Company>
  <LinksUpToDate>false</LinksUpToDate>
  <CharactersWithSpaces>8961</CharactersWithSpaces>
  <SharedDoc>false</SharedDoc>
  <HLinks>
    <vt:vector size="24" baseType="variant">
      <vt:variant>
        <vt:i4>4456483</vt:i4>
      </vt:variant>
      <vt:variant>
        <vt:i4>32</vt:i4>
      </vt:variant>
      <vt:variant>
        <vt:i4>0</vt:i4>
      </vt:variant>
      <vt:variant>
        <vt:i4>5</vt:i4>
      </vt:variant>
      <vt:variant>
        <vt:lpwstr>https://tbinternet.ohchr.org/_layouts/15/treatybodyexternal/Download.aspx?symbolno=CERD%2fC%2fCOL%2fCO%2f15-16%2fAdd.1&amp;Lang=en</vt:lpwstr>
      </vt:variant>
      <vt:variant>
        <vt:lpwstr/>
      </vt:variant>
      <vt:variant>
        <vt:i4>2555985</vt:i4>
      </vt:variant>
      <vt:variant>
        <vt:i4>29</vt:i4>
      </vt:variant>
      <vt:variant>
        <vt:i4>0</vt:i4>
      </vt:variant>
      <vt:variant>
        <vt:i4>5</vt:i4>
      </vt:variant>
      <vt:variant>
        <vt:lpwstr>https://tbinternet.ohchr.org/_layouts/15/treatybodyexternal/Download.aspx?symbolno=CERD%2fC%2fCOL%2f17-19&amp;Lang=en</vt:lpwstr>
      </vt:variant>
      <vt:variant>
        <vt:lpwstr/>
      </vt:variant>
      <vt:variant>
        <vt:i4>1376310</vt:i4>
      </vt:variant>
      <vt:variant>
        <vt:i4>26</vt:i4>
      </vt:variant>
      <vt:variant>
        <vt:i4>0</vt:i4>
      </vt:variant>
      <vt:variant>
        <vt:i4>5</vt:i4>
      </vt:variant>
      <vt:variant>
        <vt:lpwstr>http://tbinternet.ohchr.org/_layouts/treatybodyexternal/Download.aspx?symbolno=CERD%2fC%2fCOL%2f15-16&amp;Lang=en</vt:lpwstr>
      </vt:variant>
      <vt:variant>
        <vt:lpwstr/>
      </vt:variant>
      <vt:variant>
        <vt:i4>1376310</vt:i4>
      </vt:variant>
      <vt:variant>
        <vt:i4>23</vt:i4>
      </vt:variant>
      <vt:variant>
        <vt:i4>0</vt:i4>
      </vt:variant>
      <vt:variant>
        <vt:i4>5</vt:i4>
      </vt:variant>
      <vt:variant>
        <vt:lpwstr>http://tbinternet.ohchr.org/_layouts/treatybodyexternal/Download.aspx?symbolno=CERD%2fC%2fCOL%2f15-16&amp;Lang=en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CERD/C/COL/Q/17-19</dc:title>
  <dc:subject/>
  <dc:creator>Maria Luisa Zeballos Moreno</dc:creator>
  <cp:keywords/>
  <dc:description/>
  <cp:lastModifiedBy>Maria Luisa Zeballos Moreno</cp:lastModifiedBy>
  <cp:revision>3</cp:revision>
  <cp:lastPrinted>2019-10-08T14:52:00Z</cp:lastPrinted>
  <dcterms:created xsi:type="dcterms:W3CDTF">2019-10-08T14:52:00Z</dcterms:created>
  <dcterms:modified xsi:type="dcterms:W3CDTF">2019-10-08T14:54:00Z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ocs">
    <vt:lpwstr>gdocs</vt:lpwstr>
  </property>
  <property fmtid="{D5CDD505-2E9C-101B-9397-08002B2CF9AE}" pid="3" name="sym1">
    <vt:lpwstr>C/COL/Q/17-19</vt:lpwstr>
  </property>
  <property fmtid="{D5CDD505-2E9C-101B-9397-08002B2CF9AE}" pid="4" name="symh">
    <vt:lpwstr>CERD/C/COL/Q/17-19</vt:lpwstr>
  </property>
  <property fmtid="{D5CDD505-2E9C-101B-9397-08002B2CF9AE}" pid="5" name="dist">
    <vt:lpwstr>general</vt:lpwstr>
  </property>
  <property fmtid="{D5CDD505-2E9C-101B-9397-08002B2CF9AE}" pid="6" name="date">
    <vt:lpwstr>19 de junio de 2019</vt:lpwstr>
  </property>
  <property fmtid="{D5CDD505-2E9C-101B-9397-08002B2CF9AE}" pid="7" name="sdate">
    <vt:lpwstr>25 de noviembre a 13 de diciembre 2019</vt:lpwstr>
  </property>
  <property fmtid="{D5CDD505-2E9C-101B-9397-08002B2CF9AE}" pid="8" name="virs">
    <vt:lpwstr>Español, francés e inglés únicamente</vt:lpwstr>
  </property>
  <property fmtid="{D5CDD505-2E9C-101B-9397-08002B2CF9AE}" pid="9" name="snum">
    <vt:lpwstr>100ᵒ</vt:lpwstr>
  </property>
  <property fmtid="{D5CDD505-2E9C-101B-9397-08002B2CF9AE}" pid="10" name="anum">
    <vt:lpwstr>[NUMBER]</vt:lpwstr>
  </property>
  <property fmtid="{D5CDD505-2E9C-101B-9397-08002B2CF9AE}" pid="11" name="count">
    <vt:lpwstr>de Colombia</vt:lpwstr>
  </property>
  <property fmtid="{D5CDD505-2E9C-101B-9397-08002B2CF9AE}" pid="12" name="countw">
    <vt:lpwstr>Colombia</vt:lpwstr>
  </property>
  <property fmtid="{D5CDD505-2E9C-101B-9397-08002B2CF9AE}" pid="13" name="countwd">
    <vt:lpwstr>Colombia</vt:lpwstr>
  </property>
  <property fmtid="{D5CDD505-2E9C-101B-9397-08002B2CF9AE}" pid="14" name="gdoc">
    <vt:lpwstr/>
  </property>
  <property fmtid="{D5CDD505-2E9C-101B-9397-08002B2CF9AE}" pid="15" name="gdocf">
    <vt:lpwstr/>
  </property>
  <property fmtid="{D5CDD505-2E9C-101B-9397-08002B2CF9AE}" pid="16" name="tlang">
    <vt:lpwstr/>
  </property>
  <property fmtid="{D5CDD505-2E9C-101B-9397-08002B2CF9AE}" pid="17" name="atitle">
    <vt:lpwstr>[Title]</vt:lpwstr>
  </property>
  <property fmtid="{D5CDD505-2E9C-101B-9397-08002B2CF9AE}" pid="18" name="stitle">
    <vt:lpwstr>[Title]</vt:lpwstr>
  </property>
  <property fmtid="{D5CDD505-2E9C-101B-9397-08002B2CF9AE}" pid="19" name="prep">
    <vt:lpwstr>a los informes periódicos 17ᵒ a 19ᵒ combinados de Colombia</vt:lpwstr>
  </property>
  <property fmtid="{D5CDD505-2E9C-101B-9397-08002B2CF9AE}" pid="20" name="preps">
    <vt:lpwstr>informes periódicos 17ᵒ a 19ᵒ combinados de Colombia</vt:lpwstr>
  </property>
  <property fmtid="{D5CDD505-2E9C-101B-9397-08002B2CF9AE}" pid="21" name="prepw">
    <vt:lpwstr>a los informes periódicos 17ᵒ a 19ᵒ combinados</vt:lpwstr>
  </property>
  <property fmtid="{D5CDD505-2E9C-101B-9397-08002B2CF9AE}" pid="22" name="prepws">
    <vt:lpwstr>informes periódicos 17ᵒ a 19ᵒ combinados de Colombia</vt:lpwstr>
  </property>
  <property fmtid="{D5CDD505-2E9C-101B-9397-08002B2CF9AE}" pid="23" name="prepwc">
    <vt:lpwstr>Informes periódicos 17ᵒ a 19ᵒ combinados </vt:lpwstr>
  </property>
  <property fmtid="{D5CDD505-2E9C-101B-9397-08002B2CF9AE}" pid="24" name="olang">
    <vt:lpwstr>español</vt:lpwstr>
  </property>
  <property fmtid="{D5CDD505-2E9C-101B-9397-08002B2CF9AE}" pid="25" name="Date-Generated">
    <vt:filetime>2019-06-19T14:54:16Z</vt:filetime>
  </property>
  <property fmtid="{D5CDD505-2E9C-101B-9397-08002B2CF9AE}" pid="26" name="Author">
    <vt:lpwstr/>
  </property>
  <property fmtid="{D5CDD505-2E9C-101B-9397-08002B2CF9AE}" pid="27" name="bar">
    <vt:lpwstr/>
  </property>
  <property fmtid="{D5CDD505-2E9C-101B-9397-08002B2CF9AE}" pid="28" name="Org">
    <vt:lpwstr>OHCHR</vt:lpwstr>
  </property>
  <property fmtid="{D5CDD505-2E9C-101B-9397-08002B2CF9AE}" pid="29" name="Entity">
    <vt:lpwstr>List of themes</vt:lpwstr>
  </property>
  <property fmtid="{D5CDD505-2E9C-101B-9397-08002B2CF9AE}" pid="30" name="doctype">
    <vt:lpwstr>Final</vt:lpwstr>
  </property>
  <property fmtid="{D5CDD505-2E9C-101B-9397-08002B2CF9AE}" pid="31" name="category">
    <vt:lpwstr>CERD</vt:lpwstr>
  </property>
</Properties>
</file>