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C6E523" w14:textId="77777777" w:rsidTr="00C057D5">
        <w:trPr>
          <w:trHeight w:hRule="exact" w:val="851"/>
        </w:trPr>
        <w:tc>
          <w:tcPr>
            <w:tcW w:w="1276" w:type="dxa"/>
            <w:tcBorders>
              <w:bottom w:val="single" w:sz="4" w:space="0" w:color="auto"/>
            </w:tcBorders>
          </w:tcPr>
          <w:p w14:paraId="7A233D9E" w14:textId="77777777" w:rsidR="002D5AAC" w:rsidRDefault="002D5AAC" w:rsidP="000C706A">
            <w:pPr>
              <w:kinsoku w:val="0"/>
              <w:overflowPunct w:val="0"/>
              <w:autoSpaceDE w:val="0"/>
              <w:autoSpaceDN w:val="0"/>
              <w:adjustRightInd w:val="0"/>
              <w:snapToGrid w:val="0"/>
            </w:pPr>
            <w:bookmarkStart w:id="0" w:name="_Hlk173151405"/>
            <w:bookmarkStart w:id="1" w:name="_Hlk173151479"/>
            <w:bookmarkStart w:id="2" w:name="_Hlk173161345"/>
          </w:p>
        </w:tc>
        <w:tc>
          <w:tcPr>
            <w:tcW w:w="2268" w:type="dxa"/>
            <w:tcBorders>
              <w:bottom w:val="single" w:sz="4" w:space="0" w:color="auto"/>
            </w:tcBorders>
            <w:vAlign w:val="bottom"/>
          </w:tcPr>
          <w:p w14:paraId="34FFCA8A"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409D896" w14:textId="66433C73" w:rsidR="002D5AAC" w:rsidRDefault="000C706A" w:rsidP="000C706A">
            <w:pPr>
              <w:jc w:val="right"/>
            </w:pPr>
            <w:proofErr w:type="spellStart"/>
            <w:r w:rsidRPr="000C706A">
              <w:rPr>
                <w:sz w:val="40"/>
              </w:rPr>
              <w:t>HRI</w:t>
            </w:r>
            <w:proofErr w:type="spellEnd"/>
            <w:r>
              <w:t>/CORE/</w:t>
            </w:r>
            <w:proofErr w:type="spellStart"/>
            <w:r>
              <w:t>AUS</w:t>
            </w:r>
            <w:proofErr w:type="spellEnd"/>
            <w:r>
              <w:t>/2023</w:t>
            </w:r>
          </w:p>
        </w:tc>
      </w:tr>
      <w:tr w:rsidR="002D5AAC" w14:paraId="15EDCA3C" w14:textId="77777777" w:rsidTr="00C057D5">
        <w:trPr>
          <w:trHeight w:hRule="exact" w:val="2835"/>
        </w:trPr>
        <w:tc>
          <w:tcPr>
            <w:tcW w:w="1276" w:type="dxa"/>
            <w:tcBorders>
              <w:top w:val="single" w:sz="4" w:space="0" w:color="auto"/>
              <w:bottom w:val="single" w:sz="12" w:space="0" w:color="auto"/>
            </w:tcBorders>
          </w:tcPr>
          <w:p w14:paraId="21511FBF" w14:textId="77777777" w:rsidR="002D5AAC" w:rsidRDefault="0095700F" w:rsidP="00C057D5">
            <w:pPr>
              <w:spacing w:before="120"/>
              <w:jc w:val="center"/>
            </w:pPr>
            <w:r>
              <w:rPr>
                <w:noProof/>
              </w:rPr>
              <w:drawing>
                <wp:inline distT="0" distB="0" distL="0" distR="0" wp14:anchorId="253F7FAC" wp14:editId="1011C0E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3BA66C"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5D46B756" w14:textId="77777777" w:rsidR="002D5AAC" w:rsidRDefault="000C706A" w:rsidP="00C057D5">
            <w:pPr>
              <w:spacing w:before="240"/>
            </w:pPr>
            <w:r>
              <w:t>Distr. general</w:t>
            </w:r>
          </w:p>
          <w:p w14:paraId="30E6F375" w14:textId="77777777" w:rsidR="000C706A" w:rsidRDefault="000C706A" w:rsidP="000C706A">
            <w:pPr>
              <w:spacing w:line="240" w:lineRule="exact"/>
            </w:pPr>
            <w:r>
              <w:t>31 de mayo de 2024</w:t>
            </w:r>
          </w:p>
          <w:p w14:paraId="03EAAF63" w14:textId="77777777" w:rsidR="000C706A" w:rsidRDefault="000C706A" w:rsidP="000C706A">
            <w:pPr>
              <w:spacing w:line="240" w:lineRule="exact"/>
            </w:pPr>
            <w:r>
              <w:t>Español</w:t>
            </w:r>
          </w:p>
          <w:p w14:paraId="4B6C5460" w14:textId="702A80E5" w:rsidR="000C706A" w:rsidRDefault="000C706A" w:rsidP="000C706A">
            <w:pPr>
              <w:spacing w:line="240" w:lineRule="exact"/>
            </w:pPr>
            <w:r>
              <w:t>Original: inglés</w:t>
            </w:r>
          </w:p>
        </w:tc>
      </w:tr>
    </w:tbl>
    <w:p w14:paraId="789227EF" w14:textId="0C010113" w:rsidR="000C706A" w:rsidRPr="00C52B38" w:rsidRDefault="002370A4" w:rsidP="002370A4">
      <w:pPr>
        <w:pStyle w:val="HMG"/>
      </w:pPr>
      <w:r>
        <w:tab/>
      </w:r>
      <w:r>
        <w:tab/>
      </w:r>
      <w:r w:rsidR="000C706A" w:rsidRPr="00C52B38">
        <w:t>Documento básico común que forma parte</w:t>
      </w:r>
      <w:r>
        <w:t> </w:t>
      </w:r>
      <w:r w:rsidR="000C706A" w:rsidRPr="00C52B38">
        <w:t>integrante de los informes de los</w:t>
      </w:r>
      <w:r>
        <w:t> </w:t>
      </w:r>
      <w:r w:rsidR="000C706A" w:rsidRPr="00C52B38">
        <w:t>Estados</w:t>
      </w:r>
      <w:r>
        <w:t> </w:t>
      </w:r>
      <w:r w:rsidR="000C706A" w:rsidRPr="00C52B38">
        <w:t>partes</w:t>
      </w:r>
    </w:p>
    <w:p w14:paraId="1A12F6EF" w14:textId="5FB71DB9" w:rsidR="000C706A" w:rsidRPr="00C52B38" w:rsidRDefault="002370A4" w:rsidP="002370A4">
      <w:pPr>
        <w:pStyle w:val="HMG"/>
      </w:pPr>
      <w:r>
        <w:tab/>
      </w:r>
      <w:r w:rsidR="000C706A">
        <w:tab/>
      </w:r>
      <w:r w:rsidR="000C706A" w:rsidRPr="00C52B38">
        <w:t>Australia</w:t>
      </w:r>
      <w:r w:rsidR="000C706A" w:rsidRPr="002370A4">
        <w:rPr>
          <w:b w:val="0"/>
          <w:bCs/>
          <w:sz w:val="20"/>
          <w:szCs w:val="10"/>
        </w:rPr>
        <w:footnoteReference w:customMarkFollows="1" w:id="1"/>
        <w:t>*</w:t>
      </w:r>
    </w:p>
    <w:p w14:paraId="6497F315" w14:textId="77777777" w:rsidR="000C706A" w:rsidRPr="00C52B38" w:rsidRDefault="000C706A" w:rsidP="002370A4">
      <w:pPr>
        <w:pStyle w:val="SingleTxtG"/>
        <w:jc w:val="right"/>
      </w:pPr>
      <w:r w:rsidRPr="00C52B38">
        <w:t>[Fecha de recepción: 20 de octubre de 2023]</w:t>
      </w:r>
    </w:p>
    <w:p w14:paraId="345558AD" w14:textId="77777777" w:rsidR="000C706A" w:rsidRPr="00C52B38" w:rsidRDefault="000C706A" w:rsidP="000C706A">
      <w:r w:rsidRPr="00C52B38">
        <w:br w:type="page"/>
      </w:r>
    </w:p>
    <w:p w14:paraId="4D9BFB55" w14:textId="77777777" w:rsidR="00BC24FE" w:rsidRDefault="00BC24FE" w:rsidP="00BC24FE">
      <w:pPr>
        <w:spacing w:after="120"/>
        <w:rPr>
          <w:sz w:val="28"/>
        </w:rPr>
      </w:pPr>
      <w:r>
        <w:rPr>
          <w:sz w:val="28"/>
        </w:rPr>
        <w:lastRenderedPageBreak/>
        <w:t>Índice</w:t>
      </w:r>
    </w:p>
    <w:p w14:paraId="7405D467" w14:textId="77777777" w:rsidR="00BC24FE" w:rsidRDefault="00BC24FE" w:rsidP="00BC24FE">
      <w:pPr>
        <w:tabs>
          <w:tab w:val="right" w:pos="9638"/>
        </w:tabs>
        <w:spacing w:after="120"/>
        <w:ind w:left="283"/>
        <w:rPr>
          <w:sz w:val="18"/>
        </w:rPr>
      </w:pPr>
      <w:r>
        <w:rPr>
          <w:i/>
          <w:sz w:val="18"/>
        </w:rPr>
        <w:tab/>
        <w:t>Página</w:t>
      </w:r>
    </w:p>
    <w:p w14:paraId="1EB25C2C"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tab/>
      </w:r>
      <w:r w:rsidRPr="00C52B38">
        <w:t>Introducción</w:t>
      </w:r>
      <w:r>
        <w:rPr>
          <w:webHidden/>
        </w:rPr>
        <w:tab/>
      </w:r>
      <w:r>
        <w:rPr>
          <w:webHidden/>
        </w:rPr>
        <w:tab/>
        <w:t>3</w:t>
      </w:r>
    </w:p>
    <w:p w14:paraId="3B86B510"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rsidRPr="00C52B38">
        <w:tab/>
        <w:t>I.</w:t>
      </w:r>
      <w:r w:rsidRPr="00C52B38">
        <w:tab/>
        <w:t>Información general</w:t>
      </w:r>
      <w:r>
        <w:rPr>
          <w:webHidden/>
        </w:rPr>
        <w:tab/>
      </w:r>
      <w:r>
        <w:rPr>
          <w:webHidden/>
        </w:rPr>
        <w:tab/>
        <w:t>3</w:t>
      </w:r>
    </w:p>
    <w:p w14:paraId="39DCFFAE"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tab/>
      </w:r>
      <w:r w:rsidRPr="00C52B38">
        <w:t>A.</w:t>
      </w:r>
      <w:r w:rsidRPr="00C52B38">
        <w:tab/>
        <w:t>Características demográficas, económicas, sociales y culturales del Estado</w:t>
      </w:r>
      <w:r>
        <w:rPr>
          <w:webHidden/>
        </w:rPr>
        <w:tab/>
      </w:r>
      <w:r>
        <w:rPr>
          <w:webHidden/>
        </w:rPr>
        <w:tab/>
        <w:t>3</w:t>
      </w:r>
    </w:p>
    <w:p w14:paraId="6E497A05"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tab/>
      </w:r>
      <w:r w:rsidRPr="00C52B38">
        <w:t>B.</w:t>
      </w:r>
      <w:r w:rsidRPr="00C52B38">
        <w:tab/>
        <w:t>Estructura constitucional, política y jurídica</w:t>
      </w:r>
      <w:r>
        <w:rPr>
          <w:webHidden/>
        </w:rPr>
        <w:tab/>
      </w:r>
      <w:r>
        <w:rPr>
          <w:webHidden/>
        </w:rPr>
        <w:tab/>
        <w:t>15</w:t>
      </w:r>
    </w:p>
    <w:p w14:paraId="13DAFA6B"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rsidRPr="00C52B38">
        <w:tab/>
        <w:t>II.</w:t>
      </w:r>
      <w:r w:rsidRPr="00C52B38">
        <w:tab/>
        <w:t>Marco general de protección y promoción de los derechos humanos</w:t>
      </w:r>
      <w:r>
        <w:rPr>
          <w:webHidden/>
        </w:rPr>
        <w:tab/>
      </w:r>
      <w:r>
        <w:rPr>
          <w:webHidden/>
        </w:rPr>
        <w:tab/>
        <w:t>26</w:t>
      </w:r>
    </w:p>
    <w:p w14:paraId="52C5A43A"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tab/>
      </w:r>
      <w:r w:rsidRPr="00C52B38">
        <w:t>A.</w:t>
      </w:r>
      <w:r w:rsidRPr="00C52B38">
        <w:tab/>
        <w:t>Aceptación de las normas internacionales de derechos humanos</w:t>
      </w:r>
      <w:r>
        <w:rPr>
          <w:webHidden/>
        </w:rPr>
        <w:tab/>
      </w:r>
      <w:r>
        <w:rPr>
          <w:webHidden/>
        </w:rPr>
        <w:tab/>
        <w:t>26</w:t>
      </w:r>
    </w:p>
    <w:p w14:paraId="033A183F"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tab/>
      </w:r>
      <w:r w:rsidRPr="00C52B38">
        <w:t>B.</w:t>
      </w:r>
      <w:r w:rsidRPr="00C52B38">
        <w:tab/>
        <w:t>Marco jurídico de protección de los derechos humanos a nivel nacional</w:t>
      </w:r>
      <w:r>
        <w:rPr>
          <w:webHidden/>
        </w:rPr>
        <w:tab/>
      </w:r>
      <w:r>
        <w:rPr>
          <w:webHidden/>
        </w:rPr>
        <w:tab/>
        <w:t>28</w:t>
      </w:r>
    </w:p>
    <w:p w14:paraId="66C0CDD3"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tab/>
      </w:r>
      <w:r w:rsidRPr="00C52B38">
        <w:t>C.</w:t>
      </w:r>
      <w:r w:rsidRPr="00C52B38">
        <w:tab/>
        <w:t>Marco de promoción de los derechos humanos a nivel nacional</w:t>
      </w:r>
      <w:r>
        <w:rPr>
          <w:webHidden/>
        </w:rPr>
        <w:tab/>
      </w:r>
      <w:r>
        <w:rPr>
          <w:webHidden/>
        </w:rPr>
        <w:tab/>
        <w:t>33</w:t>
      </w:r>
    </w:p>
    <w:p w14:paraId="0DA5068D"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tab/>
      </w:r>
      <w:r w:rsidRPr="00C52B38">
        <w:t>D.</w:t>
      </w:r>
      <w:r w:rsidRPr="00C52B38">
        <w:tab/>
        <w:t>Proceso de presentación de informes a nivel nacional</w:t>
      </w:r>
      <w:r>
        <w:rPr>
          <w:webHidden/>
        </w:rPr>
        <w:tab/>
      </w:r>
      <w:r>
        <w:rPr>
          <w:webHidden/>
        </w:rPr>
        <w:tab/>
        <w:t>38</w:t>
      </w:r>
    </w:p>
    <w:p w14:paraId="0EF9131C"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rsidRPr="00C52B38">
        <w:tab/>
        <w:t>III.</w:t>
      </w:r>
      <w:r w:rsidRPr="00C52B38">
        <w:tab/>
        <w:t>Información sobre no discriminación, igualdad y recursos efectivos</w:t>
      </w:r>
      <w:r>
        <w:rPr>
          <w:webHidden/>
        </w:rPr>
        <w:tab/>
      </w:r>
      <w:r>
        <w:rPr>
          <w:webHidden/>
        </w:rPr>
        <w:tab/>
        <w:t>39</w:t>
      </w:r>
    </w:p>
    <w:p w14:paraId="045EE261"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tab/>
      </w:r>
      <w:r w:rsidRPr="00C52B38">
        <w:t>A.</w:t>
      </w:r>
      <w:r w:rsidRPr="00C52B38">
        <w:tab/>
        <w:t>No discriminación e igualdad</w:t>
      </w:r>
      <w:r>
        <w:rPr>
          <w:webHidden/>
        </w:rPr>
        <w:tab/>
      </w:r>
      <w:r>
        <w:rPr>
          <w:webHidden/>
        </w:rPr>
        <w:tab/>
        <w:t>39</w:t>
      </w:r>
    </w:p>
    <w:p w14:paraId="471F6879"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tab/>
      </w:r>
      <w:r w:rsidRPr="00C52B38">
        <w:t>B.</w:t>
      </w:r>
      <w:r w:rsidRPr="00C52B38">
        <w:tab/>
        <w:t>Recursos efectivos</w:t>
      </w:r>
      <w:r>
        <w:rPr>
          <w:webHidden/>
        </w:rPr>
        <w:tab/>
      </w:r>
      <w:r>
        <w:rPr>
          <w:webHidden/>
        </w:rPr>
        <w:tab/>
        <w:t>48</w:t>
      </w:r>
    </w:p>
    <w:p w14:paraId="1AF7BD81" w14:textId="77777777" w:rsidR="00BC24FE" w:rsidRPr="00C52B38" w:rsidRDefault="00BC24FE" w:rsidP="00BC24FE">
      <w:pPr>
        <w:pStyle w:val="H56G"/>
      </w:pPr>
      <w:r w:rsidRPr="00C52B38">
        <w:tab/>
        <w:t>Anexos</w:t>
      </w:r>
    </w:p>
    <w:p w14:paraId="2D2DC5A5"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rsidRPr="00C52B38">
        <w:t>I</w:t>
      </w:r>
      <w:r>
        <w:t>.</w:t>
      </w:r>
      <w:r w:rsidRPr="00C52B38">
        <w:tab/>
        <w:t>Otros datos estadísticos</w:t>
      </w:r>
      <w:r>
        <w:tab/>
      </w:r>
      <w:r>
        <w:tab/>
        <w:t>50</w:t>
      </w:r>
    </w:p>
    <w:p w14:paraId="5004253B" w14:textId="77777777" w:rsidR="00BC24FE" w:rsidRPr="00C52B38" w:rsidRDefault="00BC24FE" w:rsidP="00BC24FE">
      <w:pPr>
        <w:tabs>
          <w:tab w:val="right" w:pos="850"/>
          <w:tab w:val="left" w:pos="1134"/>
          <w:tab w:val="left" w:pos="1559"/>
          <w:tab w:val="left" w:pos="1984"/>
          <w:tab w:val="left" w:leader="dot" w:pos="8787"/>
          <w:tab w:val="right" w:pos="9638"/>
        </w:tabs>
        <w:spacing w:after="120"/>
      </w:pPr>
      <w:r>
        <w:tab/>
      </w:r>
      <w:r w:rsidRPr="00C52B38">
        <w:t>II</w:t>
      </w:r>
      <w:r>
        <w:t>.</w:t>
      </w:r>
      <w:r w:rsidRPr="00C52B38">
        <w:tab/>
        <w:t>Información adicional sobre la protección y promoción de los derechos humanos</w:t>
      </w:r>
      <w:r>
        <w:tab/>
      </w:r>
      <w:r>
        <w:tab/>
        <w:t>55</w:t>
      </w:r>
    </w:p>
    <w:p w14:paraId="1875FB29" w14:textId="32499976" w:rsidR="000C706A" w:rsidRPr="00C52B38" w:rsidRDefault="000C706A" w:rsidP="002370A4">
      <w:pPr>
        <w:pStyle w:val="HChG"/>
      </w:pPr>
      <w:r w:rsidRPr="00C52B38">
        <w:br w:type="page"/>
      </w:r>
      <w:bookmarkStart w:id="3" w:name="_Toc167980137"/>
      <w:bookmarkEnd w:id="3"/>
      <w:r>
        <w:lastRenderedPageBreak/>
        <w:tab/>
      </w:r>
      <w:r w:rsidR="002370A4">
        <w:tab/>
      </w:r>
      <w:r w:rsidRPr="00C52B38">
        <w:t>Introducción</w:t>
      </w:r>
      <w:bookmarkStart w:id="4" w:name="_Toc167980138"/>
      <w:bookmarkEnd w:id="4"/>
    </w:p>
    <w:p w14:paraId="01310820" w14:textId="77777777" w:rsidR="000C706A" w:rsidRPr="00C52B38" w:rsidRDefault="000C706A" w:rsidP="002370A4">
      <w:pPr>
        <w:pStyle w:val="SingleTxtG"/>
      </w:pPr>
      <w:r w:rsidRPr="00C52B38">
        <w:t>1.</w:t>
      </w:r>
      <w:r w:rsidRPr="00C52B38">
        <w:tab/>
        <w:t>El Gobierno de Australia se complace en presentar su documento básico común actualizado, elaborado con arreglo a las directrices armonizadas publicadas por la Oficina del Alto Comisionado de las Naciones Unidas para los Derechos Humanos en mayo de 2006 (</w:t>
      </w:r>
      <w:proofErr w:type="spellStart"/>
      <w:r w:rsidRPr="00C52B38">
        <w:t>HRI</w:t>
      </w:r>
      <w:proofErr w:type="spellEnd"/>
      <w:r w:rsidRPr="00C52B38">
        <w:t xml:space="preserve">/MC/2006/3 y </w:t>
      </w:r>
      <w:proofErr w:type="spellStart"/>
      <w:r w:rsidRPr="00C52B38">
        <w:t>HRI</w:t>
      </w:r>
      <w:proofErr w:type="spellEnd"/>
      <w:r w:rsidRPr="00C52B38">
        <w:t>/GEN/2/</w:t>
      </w:r>
      <w:proofErr w:type="spellStart"/>
      <w:r w:rsidRPr="00C52B38">
        <w:t>Rev.6</w:t>
      </w:r>
      <w:proofErr w:type="spellEnd"/>
      <w:r w:rsidRPr="00C52B38">
        <w:t>).</w:t>
      </w:r>
    </w:p>
    <w:p w14:paraId="511157E4" w14:textId="77777777" w:rsidR="000C706A" w:rsidRPr="00C52B38" w:rsidRDefault="000C706A" w:rsidP="002370A4">
      <w:pPr>
        <w:pStyle w:val="SingleTxtG"/>
      </w:pPr>
      <w:r w:rsidRPr="00C52B38">
        <w:t>2.</w:t>
      </w:r>
      <w:r w:rsidRPr="00C52B38">
        <w:tab/>
        <w:t>En el presente documento se incluye información general sobre Australia, el marco de protección y promoción de los derechos humanos en el país y las medidas adoptadas para promover la no discriminación, la igualdad y recursos efectivos.</w:t>
      </w:r>
    </w:p>
    <w:p w14:paraId="21659C60" w14:textId="77777777" w:rsidR="000C706A" w:rsidRPr="00C52B38" w:rsidRDefault="000C706A" w:rsidP="002370A4">
      <w:pPr>
        <w:pStyle w:val="SingleTxtG"/>
      </w:pPr>
      <w:r w:rsidRPr="00C52B38">
        <w:t>3.</w:t>
      </w:r>
      <w:r w:rsidRPr="00C52B38">
        <w:tab/>
        <w:t>Los datos presentados son los más recientes disponibles en el momento de la elaboración de este documento. En la medida de lo posible, se han incluido enlaces a las fuentes correspondientes para facilitar el acceso a esos datos.</w:t>
      </w:r>
    </w:p>
    <w:p w14:paraId="522CC5F2" w14:textId="77777777" w:rsidR="000C706A" w:rsidRPr="00C52B38" w:rsidRDefault="000C706A" w:rsidP="007B6E72">
      <w:pPr>
        <w:pStyle w:val="HChG"/>
      </w:pPr>
      <w:bookmarkStart w:id="5" w:name="_Toc147326774"/>
      <w:r w:rsidRPr="00C52B38">
        <w:rPr>
          <w:bCs/>
        </w:rPr>
        <w:tab/>
        <w:t>I.</w:t>
      </w:r>
      <w:r w:rsidRPr="00C52B38">
        <w:tab/>
        <w:t>Información general</w:t>
      </w:r>
      <w:bookmarkStart w:id="6" w:name="_Toc167980139"/>
      <w:bookmarkEnd w:id="5"/>
      <w:bookmarkEnd w:id="6"/>
    </w:p>
    <w:p w14:paraId="1AB2C22A" w14:textId="50B0CA73" w:rsidR="000C706A" w:rsidRPr="00C52B38" w:rsidRDefault="000C706A" w:rsidP="007B6E72">
      <w:pPr>
        <w:pStyle w:val="H1G"/>
      </w:pPr>
      <w:bookmarkStart w:id="7" w:name="_Toc147326775"/>
      <w:r w:rsidRPr="00C52B38">
        <w:tab/>
        <w:t>A.</w:t>
      </w:r>
      <w:r w:rsidRPr="00C52B38">
        <w:tab/>
        <w:t>Características demográficas, económicas, sociales y culturales del</w:t>
      </w:r>
      <w:r w:rsidR="007B6E72">
        <w:t> </w:t>
      </w:r>
      <w:r w:rsidRPr="00C52B38">
        <w:t>Estado</w:t>
      </w:r>
      <w:bookmarkStart w:id="8" w:name="_Toc167980140"/>
      <w:bookmarkEnd w:id="7"/>
      <w:bookmarkEnd w:id="8"/>
    </w:p>
    <w:p w14:paraId="56CF724A" w14:textId="77777777" w:rsidR="000C706A" w:rsidRPr="00C52B38" w:rsidRDefault="000C706A" w:rsidP="002370A4">
      <w:pPr>
        <w:pStyle w:val="SingleTxtG"/>
      </w:pPr>
      <w:r w:rsidRPr="00C52B38">
        <w:t>4.</w:t>
      </w:r>
      <w:r w:rsidRPr="00C52B38">
        <w:tab/>
        <w:t>Australia es una nación estable, democrática y culturalmente diversa. Sus sólidas leyes, políticas e instituciones nacionales protegen los derechos humanos y fomentan un intenso debate público sobre las cuestiones de derechos humanos. Como democracia liberal con una sociedad libre y abierta, Australia está decidida a promover, entre otras cosas, los derechos humanos, la igualdad de género y el estado de derecho. Todo el mundo, incluidos la ciudadanía y el Gobierno, está obligado a respetar las leyes y tiene derecho a los beneficios que de ellas se derivan.</w:t>
      </w:r>
    </w:p>
    <w:p w14:paraId="6F606117" w14:textId="77777777" w:rsidR="000C706A" w:rsidRPr="00C52B38" w:rsidRDefault="000C706A" w:rsidP="002370A4">
      <w:pPr>
        <w:pStyle w:val="SingleTxtG"/>
      </w:pPr>
      <w:r w:rsidRPr="00C52B38">
        <w:t>5.</w:t>
      </w:r>
      <w:r w:rsidRPr="00C52B38">
        <w:tab/>
        <w:t>Australia es el país con la civilización ininterrumpida más antigua de la Tierra, con una historia que se remonta a hace más de 60.000 años. La identidad aborigen y de los isleños del estrecho de Torres es una cuestión personal muy profunda, que puede resultar extremadamente compleja. Las culturas aborigen e isleña del estrecho de Torres son una parte fundamental de la identidad australiana.</w:t>
      </w:r>
    </w:p>
    <w:p w14:paraId="5F7991E2" w14:textId="77777777" w:rsidR="000C706A" w:rsidRPr="00C52B38" w:rsidRDefault="000C706A" w:rsidP="002370A4">
      <w:pPr>
        <w:pStyle w:val="SingleTxtG"/>
      </w:pPr>
      <w:r w:rsidRPr="00C52B38">
        <w:t>6.</w:t>
      </w:r>
      <w:r w:rsidRPr="00C52B38">
        <w:tab/>
        <w:t>Los Gobiernos australianos han demostrado su compromiso permanente de proteger y promover los derechos humanos a escala nacional e internacional. Australia se enorgullece de su contribución a la fundación de las Naciones Unidas y al marco internacional de derechos humanos y sigue participando de manera responsable y activa en la presentación de informes a los órganos creados en virtud de tratados de derechos humanos de las Naciones Unidas, además de desempeñar un papel constructivo en la elaboración y el mantenimiento de la legislación internacional. La elección de Australia al Consejo de Derechos Humanos de las Naciones Unidas de 2018 a 2020 puso de manifiesto el firme compromiso del Gobierno de Australia con los objetivos y propósitos de la Declaración Universal de Derechos Humanos, así como su compromiso de pronunciarse con honestidad y coherencia a favor del avance de los derechos humanos en el plano internacional.</w:t>
      </w:r>
    </w:p>
    <w:p w14:paraId="55DE85E8" w14:textId="6C78628C" w:rsidR="000C706A" w:rsidRPr="002D0B6B" w:rsidRDefault="000C706A" w:rsidP="007B6E72">
      <w:pPr>
        <w:pStyle w:val="SingleTxtG"/>
        <w:rPr>
          <w:spacing w:val="-4"/>
        </w:rPr>
      </w:pPr>
      <w:bookmarkStart w:id="9" w:name="_Hlk172901755"/>
      <w:r w:rsidRPr="002D0B6B">
        <w:rPr>
          <w:spacing w:val="-4"/>
        </w:rPr>
        <w:t>7.</w:t>
      </w:r>
      <w:r w:rsidRPr="002D0B6B">
        <w:rPr>
          <w:spacing w:val="-4"/>
        </w:rPr>
        <w:tab/>
        <w:t xml:space="preserve">En el sitio web del Departamento de Asuntos Exteriores y Comercio, </w:t>
      </w:r>
      <w:hyperlink r:id="rId9" w:history="1">
        <w:r w:rsidRPr="002D0B6B">
          <w:rPr>
            <w:rStyle w:val="Hipervnculo"/>
            <w:spacing w:val="-4"/>
          </w:rPr>
          <w:t>https://</w:t>
        </w:r>
        <w:proofErr w:type="spellStart"/>
        <w:r w:rsidRPr="002D0B6B">
          <w:rPr>
            <w:rStyle w:val="Hipervnculo"/>
            <w:spacing w:val="-4"/>
          </w:rPr>
          <w:t>www.dfat.gov.au</w:t>
        </w:r>
        <w:proofErr w:type="spellEnd"/>
        <w:r w:rsidRPr="002D0B6B">
          <w:rPr>
            <w:rStyle w:val="Hipervnculo"/>
            <w:spacing w:val="-4"/>
          </w:rPr>
          <w:t>/</w:t>
        </w:r>
        <w:proofErr w:type="spellStart"/>
        <w:r w:rsidRPr="002D0B6B">
          <w:rPr>
            <w:rStyle w:val="Hipervnculo"/>
            <w:spacing w:val="-4"/>
          </w:rPr>
          <w:t>about-australia</w:t>
        </w:r>
        <w:proofErr w:type="spellEnd"/>
        <w:r w:rsidRPr="002D0B6B">
          <w:rPr>
            <w:rStyle w:val="Hipervnculo"/>
            <w:spacing w:val="-4"/>
          </w:rPr>
          <w:t>/Pages/</w:t>
        </w:r>
        <w:proofErr w:type="spellStart"/>
        <w:r w:rsidRPr="002D0B6B">
          <w:rPr>
            <w:rStyle w:val="Hipervnculo"/>
            <w:spacing w:val="-4"/>
          </w:rPr>
          <w:t>about-australia</w:t>
        </w:r>
        <w:proofErr w:type="spellEnd"/>
      </w:hyperlink>
      <w:r w:rsidR="007B6E72" w:rsidRPr="002D0B6B">
        <w:rPr>
          <w:spacing w:val="-4"/>
        </w:rPr>
        <w:t xml:space="preserve">, </w:t>
      </w:r>
      <w:r w:rsidRPr="002D0B6B">
        <w:rPr>
          <w:spacing w:val="-4"/>
        </w:rPr>
        <w:t>puede consultarse información detallada sobre Australia.</w:t>
      </w:r>
    </w:p>
    <w:bookmarkEnd w:id="9"/>
    <w:p w14:paraId="54C40A51" w14:textId="77777777" w:rsidR="000C706A" w:rsidRPr="00C52B38" w:rsidRDefault="000C706A" w:rsidP="007B6E72">
      <w:pPr>
        <w:pStyle w:val="H23G"/>
      </w:pPr>
      <w:r w:rsidRPr="00C52B38">
        <w:tab/>
        <w:t>1.</w:t>
      </w:r>
      <w:r w:rsidRPr="00C52B38">
        <w:tab/>
        <w:t>Geografía</w:t>
      </w:r>
    </w:p>
    <w:p w14:paraId="7FCCBAFC" w14:textId="314DD60B" w:rsidR="000C706A" w:rsidRPr="00C52B38" w:rsidRDefault="000C706A" w:rsidP="002370A4">
      <w:pPr>
        <w:pStyle w:val="SingleTxtG"/>
      </w:pPr>
      <w:bookmarkStart w:id="10" w:name="_Ref64891429"/>
      <w:r w:rsidRPr="00C52B38">
        <w:t>8.</w:t>
      </w:r>
      <w:r w:rsidRPr="00C52B38">
        <w:tab/>
        <w:t xml:space="preserve">Con 7,7 millones de </w:t>
      </w:r>
      <w:proofErr w:type="spellStart"/>
      <w:r w:rsidRPr="00C52B38">
        <w:t>km</w:t>
      </w:r>
      <w:r w:rsidRPr="00F25A8E">
        <w:rPr>
          <w:vertAlign w:val="superscript"/>
        </w:rPr>
        <w:t>2</w:t>
      </w:r>
      <w:proofErr w:type="spellEnd"/>
      <w:r w:rsidRPr="00C52B38">
        <w:t>, Australia es el sexto país más grande del mundo, con una extensión de aproximadamente tres cuartas partes de la superficie total de Europa (10,2</w:t>
      </w:r>
      <w:r w:rsidR="002D0B6B">
        <w:t> </w:t>
      </w:r>
      <w:r w:rsidRPr="00C52B38">
        <w:t xml:space="preserve">millones de </w:t>
      </w:r>
      <w:proofErr w:type="spellStart"/>
      <w:r w:rsidRPr="00C52B38">
        <w:t>km2</w:t>
      </w:r>
      <w:proofErr w:type="spellEnd"/>
      <w:r w:rsidRPr="00C52B38">
        <w:t xml:space="preserve">). Situada en la región de Asia y el Pacífico, su vecino más próximo es </w:t>
      </w:r>
      <w:proofErr w:type="spellStart"/>
      <w:r w:rsidRPr="00C52B38">
        <w:t>Papua</w:t>
      </w:r>
      <w:proofErr w:type="spellEnd"/>
      <w:r w:rsidRPr="00C52B38">
        <w:t xml:space="preserve"> Nueva Guinea, a 1.591 km al noreste de Darwin. Otros países vecinos son Indonesia y Timor-Leste al norte, Nueva Zelandia al sureste y las naciones insulares del Pacífico al este. Australia es el único país que gobierna un continente.</w:t>
      </w:r>
      <w:bookmarkEnd w:id="10"/>
    </w:p>
    <w:p w14:paraId="6C2E5586" w14:textId="77777777" w:rsidR="000C706A" w:rsidRPr="00C52B38" w:rsidRDefault="000C706A" w:rsidP="002370A4">
      <w:pPr>
        <w:pStyle w:val="SingleTxtG"/>
      </w:pPr>
      <w:bookmarkStart w:id="11" w:name="_Ref64891437"/>
      <w:r w:rsidRPr="00C52B38">
        <w:lastRenderedPageBreak/>
        <w:t>9.</w:t>
      </w:r>
      <w:r w:rsidRPr="00C52B38">
        <w:tab/>
        <w:t>Casi el 20 % de la superficie terrestre de Australia es desértica y el 70 % está clasificada como árida o semiárida, lo que resulta decisivo en la distribución de la población australiana.</w:t>
      </w:r>
      <w:bookmarkEnd w:id="11"/>
    </w:p>
    <w:p w14:paraId="4893D8CF" w14:textId="77777777" w:rsidR="000C706A" w:rsidRPr="00C52B38" w:rsidRDefault="000C706A" w:rsidP="007B6E72">
      <w:pPr>
        <w:pStyle w:val="H23G"/>
      </w:pPr>
      <w:r w:rsidRPr="00C52B38">
        <w:tab/>
        <w:t>2.</w:t>
      </w:r>
      <w:r w:rsidRPr="00C52B38">
        <w:tab/>
        <w:t>Historia</w:t>
      </w:r>
    </w:p>
    <w:p w14:paraId="6AF16306" w14:textId="5BCB97E0" w:rsidR="000C706A" w:rsidRPr="00C52B38" w:rsidRDefault="000C706A" w:rsidP="002370A4">
      <w:pPr>
        <w:pStyle w:val="SingleTxtG"/>
      </w:pPr>
      <w:r w:rsidRPr="00C52B38">
        <w:t>10.</w:t>
      </w:r>
      <w:r w:rsidRPr="00C52B38">
        <w:tab/>
        <w:t xml:space="preserve">Los pueblos aborígenes e isleños del estrecho de Torres habían habitado, cuidado y poseído la tierra que ahora se conoce como Australia durante más de 60.000 años antes de la llegada de los colonos y reos británicos en 1788. Se estima que, antes de la colonización, la población aborigen e isleña del estrecho de Torres oscilaba entre 300.000 y </w:t>
      </w:r>
      <w:r w:rsidR="002D0B6B">
        <w:t>1</w:t>
      </w:r>
      <w:r w:rsidRPr="00C52B38">
        <w:t xml:space="preserve"> millón de personas, que conformaban más de 500 grupos tribales diferentes y hablaban más de 250</w:t>
      </w:r>
      <w:r w:rsidR="002D0B6B">
        <w:t> </w:t>
      </w:r>
      <w:r w:rsidRPr="00C52B38">
        <w:t>idiomas distintos.</w:t>
      </w:r>
    </w:p>
    <w:p w14:paraId="4970D79D" w14:textId="77777777" w:rsidR="000C706A" w:rsidRPr="00C52B38" w:rsidRDefault="000C706A" w:rsidP="002370A4">
      <w:pPr>
        <w:pStyle w:val="SingleTxtG"/>
      </w:pPr>
      <w:r w:rsidRPr="00C52B38">
        <w:t>11.</w:t>
      </w:r>
      <w:r w:rsidRPr="00C52B38">
        <w:tab/>
        <w:t>Entre 1788 y 1859 se establecieron en Australia seis colonias británicas, —Nueva Gales del Sur, Queensland, Australia Meridional, Tasmania, Victoria y Australia Occidental—, casi soberanas, jurídicamente iguales y políticamente independientes entre sí, cada una con sus propios parlamentos representativos.</w:t>
      </w:r>
    </w:p>
    <w:p w14:paraId="090C7463" w14:textId="77777777" w:rsidR="000C706A" w:rsidRPr="00C52B38" w:rsidRDefault="000C706A" w:rsidP="002370A4">
      <w:pPr>
        <w:pStyle w:val="SingleTxtG"/>
      </w:pPr>
      <w:r w:rsidRPr="00C52B38">
        <w:t>12.</w:t>
      </w:r>
      <w:r w:rsidRPr="00C52B38">
        <w:tab/>
        <w:t>En 1901, las colonias australianas se federaron para constituir el Commonwealth de Australia, que siguió formando parte del imperio británico. Además de las seis colonias, que en la Constitución pasaron a denominarse “estados”, se crearon posteriormente otros territorios. La Constitución preveía el establecimiento de una capital nacional, de modo que en 1911 se creó el Territorio de la Capital de Australia. Ese mismo año se estableció el Territorio del Norte, que antes formaba parte de Australia Meridional. Existen otros territorios australianos, aunque actualmente solo el Territorio de la Capital de Australia y el Territorio del Norte son autónomos.</w:t>
      </w:r>
    </w:p>
    <w:p w14:paraId="3DD99EFB" w14:textId="77777777" w:rsidR="000C706A" w:rsidRPr="00C52B38" w:rsidRDefault="000C706A" w:rsidP="002370A4">
      <w:pPr>
        <w:pStyle w:val="SingleTxtG"/>
      </w:pPr>
      <w:r w:rsidRPr="00C52B38">
        <w:t>13.</w:t>
      </w:r>
      <w:r w:rsidRPr="00C52B38">
        <w:tab/>
        <w:t>A lo largo del siglo XX, Australia fue adquiriendo independencia en los asuntos internacionales. El Estatuto de Westminster, aprobado por Australia en 1942 con efecto retroactivo desde el 3 de septiembre de 1939, puso fin oficialmente a la mayoría de los vínculos constitucionales entre el Reino Unido de Gran Bretaña e Irlanda del Norte y Australia, y los restantes se suprimieron con la aprobación de la Ley de Australia de 1986 (Commonwealth de Australia). Si bien el monarca británico sigue siendo el Jefe de Estado de Australia, ejerce funciones totalmente distintas como Reina o Rey de Australia. El poder ejecutivo del Commonwealth corresponde al monarca y es ejercido por el Gobernador General nombrado por el monarca. Salvo en circunstancias excepcionales, el Gobernador General se atiene a las recomendaciones de los ministros del Commonwealth.</w:t>
      </w:r>
    </w:p>
    <w:p w14:paraId="60B4D2AE" w14:textId="77777777" w:rsidR="000C706A" w:rsidRPr="00C52B38" w:rsidRDefault="000C706A" w:rsidP="007B6E72">
      <w:pPr>
        <w:pStyle w:val="H23G"/>
      </w:pPr>
      <w:r w:rsidRPr="00C52B38">
        <w:tab/>
        <w:t>3.</w:t>
      </w:r>
      <w:r w:rsidRPr="00C52B38">
        <w:tab/>
        <w:t>Economía</w:t>
      </w:r>
    </w:p>
    <w:p w14:paraId="140352B4" w14:textId="77777777" w:rsidR="000C706A" w:rsidRPr="00C52B38" w:rsidRDefault="000C706A" w:rsidP="002370A4">
      <w:pPr>
        <w:pStyle w:val="SingleTxtG"/>
      </w:pPr>
      <w:r w:rsidRPr="00C52B38">
        <w:t>14.</w:t>
      </w:r>
      <w:r w:rsidRPr="00C52B38">
        <w:tab/>
        <w:t>Australia tiene una de las economías más productivas del mundo. Cuenta con un sector público eficaz, una fuerza de trabajo altamente cualificada, un mercado laboral flexible, y un sector empresarial competitivo.</w:t>
      </w:r>
    </w:p>
    <w:p w14:paraId="5E886FAC" w14:textId="77777777" w:rsidR="000C706A" w:rsidRPr="00C52B38" w:rsidRDefault="000C706A" w:rsidP="002370A4">
      <w:pPr>
        <w:pStyle w:val="SingleTxtG"/>
      </w:pPr>
      <w:r w:rsidRPr="00C52B38">
        <w:t>15.</w:t>
      </w:r>
      <w:r w:rsidRPr="00C52B38">
        <w:tab/>
        <w:t>El producto interno bruto (PIB) de Australia en el trimestre de marzo de 2023 fue de 557.100 millones de dólares, lo que representó un aumento del 2,3 % en comparación con el año anterior, y el ingreso nacional bruto (</w:t>
      </w:r>
      <w:proofErr w:type="spellStart"/>
      <w:r w:rsidRPr="00C52B38">
        <w:t>INB</w:t>
      </w:r>
      <w:proofErr w:type="spellEnd"/>
      <w:r w:rsidRPr="00C52B38">
        <w:t>) fue de 548.800 millones de dólares</w:t>
      </w:r>
      <w:r w:rsidRPr="00C52B38">
        <w:rPr>
          <w:rStyle w:val="Refdenotaalpie"/>
        </w:rPr>
        <w:footnoteReference w:id="2"/>
      </w:r>
      <w:r w:rsidRPr="00C52B38">
        <w:t>. En el trimestre de marzo de 2023, el PIB per cápita de Australia fue de 21.112 dólares, frente a los 21.047 dólares del trimestre de marzo de 2022, con una tasa de crecimiento anual del 2,4 %</w:t>
      </w:r>
      <w:r w:rsidRPr="00C52B38">
        <w:rPr>
          <w:rStyle w:val="Refdenotaalpie"/>
        </w:rPr>
        <w:footnoteReference w:id="3"/>
      </w:r>
      <w:r w:rsidRPr="00C52B38">
        <w:t xml:space="preserve">. En el presupuesto para 2022/23, las prioridades incluyeron los hogares, las regiones, la </w:t>
      </w:r>
      <w:r w:rsidRPr="00C52B38">
        <w:lastRenderedPageBreak/>
        <w:t>sanidad, la educación y el medio ambiente con el fin de cumplir los compromisos del Gobierno de aliviar el costo de la vida y desarrollar una economía más resiliente y moderna</w:t>
      </w:r>
      <w:r w:rsidRPr="00C52B38">
        <w:rPr>
          <w:rStyle w:val="Refdenotaalpie"/>
        </w:rPr>
        <w:footnoteReference w:id="4"/>
      </w:r>
      <w:r w:rsidRPr="00C52B38">
        <w:t>.</w:t>
      </w:r>
    </w:p>
    <w:p w14:paraId="333100BD" w14:textId="6E8C378C" w:rsidR="000C706A" w:rsidRPr="00C52B38" w:rsidRDefault="000C706A" w:rsidP="002370A4">
      <w:pPr>
        <w:pStyle w:val="SingleTxtG"/>
      </w:pPr>
      <w:r w:rsidRPr="00C52B38">
        <w:t>16.</w:t>
      </w:r>
      <w:r w:rsidRPr="00C52B38">
        <w:tab/>
        <w:t xml:space="preserve">En los </w:t>
      </w:r>
      <w:r w:rsidR="002D0B6B">
        <w:t>12</w:t>
      </w:r>
      <w:r w:rsidRPr="00C52B38">
        <w:t xml:space="preserve"> meses transcurridos hasta el trimestre de junio de 2023, el índice de precios al consumo (IPC) aumentó un 6,0 %. Las subidas de precios más significativas se produjeron en los seguros y servicios financieros (8,5 %), la vivienda (8,1 %), los alimentos y las bebidas no alcohólicas (7,5 %) y las actividades recreativas y culturales (6,8 %)</w:t>
      </w:r>
      <w:r w:rsidRPr="00C52B38">
        <w:rPr>
          <w:rStyle w:val="Refdenotaalpie"/>
        </w:rPr>
        <w:footnoteReference w:id="5"/>
      </w:r>
      <w:r w:rsidRPr="00C52B38">
        <w:t>.</w:t>
      </w:r>
    </w:p>
    <w:p w14:paraId="79F611AC" w14:textId="79A9A177" w:rsidR="000C706A" w:rsidRPr="00C52B38" w:rsidRDefault="000C706A" w:rsidP="002370A4">
      <w:pPr>
        <w:pStyle w:val="SingleTxtG"/>
      </w:pPr>
      <w:r w:rsidRPr="00C52B38">
        <w:t>17.</w:t>
      </w:r>
      <w:r w:rsidRPr="00C52B38">
        <w:tab/>
        <w:t>Desde 2019, debido principalmente a la pandemia de COVID-19, la deuda bruta del Gobierno de Australia ha pasado de 534.400 millones de dólares en marzo de 2019 a 894.900</w:t>
      </w:r>
      <w:r w:rsidR="007B6E72">
        <w:t> </w:t>
      </w:r>
      <w:r w:rsidRPr="00C52B38">
        <w:t>millones de dólares el 28 de octubre de 2022</w:t>
      </w:r>
      <w:r w:rsidRPr="00C52B38">
        <w:rPr>
          <w:rStyle w:val="Refdenotaalpie"/>
        </w:rPr>
        <w:footnoteReference w:id="6"/>
      </w:r>
      <w:r w:rsidRPr="00C52B38">
        <w:t>.</w:t>
      </w:r>
    </w:p>
    <w:p w14:paraId="7010EA78" w14:textId="77777777" w:rsidR="000C706A" w:rsidRPr="00C52B38" w:rsidRDefault="000C706A" w:rsidP="002370A4">
      <w:pPr>
        <w:pStyle w:val="SingleTxtG"/>
      </w:pPr>
      <w:r w:rsidRPr="00C52B38">
        <w:t>18.</w:t>
      </w:r>
      <w:r w:rsidRPr="00C52B38">
        <w:tab/>
        <w:t>El programa de ayuda exterior de Australia (2022-2023) contó con un presupuesto de unos 4.549 millones de dólares, lo que representó un aumento de 241 millones de dólares con respecto al presupuesto para 2021/22, que fue de 4.335 millones de dólares (incluidas las medidas temporales). El porcentaje del gasto público destinado a la ayuda fue del 0,72 % en 2022-2023, frente al 1,32 % en 2012-2013</w:t>
      </w:r>
      <w:r w:rsidRPr="00C52B38">
        <w:rPr>
          <w:rStyle w:val="Refdenotaalpie"/>
        </w:rPr>
        <w:footnoteReference w:id="7"/>
      </w:r>
      <w:r w:rsidRPr="00C52B38">
        <w:t xml:space="preserve">. </w:t>
      </w:r>
    </w:p>
    <w:p w14:paraId="53FFE884" w14:textId="3292F956" w:rsidR="000C706A" w:rsidRPr="00C52B38" w:rsidRDefault="000C706A" w:rsidP="002370A4">
      <w:pPr>
        <w:pStyle w:val="SingleTxtG"/>
      </w:pPr>
      <w:r w:rsidRPr="00C52B38">
        <w:t>19.</w:t>
      </w:r>
      <w:r w:rsidRPr="00C52B38">
        <w:tab/>
        <w:t xml:space="preserve">Los principales indicadores económicos cambian constantemente; se pueden consultar las cifras más recientes en el sitio web de la Oficina Australiana de Estadística, </w:t>
      </w:r>
      <w:hyperlink r:id="rId10" w:history="1">
        <w:proofErr w:type="spellStart"/>
        <w:r w:rsidR="00F25A8E" w:rsidRPr="00AD2474">
          <w:rPr>
            <w:rStyle w:val="Hipervnculo"/>
          </w:rPr>
          <w:t>www.abs.gov.au</w:t>
        </w:r>
        <w:proofErr w:type="spellEnd"/>
        <w:r w:rsidR="00F25A8E" w:rsidRPr="00AD2474">
          <w:rPr>
            <w:rStyle w:val="Hipervnculo"/>
          </w:rPr>
          <w:t>/</w:t>
        </w:r>
        <w:proofErr w:type="spellStart"/>
        <w:r w:rsidR="00F25A8E" w:rsidRPr="00AD2474">
          <w:rPr>
            <w:rStyle w:val="Hipervnculo"/>
          </w:rPr>
          <w:t>AUSSTATS</w:t>
        </w:r>
        <w:proofErr w:type="spellEnd"/>
        <w:r w:rsidR="00F25A8E" w:rsidRPr="00AD2474">
          <w:rPr>
            <w:rStyle w:val="Hipervnculo"/>
          </w:rPr>
          <w:t>/</w:t>
        </w:r>
        <w:proofErr w:type="spellStart"/>
        <w:r w:rsidR="00F25A8E" w:rsidRPr="00AD2474">
          <w:rPr>
            <w:rStyle w:val="Hipervnculo"/>
          </w:rPr>
          <w:t>abs</w:t>
        </w:r>
        <w:proofErr w:type="spellEnd"/>
        <w:r w:rsidR="00F25A8E" w:rsidRPr="00AD2474">
          <w:rPr>
            <w:rStyle w:val="Hipervnculo"/>
          </w:rPr>
          <w:t>@.</w:t>
        </w:r>
        <w:proofErr w:type="spellStart"/>
        <w:r w:rsidR="00F25A8E" w:rsidRPr="00AD2474">
          <w:rPr>
            <w:rStyle w:val="Hipervnculo"/>
          </w:rPr>
          <w:t>nsf</w:t>
        </w:r>
        <w:proofErr w:type="spellEnd"/>
        <w:r w:rsidR="00F25A8E" w:rsidRPr="00AD2474">
          <w:rPr>
            <w:rStyle w:val="Hipervnculo"/>
          </w:rPr>
          <w:t>/</w:t>
        </w:r>
        <w:proofErr w:type="spellStart"/>
        <w:r w:rsidR="00F25A8E" w:rsidRPr="00AD2474">
          <w:rPr>
            <w:rStyle w:val="Hipervnculo"/>
          </w:rPr>
          <w:t>mf</w:t>
        </w:r>
        <w:proofErr w:type="spellEnd"/>
        <w:r w:rsidR="00F25A8E" w:rsidRPr="00AD2474">
          <w:rPr>
            <w:rStyle w:val="Hipervnculo"/>
          </w:rPr>
          <w:t>/1345.0</w:t>
        </w:r>
      </w:hyperlink>
      <w:r w:rsidRPr="00C52B38">
        <w:t>.</w:t>
      </w:r>
      <w:r w:rsidR="00F25A8E">
        <w:t xml:space="preserve"> </w:t>
      </w:r>
    </w:p>
    <w:p w14:paraId="1B87F196" w14:textId="77777777" w:rsidR="000C706A" w:rsidRPr="00C52B38" w:rsidRDefault="000C706A" w:rsidP="007B6E72">
      <w:pPr>
        <w:pStyle w:val="H23G"/>
      </w:pPr>
      <w:r w:rsidRPr="00C52B38">
        <w:tab/>
        <w:t>4.</w:t>
      </w:r>
      <w:r w:rsidRPr="00C52B38">
        <w:tab/>
        <w:t>Demografía</w:t>
      </w:r>
    </w:p>
    <w:p w14:paraId="494BD4F8" w14:textId="6823D347" w:rsidR="000C706A" w:rsidRPr="00C52B38" w:rsidRDefault="000C706A" w:rsidP="002370A4">
      <w:pPr>
        <w:pStyle w:val="SingleTxtG"/>
      </w:pPr>
      <w:r w:rsidRPr="00C52B38">
        <w:t>20.</w:t>
      </w:r>
      <w:r w:rsidRPr="00C52B38">
        <w:tab/>
        <w:t>Hasta el 30 de junio de 2022, la población residente en Australia era de aproximadamente 25,9 millones de personas</w:t>
      </w:r>
      <w:r w:rsidRPr="00C52B38">
        <w:rPr>
          <w:rStyle w:val="Refdenotaalpie"/>
        </w:rPr>
        <w:footnoteReference w:id="8"/>
      </w:r>
      <w:r w:rsidRPr="00C52B38">
        <w:t>. El crecimiento anual de la población es del 1,1</w:t>
      </w:r>
      <w:r w:rsidR="007B6E72">
        <w:t> </w:t>
      </w:r>
      <w:r w:rsidRPr="00C52B38">
        <w:t>%, con una contribución de la migración al extranjero (en torno al 60 %) ligeramente superior al crecimiento natural (en torno al 40 %)</w:t>
      </w:r>
      <w:r w:rsidRPr="00C52B38">
        <w:rPr>
          <w:rStyle w:val="Refdenotaalpie"/>
        </w:rPr>
        <w:footnoteReference w:id="9"/>
      </w:r>
      <w:r w:rsidRPr="00C52B38">
        <w:t>.</w:t>
      </w:r>
    </w:p>
    <w:p w14:paraId="7D3600E3" w14:textId="77777777" w:rsidR="000C706A" w:rsidRPr="00C52B38" w:rsidRDefault="000C706A" w:rsidP="002370A4">
      <w:pPr>
        <w:pStyle w:val="SingleTxtG"/>
      </w:pPr>
      <w:r w:rsidRPr="00C52B38">
        <w:t>21.</w:t>
      </w:r>
      <w:r w:rsidRPr="00C52B38">
        <w:tab/>
        <w:t xml:space="preserve">Australia es uno de los países menos poblados del mundo, con una densidad de población de unos 3,3 habitantes por </w:t>
      </w:r>
      <w:proofErr w:type="spellStart"/>
      <w:r w:rsidRPr="00C52B38">
        <w:t>km</w:t>
      </w:r>
      <w:r w:rsidRPr="002D0B6B">
        <w:rPr>
          <w:vertAlign w:val="superscript"/>
        </w:rPr>
        <w:t>2</w:t>
      </w:r>
      <w:proofErr w:type="spellEnd"/>
      <w:r w:rsidRPr="00C52B38">
        <w:t xml:space="preserve">, muy por debajo de la media de los países de renta alta (33,0 habitantes por </w:t>
      </w:r>
      <w:proofErr w:type="spellStart"/>
      <w:r w:rsidRPr="00C52B38">
        <w:t>km</w:t>
      </w:r>
      <w:r w:rsidRPr="002D0B6B">
        <w:rPr>
          <w:vertAlign w:val="superscript"/>
        </w:rPr>
        <w:t>2</w:t>
      </w:r>
      <w:proofErr w:type="spellEnd"/>
      <w:r w:rsidRPr="00C52B38">
        <w:t>) y comparable a la de Islandia</w:t>
      </w:r>
      <w:r w:rsidRPr="00C52B38">
        <w:rPr>
          <w:rStyle w:val="Refdenotaalpie"/>
        </w:rPr>
        <w:footnoteReference w:id="10"/>
      </w:r>
      <w:r w:rsidRPr="00C52B38">
        <w:t>.</w:t>
      </w:r>
    </w:p>
    <w:p w14:paraId="1BCCF9A8" w14:textId="5A30A302" w:rsidR="000C706A" w:rsidRPr="00C52B38" w:rsidRDefault="000C706A" w:rsidP="002370A4">
      <w:pPr>
        <w:pStyle w:val="SingleTxtG"/>
      </w:pPr>
      <w:bookmarkStart w:id="12" w:name="_Ref64891343"/>
      <w:r w:rsidRPr="00C52B38">
        <w:t>22.</w:t>
      </w:r>
      <w:r w:rsidRPr="00C52B38">
        <w:tab/>
        <w:t xml:space="preserve">Como consecuencia de la geografía australiana, más del 80 % de la población reside a menos de 100 km de la costa. La población es mayormente urbana: el 72 % de los australianos vive en grandes ciudades, de los que más del 40 % reside en las capitales de dos estados, Sídney (5,3 millones de habitantes) y Melbourne (5,1 millones de habitantes). La densidad de población varía mucho. Las zonas más densamente pobladas son Sídney y Melbourne (por ejemplo, en el centro de Melbourne residen 19.900 personas por </w:t>
      </w:r>
      <w:proofErr w:type="spellStart"/>
      <w:r w:rsidRPr="00C52B38">
        <w:t>km2</w:t>
      </w:r>
      <w:proofErr w:type="spellEnd"/>
      <w:r w:rsidRPr="00C52B38">
        <w:t xml:space="preserve">) y las menos densamente pobladas están en los estados de Queensland, Australia Occidental y Nueva Gales del Sur (con menos de </w:t>
      </w:r>
      <w:r w:rsidR="002D0B6B">
        <w:t>1</w:t>
      </w:r>
      <w:r w:rsidRPr="00C52B38">
        <w:t xml:space="preserve"> persona por </w:t>
      </w:r>
      <w:proofErr w:type="spellStart"/>
      <w:r w:rsidRPr="00C52B38">
        <w:t>km2</w:t>
      </w:r>
      <w:proofErr w:type="spellEnd"/>
      <w:r w:rsidRPr="00C52B38">
        <w:t>)</w:t>
      </w:r>
      <w:r w:rsidRPr="00C52B38">
        <w:rPr>
          <w:rStyle w:val="Refdenotaalpie"/>
        </w:rPr>
        <w:footnoteReference w:id="11"/>
      </w:r>
      <w:r w:rsidRPr="00C52B38">
        <w:t>.</w:t>
      </w:r>
      <w:bookmarkEnd w:id="12"/>
    </w:p>
    <w:p w14:paraId="219258CE" w14:textId="77777777" w:rsidR="000C706A" w:rsidRPr="00C52B38" w:rsidRDefault="000C706A" w:rsidP="002370A4">
      <w:pPr>
        <w:pStyle w:val="SingleTxtG"/>
      </w:pPr>
      <w:r w:rsidRPr="00C52B38">
        <w:lastRenderedPageBreak/>
        <w:t>23.</w:t>
      </w:r>
      <w:r w:rsidRPr="00C52B38">
        <w:tab/>
        <w:t xml:space="preserve">Los aborígenes australianos son los custodios de una de las culturas más antiguas del mundo que ha perdurado de manera continuada. Las pruebas arqueológicas indican que Australia ha estado habitada ininterrumpidamente desde hace más de 60.000 años. Otro grupo, de origen melanesio, son los isleños del estrecho de Torres, que se asentaron hace miles de años en las islas ubicadas al norte del continente australiano, entre el extremo norte de Queensland y </w:t>
      </w:r>
      <w:proofErr w:type="spellStart"/>
      <w:r w:rsidRPr="00C52B38">
        <w:t>Papua</w:t>
      </w:r>
      <w:proofErr w:type="spellEnd"/>
      <w:r w:rsidRPr="00C52B38">
        <w:t xml:space="preserve"> Nueva Guinea.</w:t>
      </w:r>
    </w:p>
    <w:p w14:paraId="0665A836" w14:textId="0595090B" w:rsidR="000C706A" w:rsidRPr="00C52B38" w:rsidRDefault="000C706A" w:rsidP="002370A4">
      <w:pPr>
        <w:pStyle w:val="SingleTxtG"/>
      </w:pPr>
      <w:r w:rsidRPr="00C52B38">
        <w:t>24.</w:t>
      </w:r>
      <w:r w:rsidRPr="00C52B38">
        <w:tab/>
        <w:t>Hasta el 30 de junio de 2021 había unos 984.000 aborígenes e isleños del estrecho de Torres en Australia, el 3,8 % de la población total del país</w:t>
      </w:r>
      <w:r w:rsidRPr="00C52B38">
        <w:rPr>
          <w:rStyle w:val="Refdenotaalpie"/>
        </w:rPr>
        <w:footnoteReference w:id="12"/>
      </w:r>
      <w:r w:rsidRPr="00C52B38">
        <w:t>, lo que representa un aumento del 23,2 % respecto a los 798.400 aborígenes e isleños del estrecho de Torres que había en</w:t>
      </w:r>
      <w:r w:rsidR="00CA7297">
        <w:t> </w:t>
      </w:r>
      <w:r w:rsidRPr="00C52B38">
        <w:t>2016. De las personas que se identificaron como aborígenes o isleños del estrecho de Torres en el censo más reciente (realizado en 2021), el 91,4 % se identificó como aborigen, el 4,2</w:t>
      </w:r>
      <w:r w:rsidR="007B6E72">
        <w:t> </w:t>
      </w:r>
      <w:r w:rsidRPr="00C52B38">
        <w:t>% como isleño del estrecho de Torres y el 4,4 % como ambos</w:t>
      </w:r>
      <w:r w:rsidRPr="00C52B38">
        <w:rPr>
          <w:rStyle w:val="Refdenotaalpie"/>
        </w:rPr>
        <w:footnoteReference w:id="13"/>
      </w:r>
      <w:r w:rsidRPr="00C52B38">
        <w:t>. Los datos del censo indican que uno de cada diez aborígenes o isleños del estrecho de Torres habla en casa una lengua aborigen o isleña del estrecho de Torres, y que se hablan más de 150 lenguas diferentes</w:t>
      </w:r>
      <w:r w:rsidRPr="00C52B38">
        <w:rPr>
          <w:rStyle w:val="Refdenotaalpie"/>
        </w:rPr>
        <w:footnoteReference w:id="14"/>
      </w:r>
      <w:r w:rsidRPr="00C52B38">
        <w:t>.</w:t>
      </w:r>
    </w:p>
    <w:p w14:paraId="04F2DD23" w14:textId="77777777" w:rsidR="000C706A" w:rsidRPr="00C52B38" w:rsidRDefault="000C706A" w:rsidP="002370A4">
      <w:pPr>
        <w:pStyle w:val="SingleTxtG"/>
      </w:pPr>
      <w:r w:rsidRPr="00C52B38">
        <w:t>25.</w:t>
      </w:r>
      <w:r w:rsidRPr="00C52B38">
        <w:tab/>
        <w:t>Al igual que ocurre con los pueblos indígenas de otros países con historias coloniales similares (por ejemplo, el Canadá y Nueva Zelandia), son muchos los indicadores que muestran que los aborígenes e isleños del estrecho de Torres representan un porcentaje desproporcionadamente elevado de los australianos en situación de vulnerabilidad</w:t>
      </w:r>
      <w:r w:rsidRPr="00C52B38">
        <w:rPr>
          <w:rStyle w:val="Refdenotaalpie"/>
        </w:rPr>
        <w:footnoteReference w:id="15"/>
      </w:r>
      <w:r w:rsidRPr="00C52B38">
        <w:t>. En el Informe Anual sobre la Estrategia Cerrar la Brecha se reconoce la fuerza y resiliencia permanentes de los aborígenes e isleños del estrecho de Torres en el mantenimiento de la cultura más antigua del mundo que aún perdura. Todos los Gobiernos de Australia se han esforzado por colaborar con los aborígenes y los isleños del estrecho de Torres, sus comunidades, organizaciones y empresas para aplicar políticas, programas y medidas que mejoren la esperanza de vida, reduzcan la mortalidad prematura y promuevan la educación y el empleo de los aborígenes y los isleños del estrecho de Torres</w:t>
      </w:r>
      <w:r w:rsidRPr="00C52B38">
        <w:rPr>
          <w:rStyle w:val="Refdenotaalpie"/>
        </w:rPr>
        <w:footnoteReference w:id="16"/>
      </w:r>
      <w:r w:rsidRPr="00C52B38">
        <w:t>.</w:t>
      </w:r>
    </w:p>
    <w:p w14:paraId="741A400F" w14:textId="77777777" w:rsidR="000C706A" w:rsidRPr="00C52B38" w:rsidRDefault="000C706A" w:rsidP="002370A4">
      <w:pPr>
        <w:pStyle w:val="SingleTxtG"/>
      </w:pPr>
      <w:r w:rsidRPr="00C52B38">
        <w:t>26.</w:t>
      </w:r>
      <w:r w:rsidRPr="00C52B38">
        <w:tab/>
        <w:t xml:space="preserve">La sociedad australiana es </w:t>
      </w:r>
      <w:proofErr w:type="spellStart"/>
      <w:r w:rsidRPr="00C52B38">
        <w:t>multiconfesional</w:t>
      </w:r>
      <w:proofErr w:type="spellEnd"/>
      <w:r w:rsidRPr="00C52B38">
        <w:t>, y cultural y lingüísticamente diversa. Según el censo de 2021, el 51,5 % de los australianos habían nacido en el extranjero o tenían al menos un progenitor nacido en el extranjero. Se identificaron más de 300 ascendencias diferentes, y la australiana fue la segunda más común (34 %). De las cinco ascendencias más comunes, tres eran europeas (inglesa: 33 %, irlandesa: 9,5 %, escocesa: 8,6 %). La ascendencia no europea más común era la china (5,5 %)</w:t>
      </w:r>
      <w:r w:rsidRPr="00C52B38">
        <w:rPr>
          <w:rStyle w:val="Refdenotaalpie"/>
        </w:rPr>
        <w:footnoteReference w:id="17"/>
      </w:r>
      <w:r w:rsidRPr="00C52B38">
        <w:t xml:space="preserve">. </w:t>
      </w:r>
    </w:p>
    <w:p w14:paraId="2E187011" w14:textId="77777777" w:rsidR="000C706A" w:rsidRPr="00C52B38" w:rsidRDefault="000C706A" w:rsidP="002370A4">
      <w:pPr>
        <w:pStyle w:val="SingleTxtG"/>
      </w:pPr>
      <w:r w:rsidRPr="00C52B38">
        <w:t>27.</w:t>
      </w:r>
      <w:r w:rsidRPr="00C52B38">
        <w:tab/>
        <w:t>Aunque en Australia no existe ningún idioma oficial, el inglés es la lengua más hablada. Más de una quinta parte de los australianos hablan un idioma distinto del inglés, sobre todo mandarín (2,6 %), árabe (1,4 %), vietnamita (1,2 %) y cantonés (1,1 %)</w:t>
      </w:r>
      <w:r w:rsidRPr="00C52B38">
        <w:rPr>
          <w:rStyle w:val="Refdenotaalpie"/>
        </w:rPr>
        <w:footnoteReference w:id="18"/>
      </w:r>
      <w:r w:rsidRPr="00C52B38">
        <w:t>.</w:t>
      </w:r>
    </w:p>
    <w:p w14:paraId="7A901650" w14:textId="77777777" w:rsidR="000C706A" w:rsidRPr="00C52B38" w:rsidRDefault="000C706A" w:rsidP="002370A4">
      <w:pPr>
        <w:pStyle w:val="SingleTxtG"/>
      </w:pPr>
      <w:r w:rsidRPr="00C52B38">
        <w:t>28.</w:t>
      </w:r>
      <w:r w:rsidRPr="00C52B38">
        <w:tab/>
        <w:t xml:space="preserve">En el censo de 2021, de los australianos que respondieron a la pregunta opcional sobre religión, el 43,9 % se identificó como cristiano y el 38,9 % como no religioso. Las religiones más comunes entre los restantes australianos que respondieron a la pregunta fueron el islam, </w:t>
      </w:r>
      <w:r w:rsidRPr="00C52B38">
        <w:lastRenderedPageBreak/>
        <w:t>el hinduismo, el budismo, el sijismo y el judaísmo</w:t>
      </w:r>
      <w:r w:rsidRPr="00C52B38">
        <w:rPr>
          <w:rStyle w:val="Refdenotaalpie"/>
        </w:rPr>
        <w:footnoteReference w:id="19"/>
      </w:r>
      <w:r w:rsidRPr="00C52B38">
        <w:t>. En la última década, las creencias religiosas de los australianos han ido cambiando: han aumentado el porcentaje de la población que declara no profesar ninguna religión y el porcentaje que declara profesar una religión distinta del cristianismo.</w:t>
      </w:r>
    </w:p>
    <w:p w14:paraId="04B4E89D" w14:textId="77777777" w:rsidR="000C706A" w:rsidRPr="00C52B38" w:rsidRDefault="000C706A" w:rsidP="002370A4">
      <w:pPr>
        <w:pStyle w:val="SingleTxtG"/>
      </w:pPr>
      <w:r w:rsidRPr="00C52B38">
        <w:t>29.</w:t>
      </w:r>
      <w:r w:rsidRPr="00C52B38">
        <w:tab/>
        <w:t>En 2021 hubo 309.996 nacimientos en Australia, y la tasa global de fecundidad fue de 1,70 nacidos vivos por mujer</w:t>
      </w:r>
      <w:r w:rsidRPr="00C52B38">
        <w:rPr>
          <w:rStyle w:val="Refdenotaalpie"/>
        </w:rPr>
        <w:footnoteReference w:id="20"/>
      </w:r>
      <w:r w:rsidRPr="00C52B38">
        <w:t>. La tasa global de fecundidad de Australia lleva por debajo del nivel de reemplazo desde 1976. En 2021 se produjeron 171.469 muertes, lo que representa una tasa bruta de mortalidad de 6,7 muertes por cada 1.000 habitantes y una tasa de mortalidad estandarizada de 5,1 muertes por cada 1.000 habitantes</w:t>
      </w:r>
      <w:r w:rsidRPr="00CA7297">
        <w:rPr>
          <w:sz w:val="18"/>
          <w:szCs w:val="18"/>
          <w:vertAlign w:val="superscript"/>
        </w:rPr>
        <w:footnoteReference w:id="21"/>
      </w:r>
      <w:r w:rsidRPr="00C52B38">
        <w:t>.</w:t>
      </w:r>
    </w:p>
    <w:p w14:paraId="2B4C71BB" w14:textId="4007F691" w:rsidR="000C706A" w:rsidRPr="00C52B38" w:rsidRDefault="000C706A" w:rsidP="002370A4">
      <w:pPr>
        <w:pStyle w:val="SingleTxtG"/>
      </w:pPr>
      <w:r w:rsidRPr="00C52B38">
        <w:t>30.</w:t>
      </w:r>
      <w:r w:rsidRPr="00C52B38">
        <w:tab/>
        <w:t>Australia tiene la tercera esperanza de vida más alta del mundo. En el período 2019</w:t>
      </w:r>
      <w:r w:rsidR="007B6E72">
        <w:noBreakHyphen/>
      </w:r>
      <w:r w:rsidRPr="00C52B38">
        <w:t>2021, la esperanza de vida al nacer era de 81,3 años para los hombres y de 85,4 años para las mujeres</w:t>
      </w:r>
      <w:r w:rsidRPr="00C52B38">
        <w:rPr>
          <w:rStyle w:val="Refdenotaalpie"/>
        </w:rPr>
        <w:footnoteReference w:id="22"/>
      </w:r>
      <w:r w:rsidRPr="00C52B38">
        <w:t>. En la última década la esperanza de vida ha aumentado considerablemente (en 1,6 años para los hombres y 1,2 años para las mujeres) gracias a la mejora de los servicios de salud, a entornos de trabajo más seguros y a los avances médicos y tecnológicos. La esperanza de vida de los aborígenes y los isleños del estrecho de Torres, tanto para los hombres como para las mujeres, es inferior a la de los australianos no indígenas</w:t>
      </w:r>
      <w:r w:rsidRPr="00C52B38">
        <w:rPr>
          <w:rStyle w:val="Refdenotaalpie"/>
        </w:rPr>
        <w:footnoteReference w:id="23"/>
      </w:r>
      <w:r w:rsidRPr="00C52B38">
        <w:t>.</w:t>
      </w:r>
      <w:r w:rsidR="00CC469A">
        <w:t xml:space="preserve"> </w:t>
      </w:r>
      <w:r w:rsidRPr="00C52B38">
        <w:t>Los aborígenes e isleños del estrecho de Torres nacidos en el período 2015-2017 tienen una esperanza de vida de 71,6 años en el caso de los hombres y de 75,6 años en el caso de las mujeres</w:t>
      </w:r>
      <w:r w:rsidRPr="00C52B38">
        <w:rPr>
          <w:rStyle w:val="Refdenotaalpie"/>
        </w:rPr>
        <w:footnoteReference w:id="24"/>
      </w:r>
      <w:r w:rsidRPr="00C52B38">
        <w:t>.</w:t>
      </w:r>
    </w:p>
    <w:p w14:paraId="2EB3CA3B" w14:textId="14590652" w:rsidR="000C706A" w:rsidRPr="00C52B38" w:rsidRDefault="000C706A" w:rsidP="002370A4">
      <w:pPr>
        <w:pStyle w:val="SingleTxtG"/>
      </w:pPr>
      <w:r w:rsidRPr="00C52B38">
        <w:t>31.</w:t>
      </w:r>
      <w:r w:rsidRPr="00C52B38">
        <w:tab/>
        <w:t xml:space="preserve">La baja tasa de fecundidad y la elevada esperanza de vida de Australia repercuten en la pirámide de población del país (véase en la figura </w:t>
      </w:r>
      <w:r w:rsidRPr="00CC469A">
        <w:rPr>
          <w:i/>
          <w:iCs/>
        </w:rPr>
        <w:t>infra</w:t>
      </w:r>
      <w:r w:rsidRPr="00C52B38">
        <w:t>)</w:t>
      </w:r>
      <w:r w:rsidRPr="00C52B38">
        <w:rPr>
          <w:rStyle w:val="Refdenotaalpie"/>
        </w:rPr>
        <w:footnoteReference w:id="25"/>
      </w:r>
      <w:r w:rsidRPr="00C52B38">
        <w:t>. La mediana de edad de la población australiana es de 37,2 años. En los últimos 20 años (2000-2020), el porcentaje de niños de hasta 14 años ha disminuido del 21 % al 19 % de la población. El porcentaje de población en edad de trabajar (de 15 a 64 años) es de aproximadamente un 65 % y, aunque ha aumentado en los últimos 20 años, la tasa de crecimiento ha disminuido en los últimos 5</w:t>
      </w:r>
      <w:r w:rsidR="007B6E72">
        <w:t> </w:t>
      </w:r>
      <w:r w:rsidRPr="00C52B38">
        <w:t>años. La tasa de dependencia de la población total es del 54 % (54 personas dependientes por cada 100 personas en edad de trabajar)</w:t>
      </w:r>
      <w:r w:rsidRPr="00C52B38">
        <w:rPr>
          <w:rStyle w:val="Refdenotaalpie"/>
        </w:rPr>
        <w:footnoteReference w:id="26"/>
      </w:r>
      <w:r w:rsidRPr="00C52B38">
        <w:t xml:space="preserve">. En los cuadros </w:t>
      </w:r>
      <w:proofErr w:type="spellStart"/>
      <w:r w:rsidRPr="00C52B38">
        <w:t>A1</w:t>
      </w:r>
      <w:proofErr w:type="spellEnd"/>
      <w:r w:rsidRPr="00C52B38">
        <w:t xml:space="preserve"> y </w:t>
      </w:r>
      <w:proofErr w:type="spellStart"/>
      <w:r w:rsidRPr="00C52B38">
        <w:t>A2</w:t>
      </w:r>
      <w:proofErr w:type="spellEnd"/>
      <w:r w:rsidRPr="00C52B38">
        <w:t xml:space="preserve"> del anexo </w:t>
      </w:r>
      <w:r w:rsidR="005E3CF7">
        <w:t>I</w:t>
      </w:r>
      <w:r w:rsidRPr="00C52B38">
        <w:t xml:space="preserve"> se proporcionan más datos al respecto.</w:t>
      </w:r>
    </w:p>
    <w:p w14:paraId="42621539" w14:textId="77777777" w:rsidR="000C706A" w:rsidRPr="00C52B38" w:rsidRDefault="000C706A" w:rsidP="007B6E72">
      <w:pPr>
        <w:ind w:left="1134"/>
      </w:pPr>
      <w:r w:rsidRPr="00C52B38">
        <w:rPr>
          <w:noProof/>
        </w:rPr>
        <w:lastRenderedPageBreak/>
        <w:drawing>
          <wp:inline distT="0" distB="0" distL="0" distR="0" wp14:anchorId="7791045D" wp14:editId="116158AD">
            <wp:extent cx="3892550" cy="2814832"/>
            <wp:effectExtent l="0" t="0" r="0" b="0"/>
            <wp:docPr id="6" name="Picture 6"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of different colored bars&#10;&#10;Description automatically generated with medium confidence"/>
                    <pic:cNvPicPr/>
                  </pic:nvPicPr>
                  <pic:blipFill>
                    <a:blip r:embed="rId11"/>
                    <a:stretch>
                      <a:fillRect/>
                    </a:stretch>
                  </pic:blipFill>
                  <pic:spPr>
                    <a:xfrm>
                      <a:off x="0" y="0"/>
                      <a:ext cx="3920443" cy="2835003"/>
                    </a:xfrm>
                    <a:prstGeom prst="rect">
                      <a:avLst/>
                    </a:prstGeom>
                  </pic:spPr>
                </pic:pic>
              </a:graphicData>
            </a:graphic>
          </wp:inline>
        </w:drawing>
      </w:r>
      <w:bookmarkStart w:id="14" w:name="OLE_LINK5"/>
    </w:p>
    <w:p w14:paraId="47D4F2BD" w14:textId="77777777" w:rsidR="000C706A" w:rsidRPr="007B6E72" w:rsidRDefault="000C706A" w:rsidP="007B6E72">
      <w:pPr>
        <w:spacing w:before="120" w:after="240"/>
        <w:ind w:left="1134" w:firstLine="170"/>
        <w:rPr>
          <w:sz w:val="18"/>
          <w:szCs w:val="18"/>
        </w:rPr>
      </w:pPr>
      <w:r w:rsidRPr="00CC469A">
        <w:rPr>
          <w:i/>
          <w:iCs/>
          <w:sz w:val="18"/>
          <w:szCs w:val="18"/>
        </w:rPr>
        <w:t>Fuente:</w:t>
      </w:r>
      <w:r w:rsidRPr="007B6E72">
        <w:rPr>
          <w:sz w:val="18"/>
          <w:szCs w:val="18"/>
        </w:rPr>
        <w:t xml:space="preserve"> Oficina Australiana de Estadística, 2020.</w:t>
      </w:r>
    </w:p>
    <w:bookmarkEnd w:id="14"/>
    <w:p w14:paraId="4F711DFE" w14:textId="37EE9496" w:rsidR="000C706A" w:rsidRPr="00C52B38" w:rsidRDefault="000C706A" w:rsidP="002370A4">
      <w:pPr>
        <w:pStyle w:val="SingleTxtG"/>
      </w:pPr>
      <w:r w:rsidRPr="00C52B38">
        <w:t>32.</w:t>
      </w:r>
      <w:r w:rsidRPr="00C52B38">
        <w:tab/>
        <w:t>La población australiana está envejeciendo; en 2022, el 16 % de la población (4</w:t>
      </w:r>
      <w:r w:rsidR="007B6E72">
        <w:t> </w:t>
      </w:r>
      <w:r w:rsidRPr="00C52B38">
        <w:t>millones de personas) tenía 65 años o más, y se prevé que ese porcentaje aumente hasta situarse entre el 21 % y el 23 % en 2066</w:t>
      </w:r>
      <w:r w:rsidRPr="00C52B38">
        <w:rPr>
          <w:rStyle w:val="Refdenotaalpie"/>
        </w:rPr>
        <w:footnoteReference w:id="27"/>
      </w:r>
      <w:r w:rsidRPr="00C52B38">
        <w:t>. El número de personas mayores de 85 años ha aumentado un 91 % en los últimos 20 años</w:t>
      </w:r>
      <w:r w:rsidRPr="00C52B38">
        <w:rPr>
          <w:rStyle w:val="Refdenotaalpie"/>
        </w:rPr>
        <w:footnoteReference w:id="28"/>
      </w:r>
      <w:r w:rsidRPr="00C52B38">
        <w:t xml:space="preserve">. El envejecimiento de la población se ha identificado como uno de los retos principales a los que se enfrentará Australia en el futuro, con implicaciones específicas para el sistema sanitario, la atención a las personas de edad, la vivienda y la mano de obra calificada. </w:t>
      </w:r>
    </w:p>
    <w:p w14:paraId="4198713D" w14:textId="77777777" w:rsidR="000C706A" w:rsidRPr="00C52B38" w:rsidRDefault="000C706A" w:rsidP="002370A4">
      <w:pPr>
        <w:pStyle w:val="SingleTxtG"/>
      </w:pPr>
      <w:r w:rsidRPr="00C52B38">
        <w:t>33.</w:t>
      </w:r>
      <w:r w:rsidRPr="00C52B38">
        <w:tab/>
        <w:t>Según el censo de 2021, la mayoría de los australianos viven en viviendas particulares, y en cada una de ellas suele vivir una sola familia (70,5 %) o una persona (25,6 %)</w:t>
      </w:r>
      <w:r w:rsidRPr="00C52B38">
        <w:rPr>
          <w:rStyle w:val="Refdenotaalpie"/>
        </w:rPr>
        <w:footnoteReference w:id="29"/>
      </w:r>
      <w:r w:rsidRPr="00C52B38">
        <w:t>. El número medio de personas por vivienda es mayor en el caso de los aborígenes e isleños del estrecho de Torres (3,1 personas por hogar) que en el caso de la población no indígena</w:t>
      </w:r>
      <w:r w:rsidRPr="00C52B38">
        <w:rPr>
          <w:rStyle w:val="Refdenotaalpie"/>
        </w:rPr>
        <w:footnoteReference w:id="30"/>
      </w:r>
      <w:r w:rsidRPr="00C52B38">
        <w:t>.</w:t>
      </w:r>
    </w:p>
    <w:p w14:paraId="103D1472" w14:textId="0154CDFE" w:rsidR="000C706A" w:rsidRPr="00C52B38" w:rsidRDefault="000C706A" w:rsidP="002370A4">
      <w:pPr>
        <w:pStyle w:val="SingleTxtG"/>
      </w:pPr>
      <w:r w:rsidRPr="00C52B38">
        <w:t>34.</w:t>
      </w:r>
      <w:r w:rsidRPr="00C52B38">
        <w:tab/>
        <w:t>Los datos del censo de 2021 muestran que la composición de las familias australianas ha cambiado considerablemente en los últimos 25 años. Si bien la estructura familiar más común sigue siendo la de parejas con hijos que viven en casa, el porcentaje ha pasado del 54</w:t>
      </w:r>
      <w:r w:rsidR="007B6E72">
        <w:t> </w:t>
      </w:r>
      <w:r w:rsidRPr="00C52B38">
        <w:t>% en 1996 al 53 %, y han aumentado el porcentaje de parejas sin hijos que viven en casa y el de familias monoparentales, del 32 % al 47 % y del 15 % al 16 %, respectivamente</w:t>
      </w:r>
      <w:r w:rsidRPr="00C52B38">
        <w:rPr>
          <w:rStyle w:val="Refdenotaalpie"/>
        </w:rPr>
        <w:footnoteReference w:id="31"/>
      </w:r>
      <w:r w:rsidRPr="00C52B38">
        <w:t>. En</w:t>
      </w:r>
      <w:r w:rsidR="000F4AA7">
        <w:t> </w:t>
      </w:r>
      <w:r w:rsidRPr="00C52B38">
        <w:t>2021, el 80 % de los hogares monoparentales estaban encabezados por mujeres</w:t>
      </w:r>
      <w:r w:rsidRPr="00C52B38">
        <w:rPr>
          <w:rStyle w:val="Refdenotaalpie"/>
        </w:rPr>
        <w:footnoteReference w:id="32"/>
      </w:r>
      <w:r w:rsidRPr="00C52B38">
        <w:t xml:space="preserve">. Tras las </w:t>
      </w:r>
      <w:r w:rsidRPr="00C52B38">
        <w:lastRenderedPageBreak/>
        <w:t>modificaciones introducidas en 2017 en la Ley de Matrimonio de 1961, que instauraron la igualdad en el matrimonio, según el censo de 2021 se registraron casi 25.000 matrimonios entre personas del mismo sexo.</w:t>
      </w:r>
    </w:p>
    <w:p w14:paraId="12460061" w14:textId="572040B1" w:rsidR="000C706A" w:rsidRPr="00C52B38" w:rsidRDefault="000C706A" w:rsidP="00DE51F9">
      <w:pPr>
        <w:pStyle w:val="H23G"/>
      </w:pPr>
      <w:r w:rsidRPr="00C52B38">
        <w:tab/>
        <w:t>5.</w:t>
      </w:r>
      <w:r w:rsidRPr="00C52B38">
        <w:tab/>
        <w:t>Características sociales, económicas y culturales</w:t>
      </w:r>
    </w:p>
    <w:p w14:paraId="22894E19" w14:textId="2E9F6B52" w:rsidR="000C706A" w:rsidRPr="00C52B38" w:rsidRDefault="00DE51F9" w:rsidP="00DE51F9">
      <w:pPr>
        <w:pStyle w:val="H4G"/>
      </w:pPr>
      <w:r>
        <w:tab/>
      </w:r>
      <w:r w:rsidR="000C706A">
        <w:tab/>
      </w:r>
      <w:r w:rsidR="000C706A" w:rsidRPr="00C52B38">
        <w:t>Ingresos y gastos</w:t>
      </w:r>
    </w:p>
    <w:p w14:paraId="0885EC27" w14:textId="5BDF4F54" w:rsidR="000C706A" w:rsidRPr="00C52B38" w:rsidRDefault="000C706A" w:rsidP="002370A4">
      <w:pPr>
        <w:pStyle w:val="SingleTxtG"/>
      </w:pPr>
      <w:r w:rsidRPr="00C52B38">
        <w:t>35.</w:t>
      </w:r>
      <w:r w:rsidRPr="00C52B38">
        <w:tab/>
        <w:t>Según el censo de 2021, la mediana de los ingresos semanales de los australianos mayores de 15 años era de 805 dólares</w:t>
      </w:r>
      <w:r w:rsidRPr="00C52B38">
        <w:rPr>
          <w:rStyle w:val="Refdenotaalpie"/>
        </w:rPr>
        <w:footnoteReference w:id="33"/>
      </w:r>
      <w:r w:rsidRPr="00C52B38">
        <w:t>. En la Encuesta de Ingresos y Vivienda llevada a cabo por la Oficina Australiana de Estadística se reúnen datos detallados sobre el bienestar económico de los australianos (los datos más recientes corresponden al período 2019-2020). En 2019-2020, la mediana de los ingresos brutos semanales de los hogares fue de 1.786</w:t>
      </w:r>
      <w:r w:rsidR="00DE51F9">
        <w:t> </w:t>
      </w:r>
      <w:r w:rsidRPr="00C52B38">
        <w:t>dólares y la mediana de los ingresos disponibles equivalentes semanales de los hogares de 959 dólares</w:t>
      </w:r>
      <w:r w:rsidRPr="00C52B38">
        <w:rPr>
          <w:rStyle w:val="Refdenotaalpie"/>
        </w:rPr>
        <w:footnoteReference w:id="34"/>
      </w:r>
      <w:r w:rsidRPr="00C52B38">
        <w:t>. El 40 % de los ingresos totales corresponde a los hogares del quintil de ingresos más altos</w:t>
      </w:r>
      <w:r w:rsidRPr="00C52B38">
        <w:rPr>
          <w:rStyle w:val="Refdenotaalpie"/>
        </w:rPr>
        <w:footnoteReference w:id="35"/>
      </w:r>
      <w:r w:rsidRPr="00C52B38">
        <w:t>. El coeficiente de Gini para los ingresos disponibles equivalentes de los hogares es de 0,324</w:t>
      </w:r>
      <w:r w:rsidRPr="00C52B38">
        <w:rPr>
          <w:rStyle w:val="Refdenotaalpie"/>
        </w:rPr>
        <w:footnoteReference w:id="36"/>
      </w:r>
      <w:r w:rsidRPr="00C52B38">
        <w:t>. La riqueza está más desigualmente distribuida que los ingresos: el 63</w:t>
      </w:r>
      <w:r w:rsidR="00DE51F9">
        <w:t> </w:t>
      </w:r>
      <w:r w:rsidRPr="00C52B38">
        <w:t>% de la riqueza total se concentra en los hogares del quintil de ingresos más altos</w:t>
      </w:r>
      <w:r w:rsidRPr="00C52B38">
        <w:rPr>
          <w:rStyle w:val="Refdenotaalpie"/>
        </w:rPr>
        <w:footnoteReference w:id="37"/>
      </w:r>
      <w:r w:rsidRPr="00C52B38">
        <w:t>. En el período 2019-2020, el coeficiente de Gini fue de 0,611 para el patrimonio neto de los hogares y de 0,436 para los ingresos brutos de los hogares</w:t>
      </w:r>
      <w:r w:rsidRPr="00C52B38">
        <w:rPr>
          <w:rStyle w:val="Refdenotaalpie"/>
        </w:rPr>
        <w:footnoteReference w:id="38"/>
      </w:r>
      <w:r w:rsidRPr="00C52B38">
        <w:t>.</w:t>
      </w:r>
    </w:p>
    <w:p w14:paraId="56481237" w14:textId="77777777" w:rsidR="000C706A" w:rsidRPr="00C52B38" w:rsidRDefault="000C706A" w:rsidP="002370A4">
      <w:pPr>
        <w:pStyle w:val="SingleTxtG"/>
      </w:pPr>
      <w:r w:rsidRPr="00C52B38">
        <w:t>36.</w:t>
      </w:r>
      <w:r w:rsidRPr="00C52B38">
        <w:tab/>
        <w:t>En el siguiente gráfico se representa la distribución de los ingresos disponibles equivalentes de los hogares y del patrimonio neto por quintil en el período 2019-2020.</w:t>
      </w:r>
    </w:p>
    <w:p w14:paraId="25EFAEB6" w14:textId="77777777" w:rsidR="000C706A" w:rsidRPr="00C52B38" w:rsidRDefault="000C706A" w:rsidP="00DE51F9">
      <w:pPr>
        <w:ind w:left="1134"/>
      </w:pPr>
      <w:r w:rsidRPr="00C52B38">
        <w:rPr>
          <w:noProof/>
        </w:rPr>
        <w:drawing>
          <wp:inline distT="0" distB="0" distL="0" distR="0" wp14:anchorId="5E93A61C" wp14:editId="61586207">
            <wp:extent cx="4566316" cy="3005593"/>
            <wp:effectExtent l="0" t="0" r="5715" b="4445"/>
            <wp:docPr id="1787618300" name="Picture 1787618300" descr="A graph of income and w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18300" name="Picture 1787618300" descr="A graph of income and wealth&#10;&#10;Description automatically generated"/>
                    <pic:cNvPicPr/>
                  </pic:nvPicPr>
                  <pic:blipFill rotWithShape="1">
                    <a:blip r:embed="rId12"/>
                    <a:srcRect t="7258"/>
                    <a:stretch/>
                  </pic:blipFill>
                  <pic:spPr bwMode="auto">
                    <a:xfrm>
                      <a:off x="0" y="0"/>
                      <a:ext cx="4580458" cy="3014901"/>
                    </a:xfrm>
                    <a:prstGeom prst="rect">
                      <a:avLst/>
                    </a:prstGeom>
                    <a:ln>
                      <a:noFill/>
                    </a:ln>
                    <a:extLst>
                      <a:ext uri="{53640926-AAD7-44D8-BBD7-CCE9431645EC}">
                        <a14:shadowObscured xmlns:a14="http://schemas.microsoft.com/office/drawing/2010/main"/>
                      </a:ext>
                    </a:extLst>
                  </pic:spPr>
                </pic:pic>
              </a:graphicData>
            </a:graphic>
          </wp:inline>
        </w:drawing>
      </w:r>
    </w:p>
    <w:p w14:paraId="770E30B7" w14:textId="77777777" w:rsidR="000C706A" w:rsidRPr="00C52B38" w:rsidRDefault="000C706A" w:rsidP="002370A4">
      <w:pPr>
        <w:pStyle w:val="SingleTxtG"/>
      </w:pPr>
      <w:r w:rsidRPr="00C52B38">
        <w:lastRenderedPageBreak/>
        <w:t>37.</w:t>
      </w:r>
      <w:r w:rsidRPr="00C52B38">
        <w:tab/>
        <w:t>Tres cuartas partes de los hogares australianos (75 %) están endeudados, y el 30 % tiene una deuda tres o más veces superior a sus ingresos</w:t>
      </w:r>
      <w:r w:rsidRPr="00C52B38">
        <w:rPr>
          <w:rStyle w:val="Refdenotaalpie"/>
        </w:rPr>
        <w:footnoteReference w:id="39"/>
      </w:r>
      <w:r w:rsidRPr="00C52B38">
        <w:t>. En la última década, el aumento de los valores de las propiedades y los bajos tipos de interés, junto con un crecimiento mínimo de los ingresos reales, han contribuido a agravar el sobrendeudamiento.</w:t>
      </w:r>
    </w:p>
    <w:p w14:paraId="766FC9F3" w14:textId="5859E6DD" w:rsidR="000C706A" w:rsidRPr="00C52B38" w:rsidRDefault="000C706A" w:rsidP="002370A4">
      <w:pPr>
        <w:pStyle w:val="SingleTxtG"/>
      </w:pPr>
      <w:r w:rsidRPr="00C52B38">
        <w:t>38.</w:t>
      </w:r>
      <w:r w:rsidRPr="00C52B38">
        <w:tab/>
        <w:t xml:space="preserve">En el período 2015-2016, los gastos de vivienda representaron el 30 % del gasto semanal de los hogares en bienes y servicios (anexo </w:t>
      </w:r>
      <w:r w:rsidR="005E3CF7">
        <w:t>I</w:t>
      </w:r>
      <w:r w:rsidRPr="00C52B38">
        <w:t xml:space="preserve">, cuadro </w:t>
      </w:r>
      <w:proofErr w:type="spellStart"/>
      <w:r w:rsidRPr="00C52B38">
        <w:t>A4</w:t>
      </w:r>
      <w:proofErr w:type="spellEnd"/>
      <w:r w:rsidRPr="00C52B38">
        <w:t>). Entre otros gastos importantes figuran los alimentos y las bebidas no alcohólicas (17 %), el transporte (15 %) y la atención médica y sanitaria (6 %)</w:t>
      </w:r>
      <w:r w:rsidRPr="00C52B38">
        <w:rPr>
          <w:rStyle w:val="Refdenotaalpie"/>
        </w:rPr>
        <w:footnoteReference w:id="40"/>
      </w:r>
      <w:r w:rsidRPr="00C52B38">
        <w:t>. El gasto de los hogares en educación registró el mayor incremento porcentual entre el período 2009-2010 y 2015-2016, un 44 %, pasando de 31 a 44 dólares semanales. El gasto medio de los hogares en productos básicos, sin tener en cuenta la inflación, pasó de 718 dólares en 2009-2010 a 846 dólares en 2015-2016.</w:t>
      </w:r>
    </w:p>
    <w:p w14:paraId="39A357A7" w14:textId="77777777" w:rsidR="000C706A" w:rsidRPr="00C52B38" w:rsidRDefault="000C706A" w:rsidP="002370A4">
      <w:pPr>
        <w:pStyle w:val="SingleTxtG"/>
      </w:pPr>
      <w:r w:rsidRPr="00C52B38">
        <w:t>39.</w:t>
      </w:r>
      <w:r w:rsidRPr="00C52B38">
        <w:tab/>
        <w:t>La Encuesta Social General indica que, en 2020, el 19 % de los hogares no estaba en condiciones de reunir 2.000 dólares en una semana para imprevistos importantes, y el 21 % había experimentado un problema de solvencia en los 12 meses previos a la encuesta</w:t>
      </w:r>
      <w:r w:rsidRPr="00C52B38">
        <w:rPr>
          <w:rStyle w:val="Refdenotaalpie"/>
        </w:rPr>
        <w:footnoteReference w:id="41"/>
      </w:r>
      <w:r w:rsidRPr="00C52B38">
        <w:t>.</w:t>
      </w:r>
    </w:p>
    <w:p w14:paraId="4A667C8E" w14:textId="68E55BDE" w:rsidR="000C706A" w:rsidRPr="00C52B38" w:rsidRDefault="000C706A" w:rsidP="00DE51F9">
      <w:pPr>
        <w:pStyle w:val="H4G"/>
      </w:pPr>
      <w:r>
        <w:tab/>
      </w:r>
      <w:r w:rsidR="00DE51F9">
        <w:tab/>
      </w:r>
      <w:r w:rsidRPr="00C52B38">
        <w:t>Participación en la fuerza de trabajo</w:t>
      </w:r>
    </w:p>
    <w:p w14:paraId="58C53A16" w14:textId="1BDF8D8D" w:rsidR="000C706A" w:rsidRPr="00C52B38" w:rsidRDefault="000C706A" w:rsidP="002370A4">
      <w:pPr>
        <w:pStyle w:val="SingleTxtG"/>
      </w:pPr>
      <w:r w:rsidRPr="00C52B38">
        <w:t>40.</w:t>
      </w:r>
      <w:r w:rsidRPr="00C52B38">
        <w:tab/>
        <w:t>En junio de 2023, la tasa de participación en la fuerza de trabajo era del 66,8 % (71,3</w:t>
      </w:r>
      <w:r w:rsidR="00DE51F9">
        <w:t> </w:t>
      </w:r>
      <w:r w:rsidRPr="00C52B38">
        <w:t>% para los hombres y 62,7 % para las mujeres) y el número de personas empleadas había aumentado a 14.046.100, tras las considerables fluctuaciones intermensuales registradas entre marzo de 2020 y noviembre de 2021 a causa de la pandemia de COVID</w:t>
      </w:r>
      <w:r w:rsidR="00DE51F9">
        <w:noBreakHyphen/>
      </w:r>
      <w:r w:rsidRPr="00C52B38">
        <w:t>19</w:t>
      </w:r>
      <w:r w:rsidRPr="00C52B38">
        <w:rPr>
          <w:rStyle w:val="Refdenotaalpie"/>
        </w:rPr>
        <w:footnoteReference w:id="42"/>
      </w:r>
      <w:r w:rsidRPr="00C52B38">
        <w:t>.</w:t>
      </w:r>
    </w:p>
    <w:p w14:paraId="21524A6A" w14:textId="77777777" w:rsidR="000C706A" w:rsidRPr="00C52B38" w:rsidRDefault="000C706A" w:rsidP="002370A4">
      <w:pPr>
        <w:pStyle w:val="SingleTxtG"/>
        <w:rPr>
          <w:rFonts w:eastAsia="Calibri"/>
        </w:rPr>
      </w:pPr>
      <w:r w:rsidRPr="00C52B38">
        <w:t>41.</w:t>
      </w:r>
      <w:r w:rsidRPr="00C52B38">
        <w:tab/>
        <w:t>En junio de 2023, la tasa de desempleo seguía siendo del 3,5 % (3,6 % para los hombres y 3,4 % para las mujeres), y la tasa de desempleo juvenil (15 a 24 años) había aumentado hasta el 7,8 %, pero se mantenía por debajo de 16,6 %, valor máximo alcanzado en julio de 2020, y del valor inmediatamente anterior a la pandemia de COVID-19 (11,6 % en marzo de 2020)</w:t>
      </w:r>
      <w:r w:rsidRPr="00C52B38">
        <w:rPr>
          <w:rStyle w:val="Refdenotaalpie"/>
        </w:rPr>
        <w:footnoteReference w:id="43"/>
      </w:r>
      <w:r w:rsidRPr="00C52B38">
        <w:t>.</w:t>
      </w:r>
      <w:bookmarkStart w:id="15" w:name="_Hlk142649167"/>
      <w:bookmarkEnd w:id="15"/>
    </w:p>
    <w:p w14:paraId="6CFD97FA" w14:textId="77777777" w:rsidR="000C706A" w:rsidRPr="00C52B38" w:rsidRDefault="000C706A" w:rsidP="002370A4">
      <w:pPr>
        <w:pStyle w:val="SingleTxtG"/>
        <w:rPr>
          <w:rFonts w:eastAsia="Calibri"/>
        </w:rPr>
      </w:pPr>
      <w:r w:rsidRPr="00C52B38">
        <w:t>42.</w:t>
      </w:r>
      <w:r w:rsidRPr="00C52B38">
        <w:tab/>
        <w:t>En mayo de 2023, el sector que más empleo generaba en Australia era el de la asistencia sanitaria y social (15,3 % de la fuerza de trabajo), seguido de los servicios profesionales, científicos y técnicos (9,5 %), la construcción (9,4 %), el comercio al por menor (9,3 %) y la educación y formación (8,4 %)</w:t>
      </w:r>
      <w:r w:rsidRPr="00C52B38">
        <w:rPr>
          <w:rStyle w:val="Refdenotaalpie"/>
        </w:rPr>
        <w:footnoteReference w:id="44"/>
      </w:r>
      <w:r w:rsidRPr="00C52B38">
        <w:t>.</w:t>
      </w:r>
    </w:p>
    <w:p w14:paraId="57BC38FF" w14:textId="212C6FE6" w:rsidR="000C706A" w:rsidRPr="00C52B38" w:rsidRDefault="000C706A" w:rsidP="002370A4">
      <w:pPr>
        <w:pStyle w:val="SingleTxtG"/>
      </w:pPr>
      <w:r w:rsidRPr="00C52B38">
        <w:t>43.</w:t>
      </w:r>
      <w:r w:rsidRPr="00C52B38">
        <w:tab/>
        <w:t>En 2021, el 58,0 % de los aborígenes e isleños del estrecho de Torres de entre 15 y 24</w:t>
      </w:r>
      <w:r w:rsidR="00DE51F9">
        <w:t> </w:t>
      </w:r>
      <w:r w:rsidRPr="00C52B38">
        <w:t>años estaban plenamente ocupados en un empleo, o recibiendo educación o formación, y el 55,7 % de los aborígenes e isleños del estrecho de Torres de entre 25 y 64 años estaban empleados</w:t>
      </w:r>
      <w:r w:rsidRPr="00C52B38">
        <w:rPr>
          <w:rStyle w:val="Refdenotaalpie"/>
        </w:rPr>
        <w:footnoteReference w:id="45"/>
      </w:r>
      <w:r w:rsidRPr="00C52B38">
        <w:t>. Dado el carácter dinámico del mercado laboral, la Oficina Australiana de Estadística publica datos estadísticos actualizados mensualmente; los datos más recientes en el momento de redactar este informe eran los correspondientes a junio de 2023</w:t>
      </w:r>
      <w:r w:rsidRPr="00C52B38">
        <w:rPr>
          <w:rStyle w:val="Refdenotaalpie"/>
        </w:rPr>
        <w:footnoteReference w:id="46"/>
      </w:r>
      <w:r w:rsidRPr="00C52B38">
        <w:t>.</w:t>
      </w:r>
      <w:r w:rsidR="00F25A8E">
        <w:t xml:space="preserve"> </w:t>
      </w:r>
    </w:p>
    <w:p w14:paraId="6AE36D1E" w14:textId="77777777" w:rsidR="000C706A" w:rsidRPr="00C52B38" w:rsidRDefault="000C706A" w:rsidP="002370A4">
      <w:pPr>
        <w:pStyle w:val="SingleTxtG"/>
      </w:pPr>
      <w:r w:rsidRPr="00C52B38">
        <w:t>44.</w:t>
      </w:r>
      <w:r w:rsidRPr="00C52B38">
        <w:tab/>
        <w:t xml:space="preserve">En agosto de 2022, el 12,5 % de los empleados encuestados declararon estar afiliados a un sindicato, aunque el porcentaje variaba según el sector y los niveles de afiliación más </w:t>
      </w:r>
      <w:r w:rsidRPr="00C52B38">
        <w:lastRenderedPageBreak/>
        <w:t>altos correspondían al sector de la educación y la formación (30 %) y a los grupos de ocupaciones profesionales (19 %)</w:t>
      </w:r>
      <w:r w:rsidRPr="00C52B38">
        <w:rPr>
          <w:rStyle w:val="Refdenotaalpie"/>
        </w:rPr>
        <w:footnoteReference w:id="47"/>
      </w:r>
      <w:r w:rsidRPr="00C52B38">
        <w:t>.</w:t>
      </w:r>
    </w:p>
    <w:p w14:paraId="31DE19FA" w14:textId="11423D88" w:rsidR="000C706A" w:rsidRPr="00C52B38" w:rsidRDefault="000C706A" w:rsidP="00C30B42">
      <w:pPr>
        <w:pStyle w:val="H4G"/>
      </w:pPr>
      <w:r>
        <w:tab/>
      </w:r>
      <w:r w:rsidR="00C30B42">
        <w:tab/>
      </w:r>
      <w:r w:rsidRPr="00C52B38">
        <w:t>Educación</w:t>
      </w:r>
    </w:p>
    <w:p w14:paraId="30974BE3" w14:textId="567AD5AB" w:rsidR="000C706A" w:rsidRPr="00C52B38" w:rsidRDefault="000C706A" w:rsidP="002370A4">
      <w:pPr>
        <w:pStyle w:val="SingleTxtG"/>
      </w:pPr>
      <w:r w:rsidRPr="00C52B38">
        <w:t>45.</w:t>
      </w:r>
      <w:r w:rsidRPr="00C52B38">
        <w:tab/>
        <w:t>En Australia, la educación se imparte en escuelas públicas y privadas (incluidas las escuelas confesionales y las escuelas independientes), aunque la mayoría de los estudiantes (65,1 %) asisten a escuelas públicas</w:t>
      </w:r>
      <w:r w:rsidRPr="00C52B38">
        <w:rPr>
          <w:rStyle w:val="Refdenotaalpie"/>
        </w:rPr>
        <w:footnoteReference w:id="48"/>
      </w:r>
      <w:r w:rsidRPr="00C52B38">
        <w:t>. La educación formal es obligatoria desde los 5 o 6</w:t>
      </w:r>
      <w:r w:rsidR="00C30B42">
        <w:t> </w:t>
      </w:r>
      <w:r w:rsidRPr="00C52B38">
        <w:t>años hasta los 17 o 18 (según la jurisdicción). Las escuelas públicas reciben la mayor parte de su financiación pública a través de los Gobiernos de sus estados o territorios, y el Gobierno de Australia les aporta otra parte. Las familias suelen tener que costear los uniformes, los libros y otras necesidades.</w:t>
      </w:r>
    </w:p>
    <w:p w14:paraId="3747028E" w14:textId="312F85E2" w:rsidR="000C706A" w:rsidRPr="00C52B38" w:rsidRDefault="000C706A" w:rsidP="002370A4">
      <w:pPr>
        <w:pStyle w:val="SingleTxtG"/>
      </w:pPr>
      <w:r w:rsidRPr="00C52B38">
        <w:t>46.</w:t>
      </w:r>
      <w:r w:rsidRPr="00C52B38">
        <w:tab/>
        <w:t>En 2021 en Australia, la ratio de estudiantes por docente en equivalente a tiempo completo era de 14,5 en las escuelas primarias (14,4 en las escuelas públicas y 14,8 en las privadas) y de 11,9 en las escuelas secundarias (12,4 en las escuelas públicas y 11,3 en las privadas)</w:t>
      </w:r>
      <w:r w:rsidRPr="00C52B38">
        <w:rPr>
          <w:rStyle w:val="Refdenotaalpie"/>
        </w:rPr>
        <w:footnoteReference w:id="49"/>
      </w:r>
      <w:r w:rsidRPr="00C52B38">
        <w:t>. En 2022, la ratio media de estudiantes por docente en todas las escuelas era de</w:t>
      </w:r>
      <w:r w:rsidR="00C30B42">
        <w:t> </w:t>
      </w:r>
      <w:r w:rsidRPr="00C52B38">
        <w:t>13,1</w:t>
      </w:r>
      <w:r w:rsidRPr="00C52B38">
        <w:rPr>
          <w:rStyle w:val="Refdenotaalpie"/>
        </w:rPr>
        <w:footnoteReference w:id="50"/>
      </w:r>
      <w:r w:rsidRPr="00C52B38">
        <w:t>.</w:t>
      </w:r>
    </w:p>
    <w:p w14:paraId="3A39D92E" w14:textId="77777777" w:rsidR="000C706A" w:rsidRPr="00C52B38" w:rsidRDefault="000C706A" w:rsidP="002370A4">
      <w:pPr>
        <w:pStyle w:val="SingleTxtG"/>
      </w:pPr>
      <w:r w:rsidRPr="00C52B38">
        <w:t>47.</w:t>
      </w:r>
      <w:r w:rsidRPr="00C52B38">
        <w:tab/>
        <w:t>El porcentaje de población de 6 a 15 años matriculada en la escuela (99,3 %)</w:t>
      </w:r>
      <w:r w:rsidRPr="00C52B38">
        <w:rPr>
          <w:rStyle w:val="Refdenotaalpie"/>
        </w:rPr>
        <w:footnoteReference w:id="51"/>
      </w:r>
      <w:r w:rsidRPr="00C52B38">
        <w:t>, la asistencia escolar (el 71,2 % de los estudiantes de 1º a 10º curso tienen una asistencia igual o superior al 90 %) y las tasas aparentes de retención escolar (81,6 % de 10º a 12º curso) presentan valores elevados</w:t>
      </w:r>
      <w:r w:rsidRPr="00C52B38">
        <w:rPr>
          <w:rStyle w:val="Refdenotaalpie"/>
        </w:rPr>
        <w:footnoteReference w:id="52"/>
      </w:r>
      <w:r w:rsidRPr="00C52B38">
        <w:t>.</w:t>
      </w:r>
    </w:p>
    <w:p w14:paraId="584D7A26" w14:textId="77777777" w:rsidR="000C706A" w:rsidRPr="00C52B38" w:rsidRDefault="000C706A" w:rsidP="002370A4">
      <w:pPr>
        <w:pStyle w:val="SingleTxtG"/>
      </w:pPr>
      <w:r w:rsidRPr="00C52B38">
        <w:t>48.</w:t>
      </w:r>
      <w:r w:rsidRPr="00C52B38">
        <w:tab/>
        <w:t>El rendimiento escolar también es elevado: más del 90 % de los estudiantes alcanzan o superan los niveles mínimos establecidos a escala nacional en lectura, escritura y aritmética en 3º, 5º, 7º y 9º curso</w:t>
      </w:r>
      <w:r w:rsidRPr="00C52B38">
        <w:rPr>
          <w:rStyle w:val="Refdenotaalpie"/>
        </w:rPr>
        <w:footnoteReference w:id="53"/>
      </w:r>
      <w:r w:rsidRPr="00C52B38">
        <w:t>. En escritura persuasiva o narrativa, las cifras disminuyen del 97 % en 3º al 82 % en 9º curso</w:t>
      </w:r>
      <w:r w:rsidRPr="00C52B38">
        <w:rPr>
          <w:rStyle w:val="Refdenotaalpie"/>
        </w:rPr>
        <w:footnoteReference w:id="54"/>
      </w:r>
      <w:r w:rsidRPr="00C52B38">
        <w:t>. En 2016, el 81 % de los estudiantes australianos de 4º curso alcanzaron o superaron el estándar internacional de competencia lectora, frente al 76 % registrado en 2011</w:t>
      </w:r>
      <w:r w:rsidRPr="00C52B38">
        <w:rPr>
          <w:rStyle w:val="Refdenotaalpie"/>
        </w:rPr>
        <w:footnoteReference w:id="55"/>
      </w:r>
      <w:r w:rsidRPr="00C52B38">
        <w:t>. En el Informe Anual sobre la Estrategia Cerrar la Brecha se ofrecen datos comparativos entre el rendimiento escolar de los estudiantes aborígenes e isleños del estrecho de Torres y el de los estudiantes no indígenas</w:t>
      </w:r>
      <w:r w:rsidRPr="00C52B38">
        <w:rPr>
          <w:rStyle w:val="Refdenotaalpie"/>
        </w:rPr>
        <w:footnoteReference w:id="56"/>
      </w:r>
      <w:r w:rsidRPr="00C52B38">
        <w:t xml:space="preserve">. </w:t>
      </w:r>
    </w:p>
    <w:p w14:paraId="2F53E5BD" w14:textId="28DA331D" w:rsidR="000C706A" w:rsidRPr="00C52B38" w:rsidRDefault="000C706A" w:rsidP="002370A4">
      <w:pPr>
        <w:pStyle w:val="SingleTxtG"/>
      </w:pPr>
      <w:r w:rsidRPr="00C52B38">
        <w:t>49.</w:t>
      </w:r>
      <w:r w:rsidRPr="00C52B38">
        <w:tab/>
        <w:t xml:space="preserve">En 2021, había 1.162.260 estudiantes nacionales matriculados en la educación superior. Desde 2011, las matriculaciones de estudiantes nacionales de pregrado han aumentado un 29,9 %. Asimismo, las matriculaciones de estudiantes con residencia permanente en una región o zona remota determinada han aumentado un 14,0 %, las matriculaciones de estudiantes con un nivel socioeconómico bajo han aumentado un 43,2 %, las matriculaciones de estudiantes aborígenes e isleños del estrecho de Torres han aumentado un 96,5 % y las matriculaciones de estudiantes con discapacidad han aumentado un 157,9 %. </w:t>
      </w:r>
      <w:r w:rsidRPr="00C52B38">
        <w:lastRenderedPageBreak/>
        <w:t>Aproximadamente el 43,5 % de los australianos de entre 25 y 34 años tienen un título de grado o de un nivel educativo superior</w:t>
      </w:r>
      <w:r w:rsidRPr="00C52B38">
        <w:rPr>
          <w:rStyle w:val="Refdenotaalpie"/>
        </w:rPr>
        <w:footnoteReference w:id="57"/>
      </w:r>
      <w:r w:rsidRPr="00C52B38">
        <w:t>.</w:t>
      </w:r>
    </w:p>
    <w:p w14:paraId="40A146A5" w14:textId="77777777" w:rsidR="000C706A" w:rsidRPr="00C52B38" w:rsidRDefault="000C706A" w:rsidP="002370A4">
      <w:pPr>
        <w:pStyle w:val="SingleTxtG"/>
      </w:pPr>
      <w:r w:rsidRPr="00C52B38">
        <w:t>50.</w:t>
      </w:r>
      <w:r w:rsidRPr="00C52B38">
        <w:tab/>
        <w:t>A escala nacional, en 2022, el 99,2 % de los niños aborígenes e isleños del estrecho de Torres del grupo de edad correspondiente al año anterior a la escolarización a tiempo completo estaban matriculados en un programa preescolar</w:t>
      </w:r>
      <w:r w:rsidRPr="00C52B38">
        <w:rPr>
          <w:rStyle w:val="Refdenotaalpie"/>
        </w:rPr>
        <w:footnoteReference w:id="58"/>
      </w:r>
      <w:r w:rsidRPr="00C52B38">
        <w:t>.</w:t>
      </w:r>
    </w:p>
    <w:p w14:paraId="0620109F" w14:textId="77777777" w:rsidR="000C706A" w:rsidRPr="00C52B38" w:rsidRDefault="000C706A" w:rsidP="002370A4">
      <w:pPr>
        <w:pStyle w:val="SingleTxtG"/>
      </w:pPr>
      <w:r w:rsidRPr="00C52B38">
        <w:t>51.</w:t>
      </w:r>
      <w:r w:rsidRPr="00C52B38">
        <w:tab/>
        <w:t>En el plano nacional, en 2021:</w:t>
      </w:r>
    </w:p>
    <w:p w14:paraId="172A4DB9" w14:textId="60397C64" w:rsidR="000C706A" w:rsidRPr="00C52B38" w:rsidRDefault="000C706A" w:rsidP="00C30B42">
      <w:pPr>
        <w:pStyle w:val="Bullet1G"/>
      </w:pPr>
      <w:r w:rsidRPr="00C52B38">
        <w:t>El 34,3 % de los niños aborígenes e isleños del estrecho de Torres que empezaron a asistir a la escuela fueron evaluados y se determinó que estaban desarrollándose adecuadamente en los cinco ámbitos del Censo Australiano de Desarrollo Temprano.</w:t>
      </w:r>
    </w:p>
    <w:p w14:paraId="4CF48142" w14:textId="1865D480" w:rsidR="000C706A" w:rsidRPr="00C52B38" w:rsidRDefault="000C706A" w:rsidP="00C30B42">
      <w:pPr>
        <w:pStyle w:val="Bullet1G"/>
      </w:pPr>
      <w:r w:rsidRPr="00C52B38">
        <w:t>El 68,1 % de los aborígenes e isleños del estrecho de Torres de entre 20 y 24 años habían cursado el 12º curso o alcanzado una cualificación equivalente.</w:t>
      </w:r>
    </w:p>
    <w:p w14:paraId="5B0F8CA7" w14:textId="36928C3B" w:rsidR="000C706A" w:rsidRPr="00C52B38" w:rsidRDefault="000C706A" w:rsidP="00C30B42">
      <w:pPr>
        <w:pStyle w:val="Bullet1G"/>
      </w:pPr>
      <w:r w:rsidRPr="00C52B38">
        <w:t>El 47,0 % de los aborígenes e isleños del estrecho de Torres de entre 25 y 34 años había obtenido una cualificación no escolar de nivel III (cualificación mínima para acceder a muchos sectores) o superior</w:t>
      </w:r>
      <w:r w:rsidRPr="00C52B38">
        <w:rPr>
          <w:rStyle w:val="Refdenotaalpie"/>
        </w:rPr>
        <w:footnoteReference w:id="59"/>
      </w:r>
      <w:r w:rsidRPr="00C52B38">
        <w:t>.</w:t>
      </w:r>
    </w:p>
    <w:p w14:paraId="7E93CE09" w14:textId="2F1A75E5" w:rsidR="000C706A" w:rsidRPr="00C52B38" w:rsidRDefault="000C706A" w:rsidP="00C30B42">
      <w:pPr>
        <w:pStyle w:val="H4G"/>
      </w:pPr>
      <w:r>
        <w:tab/>
      </w:r>
      <w:r w:rsidR="00C30B42">
        <w:tab/>
      </w:r>
      <w:r w:rsidRPr="00C52B38">
        <w:t>Salud</w:t>
      </w:r>
    </w:p>
    <w:p w14:paraId="07543AA4" w14:textId="77777777" w:rsidR="000C706A" w:rsidRPr="00C52B38" w:rsidRDefault="000C706A" w:rsidP="002370A4">
      <w:pPr>
        <w:pStyle w:val="SingleTxtG"/>
      </w:pPr>
      <w:r w:rsidRPr="00C52B38">
        <w:t>52.</w:t>
      </w:r>
      <w:r w:rsidRPr="00C52B38">
        <w:tab/>
        <w:t>Australia tiene un sistema de salud eficaz y, por lo general, los australianos tienen una esperanza de vida alta y gozan de buena salud.</w:t>
      </w:r>
    </w:p>
    <w:p w14:paraId="455A535C" w14:textId="31A358E2" w:rsidR="000C706A" w:rsidRPr="00C52B38" w:rsidRDefault="000C706A" w:rsidP="002370A4">
      <w:pPr>
        <w:pStyle w:val="SingleTxtG"/>
      </w:pPr>
      <w:r w:rsidRPr="00C52B38">
        <w:t>53.</w:t>
      </w:r>
      <w:r w:rsidRPr="00C52B38">
        <w:tab/>
        <w:t>En 2022, la mayor carga de morbilidad correspondió a las enfermedades no transmisibles, incluido el cáncer (17 %), seguidas de las enfermedades osteomusculares (13</w:t>
      </w:r>
      <w:r w:rsidR="00C30B42">
        <w:t> </w:t>
      </w:r>
      <w:r w:rsidRPr="00C52B38">
        <w:t xml:space="preserve">%), las enfermedades cardiovasculares (12 %), las afecciones de salud mental y los problemas de consumo de sustancias (12 %) y las enfermedades neurológicas (8 %), aunque existen diferencias en los patrones de morbilidad por grupos de edad y sexo (anexo </w:t>
      </w:r>
      <w:r w:rsidR="000F5702">
        <w:t>I</w:t>
      </w:r>
      <w:r w:rsidRPr="00C52B38">
        <w:t>, figura</w:t>
      </w:r>
      <w:r w:rsidR="00C30B42">
        <w:t> </w:t>
      </w:r>
      <w:proofErr w:type="spellStart"/>
      <w:r w:rsidRPr="00C52B38">
        <w:t>A1</w:t>
      </w:r>
      <w:proofErr w:type="spellEnd"/>
      <w:r w:rsidRPr="00C52B38">
        <w:t>)</w:t>
      </w:r>
      <w:r w:rsidRPr="00C52B38">
        <w:rPr>
          <w:rStyle w:val="Refdenotaalpie"/>
        </w:rPr>
        <w:footnoteReference w:id="60"/>
      </w:r>
      <w:r w:rsidRPr="00C52B38">
        <w:t>.</w:t>
      </w:r>
    </w:p>
    <w:p w14:paraId="353CC996" w14:textId="77777777" w:rsidR="000C706A" w:rsidRPr="00C52B38" w:rsidRDefault="000C706A" w:rsidP="002370A4">
      <w:pPr>
        <w:pStyle w:val="SingleTxtG"/>
      </w:pPr>
      <w:r w:rsidRPr="00C52B38">
        <w:t>54.</w:t>
      </w:r>
      <w:r w:rsidRPr="00C52B38">
        <w:tab/>
        <w:t>Más de un tercio de la carga de morbilidad, el 38 %, podría prevenirse reduciendo la exposición a factores de riesgo modificables, en especial el consumo de alcohol y tabaco, el sobrepeso (incluida la obesidad), los riesgos alimentarios, la inactividad física y la hipertensión arterial</w:t>
      </w:r>
      <w:r w:rsidRPr="00C52B38">
        <w:rPr>
          <w:rStyle w:val="Refdenotaalpie"/>
        </w:rPr>
        <w:footnoteReference w:id="61"/>
      </w:r>
      <w:r w:rsidRPr="00C52B38">
        <w:t>.</w:t>
      </w:r>
    </w:p>
    <w:p w14:paraId="780E5F2C" w14:textId="795B7A36" w:rsidR="000C706A" w:rsidRPr="00C52B38" w:rsidRDefault="000C706A" w:rsidP="002370A4">
      <w:pPr>
        <w:pStyle w:val="SingleTxtG"/>
      </w:pPr>
      <w:r w:rsidRPr="00C52B38">
        <w:t>55.</w:t>
      </w:r>
      <w:r w:rsidRPr="00C52B38">
        <w:tab/>
        <w:t>Las enfermedades infecciosas representaron el 4,5 % de la carga total de morbilidad en 2022</w:t>
      </w:r>
      <w:r w:rsidRPr="00C52B38">
        <w:rPr>
          <w:rStyle w:val="Refdenotaalpie"/>
        </w:rPr>
        <w:footnoteReference w:id="62"/>
      </w:r>
      <w:r w:rsidRPr="00C52B38">
        <w:t>. Las tasas de notificación de enfermedades en 2021 fueron más altas para la COVID-19 (471.000 notificaciones), las infecciones de transmisión sexual (por ejemplo, 86.000 notificaciones de clamidia), las enfermedades gastrointestinales (por ejemplo, 37.000</w:t>
      </w:r>
      <w:r w:rsidR="000F5702">
        <w:t> </w:t>
      </w:r>
      <w:r w:rsidRPr="00C52B38">
        <w:t xml:space="preserve">notificaciones de </w:t>
      </w:r>
      <w:proofErr w:type="spellStart"/>
      <w:r w:rsidRPr="00C52B38">
        <w:t>campilobacteriosis</w:t>
      </w:r>
      <w:proofErr w:type="spellEnd"/>
      <w:r w:rsidRPr="00C52B38">
        <w:t>) y la enfermedad que causa la varicela y el herpes zóster (33.000 notificaciones de varicela zóster)</w:t>
      </w:r>
      <w:r w:rsidRPr="00C52B38">
        <w:rPr>
          <w:rStyle w:val="Refdenotaalpie"/>
        </w:rPr>
        <w:footnoteReference w:id="63"/>
      </w:r>
      <w:r w:rsidRPr="00C52B38">
        <w:t>.  En 2021, se diagnosticaron 552</w:t>
      </w:r>
      <w:r w:rsidR="004A01CB">
        <w:t> </w:t>
      </w:r>
      <w:r w:rsidRPr="00C52B38">
        <w:t xml:space="preserve">nuevos casos de virus de la inmunodeficiencia humana (VIH) en Australia. La tasa de </w:t>
      </w:r>
      <w:r w:rsidRPr="00C52B38">
        <w:lastRenderedPageBreak/>
        <w:t>notificación de VIH fue de 2,2 por cada 100.000 habitantes, lo que representó un descenso del 38 % desde 2019</w:t>
      </w:r>
      <w:r w:rsidRPr="00C52B38">
        <w:rPr>
          <w:rStyle w:val="Refdenotaalpie"/>
        </w:rPr>
        <w:footnoteReference w:id="64"/>
      </w:r>
      <w:r w:rsidRPr="00C52B38">
        <w:t>.</w:t>
      </w:r>
    </w:p>
    <w:p w14:paraId="5A661976" w14:textId="1AC0CB67" w:rsidR="000C706A" w:rsidRPr="00C52B38" w:rsidRDefault="000C706A" w:rsidP="002370A4">
      <w:pPr>
        <w:pStyle w:val="SingleTxtG"/>
      </w:pPr>
      <w:r w:rsidRPr="00C52B38">
        <w:t>56.</w:t>
      </w:r>
      <w:r w:rsidRPr="00C52B38">
        <w:tab/>
        <w:t>Australia tiene una baja tasa de mortalidad de niños menores de 1 año (3,3 muertes por cada 1.000 nacidos vivos en 2021) y un bajo porcentaje (6,8 % en 2021) de niños con bajo peso al nacer (peso al nacer inferior a 2.500 gr), y la mayoría (92,6 %) de los niños australianos de 2 años están completamente vacunados</w:t>
      </w:r>
      <w:r w:rsidRPr="00C52B38">
        <w:rPr>
          <w:rStyle w:val="Refdenotaalpie"/>
        </w:rPr>
        <w:footnoteReference w:id="65"/>
      </w:r>
      <w:r w:rsidRPr="00C52B38">
        <w:t>. En 2020, el 89 % de los niños aborígenes e isleños del estrecho de Torres nacidos en el país tenían un peso saludable al nacer</w:t>
      </w:r>
      <w:r w:rsidRPr="00C52B38">
        <w:rPr>
          <w:rStyle w:val="Refdenotaalpie"/>
        </w:rPr>
        <w:footnoteReference w:id="66"/>
      </w:r>
      <w:r w:rsidRPr="00C52B38">
        <w:t>.</w:t>
      </w:r>
    </w:p>
    <w:p w14:paraId="19EBB516" w14:textId="77777777" w:rsidR="000C706A" w:rsidRPr="00C52B38" w:rsidRDefault="000C706A" w:rsidP="002370A4">
      <w:pPr>
        <w:pStyle w:val="SingleTxtG"/>
      </w:pPr>
      <w:r w:rsidRPr="00C52B38">
        <w:t>57.</w:t>
      </w:r>
      <w:r w:rsidRPr="00C52B38">
        <w:tab/>
        <w:t>La nutrición es uno de los principales problemas que afectan a los niños australianos. En 2022, solo el 8,5 % de los niños ingería la cantidad de fruta y verdura recomendada</w:t>
      </w:r>
      <w:r w:rsidRPr="00C52B38">
        <w:rPr>
          <w:rStyle w:val="Refdenotaalpie"/>
        </w:rPr>
        <w:footnoteReference w:id="67"/>
      </w:r>
      <w:r w:rsidRPr="00C52B38">
        <w:t>. Alrededor del 25 % de los niños australianos de entre 5 y 17 años tienen sobrepeso o son obesos</w:t>
      </w:r>
      <w:r w:rsidRPr="00C52B38">
        <w:rPr>
          <w:rStyle w:val="Refdenotaalpie"/>
        </w:rPr>
        <w:footnoteReference w:id="68"/>
      </w:r>
      <w:r w:rsidRPr="00C52B38">
        <w:t>.</w:t>
      </w:r>
    </w:p>
    <w:p w14:paraId="028ED215" w14:textId="4B3531C6" w:rsidR="000C706A" w:rsidRPr="00C52B38" w:rsidRDefault="000C706A" w:rsidP="002370A4">
      <w:pPr>
        <w:pStyle w:val="SingleTxtG"/>
      </w:pPr>
      <w:r w:rsidRPr="00C52B38">
        <w:t>58.</w:t>
      </w:r>
      <w:r w:rsidRPr="00C52B38">
        <w:tab/>
        <w:t>El acceso de las mujeres australianas a los servicios de salud sexual y reproductiva puede variar. Según una encuesta nacional realizada en 2013 entre mujeres y hombres de 18</w:t>
      </w:r>
      <w:r w:rsidR="00C30B42">
        <w:t> </w:t>
      </w:r>
      <w:r w:rsidRPr="00C52B38">
        <w:t>a 51 años, el 85 % utilizaba métodos anticonceptivos</w:t>
      </w:r>
      <w:r w:rsidRPr="00C52B38">
        <w:rPr>
          <w:rStyle w:val="Refdenotaalpie"/>
        </w:rPr>
        <w:footnoteReference w:id="69"/>
      </w:r>
      <w:r w:rsidRPr="00C52B38">
        <w:t>. Entre las mujeres de 18 a 23 años, el uso de anticonceptivos es elevado y la píldora se utiliza con más frecuencia que los preservativos, sobre todo en el grupo más joven (el 60 % toma la píldora y el 45 % recurre a los preservativos)</w:t>
      </w:r>
      <w:r w:rsidRPr="00C52B38">
        <w:rPr>
          <w:rStyle w:val="Refdenotaalpie"/>
        </w:rPr>
        <w:footnoteReference w:id="70"/>
      </w:r>
      <w:r w:rsidRPr="00C52B38">
        <w:t>. Aproximadamente una de cada cinco mujeres jóvenes ha tenido un embarazo no deseado, más comúnmente debido al uso inadecuado de anticonceptivos que a su no utilización.</w:t>
      </w:r>
    </w:p>
    <w:p w14:paraId="3C1E0EE0" w14:textId="77777777" w:rsidR="000C706A" w:rsidRPr="00C52B38" w:rsidRDefault="000C706A" w:rsidP="002370A4">
      <w:pPr>
        <w:pStyle w:val="SingleTxtG"/>
      </w:pPr>
      <w:r w:rsidRPr="00C52B38">
        <w:t>59.</w:t>
      </w:r>
      <w:r w:rsidRPr="00C52B38">
        <w:tab/>
        <w:t>Si bien el aborto es legal en todos los estados y territorios de Australia, las leyes que lo regulan difieren de una jurisdicción a otra. En algunas jurisdicciones es obligatorio notificar los abortos, pero no hay un sistema uniforme de notificación de datos sobre abortos a escala nacional. Se estima que entre el 20 y el 25 % de las mujeres australianas tendrán un aborto a lo largo de su vida</w:t>
      </w:r>
      <w:r w:rsidRPr="00C52B38">
        <w:rPr>
          <w:rStyle w:val="Refdenotaalpie"/>
        </w:rPr>
        <w:footnoteReference w:id="71"/>
      </w:r>
      <w:r w:rsidRPr="00C52B38">
        <w:t>.</w:t>
      </w:r>
    </w:p>
    <w:p w14:paraId="682D7766" w14:textId="77777777" w:rsidR="000C706A" w:rsidRPr="00C52B38" w:rsidRDefault="000C706A" w:rsidP="002370A4">
      <w:pPr>
        <w:pStyle w:val="SingleTxtG"/>
      </w:pPr>
      <w:r w:rsidRPr="00C52B38">
        <w:t>60.</w:t>
      </w:r>
      <w:r w:rsidRPr="00C52B38">
        <w:tab/>
        <w:t>Los indicadores de salud materna tienen unos buenos valores. En 2021, el 80 % de las mujeres que dieron a luz tuvieron acceso a atención prenatal en el primer trimestre de su embarazo, y el 96 % acudieron a cinco o más consultas de atención prenatal</w:t>
      </w:r>
      <w:r w:rsidRPr="00C52B38">
        <w:rPr>
          <w:rStyle w:val="Refdenotaalpie"/>
        </w:rPr>
        <w:footnoteReference w:id="72"/>
      </w:r>
      <w:r w:rsidRPr="00C52B38">
        <w:t>. En 2020, la razón de mortalidad materna fue de 5,5 mujeres fallecidas por cada 100.000 nacidos vivos, y entre 2011 y 2020 se mantuvo relativamente estable, entre 5 y 8,4 mujeres fallecidas por cada 100.000 nacidos vivos</w:t>
      </w:r>
      <w:r w:rsidRPr="00C52B38">
        <w:rPr>
          <w:rStyle w:val="Refdenotaalpie"/>
        </w:rPr>
        <w:footnoteReference w:id="73"/>
      </w:r>
      <w:r w:rsidRPr="00C52B38">
        <w:t>.</w:t>
      </w:r>
    </w:p>
    <w:p w14:paraId="334A7499" w14:textId="1A768945" w:rsidR="000C706A" w:rsidRPr="00C52B38" w:rsidRDefault="000C706A" w:rsidP="002370A4">
      <w:pPr>
        <w:pStyle w:val="SingleTxtG"/>
      </w:pPr>
      <w:r w:rsidRPr="00C52B38">
        <w:t>61.</w:t>
      </w:r>
      <w:r w:rsidRPr="00C52B38">
        <w:tab/>
        <w:t>La tasa de mortalidad se mantuvo baja en 2021 (507,2 muertes por cada 100.000</w:t>
      </w:r>
      <w:r w:rsidR="00C30B42">
        <w:t> </w:t>
      </w:r>
      <w:r w:rsidRPr="00C52B38">
        <w:t xml:space="preserve">habitantes). Las diez principales causas de muerte en 2021 fueron las cardiopatías </w:t>
      </w:r>
      <w:r w:rsidRPr="00C52B38">
        <w:lastRenderedPageBreak/>
        <w:t>coronarias, que causaron el 10,1 % de los fallecimientos, la demencia, incluida la enfermedad de Alzheimer (9,3 %), las enfermedades cerebrovasculares (5,7 %), el cáncer de pulmón (5,1</w:t>
      </w:r>
      <w:r w:rsidR="004C3FF0">
        <w:t> </w:t>
      </w:r>
      <w:r w:rsidRPr="00C52B38">
        <w:t>%), las enfermedades crónicas de las vías respiratorias inferiores, el cáncer colorrectal, la diabetes, el cáncer linfático, las enfermedades del aparato urinario y las caídas accidentales</w:t>
      </w:r>
      <w:r w:rsidRPr="00C52B38">
        <w:rPr>
          <w:rStyle w:val="Refdenotaalpie"/>
        </w:rPr>
        <w:footnoteReference w:id="74"/>
      </w:r>
      <w:r w:rsidRPr="00C52B38">
        <w:t>. Las muertes por enfermedades circulatorias han disminuido en los últimos años gracias a la reducción de las tasas de tabaquismo y a las mejoras en prevención, detección y tratamiento, mientras que la demencia ha aumentado un 53,8 % en la última década</w:t>
      </w:r>
      <w:r w:rsidRPr="00C52B38">
        <w:rPr>
          <w:rStyle w:val="Refdenotaalpie"/>
        </w:rPr>
        <w:footnoteReference w:id="75"/>
      </w:r>
      <w:r w:rsidRPr="00C52B38">
        <w:t>.</w:t>
      </w:r>
    </w:p>
    <w:p w14:paraId="4A67E4AD" w14:textId="77777777" w:rsidR="000C706A" w:rsidRPr="00C52B38" w:rsidRDefault="000C706A" w:rsidP="002370A4">
      <w:pPr>
        <w:pStyle w:val="SingleTxtG"/>
      </w:pPr>
      <w:r w:rsidRPr="00C52B38">
        <w:t>62.</w:t>
      </w:r>
      <w:r w:rsidRPr="00C52B38">
        <w:tab/>
        <w:t>La salud mental sigue siendo motivo de preocupación en Australia.</w:t>
      </w:r>
    </w:p>
    <w:p w14:paraId="0EBCAB8D" w14:textId="22EC6D83" w:rsidR="000C706A" w:rsidRPr="00C52B38" w:rsidRDefault="000C706A" w:rsidP="00C433FA">
      <w:pPr>
        <w:pStyle w:val="Bullet1G"/>
      </w:pPr>
      <w:r w:rsidRPr="00C52B38">
        <w:t>Los trastornos mentales y por consumo de sustancias son la cuarta causa de morbilidad, y representan el 12 % de la carga total de morbilidad</w:t>
      </w:r>
      <w:r w:rsidRPr="00C52B38">
        <w:rPr>
          <w:rStyle w:val="Refdenotaalpie"/>
        </w:rPr>
        <w:footnoteReference w:id="76"/>
      </w:r>
      <w:r w:rsidRPr="00C52B38">
        <w:t>.</w:t>
      </w:r>
    </w:p>
    <w:p w14:paraId="770DE682" w14:textId="11AE6400" w:rsidR="000C706A" w:rsidRPr="00C52B38" w:rsidRDefault="000C706A" w:rsidP="00C433FA">
      <w:pPr>
        <w:pStyle w:val="Bullet1G"/>
      </w:pPr>
      <w:r w:rsidRPr="00C52B38">
        <w:t>Los trastornos mentales pueden variar en gravedad y duración, y también pueden presentarse de manera episódica. Según el último Estudio Nacional de Salud Mental y Bienestar realizado en el período 2020-2021, se estima que el 21,4 % de la población adulta experimentó algún trastorno mental en los 12 meses previos al estudio, más frecuentemente trastornos de ansiedad</w:t>
      </w:r>
      <w:r w:rsidRPr="00C52B38">
        <w:rPr>
          <w:rStyle w:val="Refdenotaalpie"/>
        </w:rPr>
        <w:footnoteReference w:id="77"/>
      </w:r>
      <w:r w:rsidRPr="00C52B38">
        <w:t xml:space="preserve">. </w:t>
      </w:r>
    </w:p>
    <w:p w14:paraId="6B510275" w14:textId="635D4930" w:rsidR="000C706A" w:rsidRPr="00C52B38" w:rsidRDefault="000C706A" w:rsidP="00C433FA">
      <w:pPr>
        <w:pStyle w:val="Bullet1G"/>
      </w:pPr>
      <w:r w:rsidRPr="00C52B38">
        <w:t xml:space="preserve">Más de la mitad (54,4 %) de los australianos que se identifican como gais, lesbianas o bisexuales, o utilizan un término diferente como asexual, pansexual o </w:t>
      </w:r>
      <w:r w:rsidRPr="00C52B38">
        <w:rPr>
          <w:i/>
          <w:iCs/>
        </w:rPr>
        <w:t>queer</w:t>
      </w:r>
      <w:r w:rsidRPr="00C52B38">
        <w:t>, experimentaron un trastorno mental en el período 2020-2021. Ese porcentaje es más del doble del de la población general (21,4 %), incluidas las personas gais, lesbianas, bisexuales o con cualquier otra orientación sexual o identidad de género</w:t>
      </w:r>
      <w:r w:rsidRPr="00C52B38">
        <w:rPr>
          <w:rStyle w:val="Refdenotaalpie"/>
        </w:rPr>
        <w:footnoteReference w:id="78"/>
      </w:r>
      <w:r w:rsidR="004C3FF0">
        <w:t>.</w:t>
      </w:r>
    </w:p>
    <w:p w14:paraId="1DD83ED0" w14:textId="77777777" w:rsidR="000C706A" w:rsidRPr="00C52B38" w:rsidRDefault="000C706A" w:rsidP="002370A4">
      <w:pPr>
        <w:pStyle w:val="SingleTxtG"/>
      </w:pPr>
      <w:r w:rsidRPr="00C52B38">
        <w:t>63.</w:t>
      </w:r>
      <w:r w:rsidRPr="00C52B38">
        <w:tab/>
        <w:t>Los problemas de salud mental, las conductas autolesivas y el suicidio son causas importantes de morbilidad y mortalidad entre los jóvenes.</w:t>
      </w:r>
    </w:p>
    <w:p w14:paraId="0BEE723B" w14:textId="5A72C630" w:rsidR="000C706A" w:rsidRPr="00C52B38" w:rsidRDefault="000C706A" w:rsidP="00C433FA">
      <w:pPr>
        <w:pStyle w:val="Bullet1G"/>
      </w:pPr>
      <w:r w:rsidRPr="00C52B38">
        <w:t>En 2020-2021, el 39,6 % de los jóvenes de entre 16 y 24 años tuvieron algún trastorno mental en los 12 meses previos al estudio, en concreto casi la mitad de las jóvenes (46,6 %) de entre 16 y 24 años y casi un tercio de los jóvenes (31,2 %) de entre 16 y 24 años</w:t>
      </w:r>
      <w:r w:rsidRPr="00C52B38">
        <w:rPr>
          <w:rStyle w:val="Refdenotaalpie"/>
        </w:rPr>
        <w:footnoteReference w:id="79"/>
      </w:r>
      <w:r w:rsidRPr="00C52B38">
        <w:t>.</w:t>
      </w:r>
    </w:p>
    <w:p w14:paraId="55A0EB8B" w14:textId="662A4081" w:rsidR="000C706A" w:rsidRPr="00C52B38" w:rsidRDefault="000C706A" w:rsidP="00C433FA">
      <w:pPr>
        <w:pStyle w:val="Bullet1G"/>
      </w:pPr>
      <w:r w:rsidRPr="00C52B38">
        <w:t>El suicidio y las lesiones autoinfligidas y los trastornos depresivos fueron dos de las principales causas de la carga total de morbilidad entre las personas de 15 a 24 años. Asimismo, los trastornos de ansiedad y los trastornos por consumo de bebidas alcohólicas fueron causas importantes entre las mujeres y los hombres, respectivamente. En total, esas causas principales representaron el 24,0 % de la carga total de morbilidad en las mujeres y el 25,7 % en los hombres</w:t>
      </w:r>
      <w:r w:rsidRPr="00C52B38">
        <w:rPr>
          <w:rStyle w:val="Refdenotaalpie"/>
        </w:rPr>
        <w:footnoteReference w:id="80"/>
      </w:r>
      <w:r w:rsidRPr="00C52B38">
        <w:t xml:space="preserve">. </w:t>
      </w:r>
    </w:p>
    <w:p w14:paraId="1979107C" w14:textId="6937BFFC" w:rsidR="000C706A" w:rsidRPr="00C52B38" w:rsidRDefault="000C706A" w:rsidP="00C433FA">
      <w:pPr>
        <w:pStyle w:val="Bullet1G"/>
      </w:pPr>
      <w:r w:rsidRPr="00C52B38">
        <w:t>Durante 2021, 3.144 personas murieron debido a conductas autolesivas (suicidio), con tasas más elevadas en los hombres que en las mujeres. La tasa de suicidio de los hombres aumentó entre 2012 y 2021 de 17,0 a 18,2 muertes por cada 100.000 hombres y la de las mujeres de 5,6 a 6,1 muertes por cada 100.000 mujeres</w:t>
      </w:r>
      <w:r w:rsidRPr="00C52B38">
        <w:rPr>
          <w:rStyle w:val="Refdenotaalpie"/>
        </w:rPr>
        <w:footnoteReference w:id="81"/>
      </w:r>
      <w:r w:rsidRPr="00C52B38">
        <w:t>.</w:t>
      </w:r>
    </w:p>
    <w:p w14:paraId="547A287B" w14:textId="2A90336A" w:rsidR="000C706A" w:rsidRPr="00C52B38" w:rsidRDefault="000C706A" w:rsidP="002370A4">
      <w:pPr>
        <w:pStyle w:val="SingleTxtG"/>
      </w:pPr>
      <w:r w:rsidRPr="00C52B38">
        <w:lastRenderedPageBreak/>
        <w:t>64.</w:t>
      </w:r>
      <w:r w:rsidRPr="00C52B38">
        <w:tab/>
        <w:t>Los australianos tienen acceso a diversos servicios de atención de la salud mental prestados en diferentes entornos de atención sanitaria, incluidos los servicios de medicina general, los servicios comunitarios de salud mental y los servicios de hospital. En el período 2021-2022 se prestaron servicios de salud mental subvencionados por Medicare a unos 2,8</w:t>
      </w:r>
      <w:r w:rsidR="00041D4A">
        <w:t> </w:t>
      </w:r>
      <w:r w:rsidRPr="00C52B38">
        <w:t>millones de personas</w:t>
      </w:r>
      <w:r w:rsidRPr="00C52B38">
        <w:rPr>
          <w:rStyle w:val="Refdenotaalpie"/>
        </w:rPr>
        <w:footnoteReference w:id="82"/>
      </w:r>
      <w:r w:rsidRPr="00C52B38">
        <w:t>. Según una encuesta realizada en 2020-2021, un alto porcentaje de las personas encuestadas calificó de buena, muy buena o excelente la atención recibida a través de los servicios especializados de salud mental y de los servicios comunitarios especializados de salud mental, y más del 70 % y casi el 90 % indicaron que habían tenido una experiencia positiva con los servicios</w:t>
      </w:r>
      <w:r w:rsidRPr="00C52B38">
        <w:rPr>
          <w:rStyle w:val="Refdenotaalpie"/>
        </w:rPr>
        <w:footnoteReference w:id="83"/>
      </w:r>
      <w:r w:rsidRPr="00C52B38">
        <w:t>.</w:t>
      </w:r>
    </w:p>
    <w:p w14:paraId="6D6FE2CD" w14:textId="77777777" w:rsidR="000C706A" w:rsidRPr="00C52B38" w:rsidRDefault="000C706A" w:rsidP="002370A4">
      <w:pPr>
        <w:pStyle w:val="SingleTxtG"/>
      </w:pPr>
      <w:r w:rsidRPr="00C52B38">
        <w:t>65.</w:t>
      </w:r>
      <w:r w:rsidRPr="00C52B38">
        <w:tab/>
        <w:t xml:space="preserve">Las comunidades </w:t>
      </w:r>
      <w:proofErr w:type="spellStart"/>
      <w:r w:rsidRPr="00C52B38">
        <w:t>LGBTIQA</w:t>
      </w:r>
      <w:proofErr w:type="spellEnd"/>
      <w:r w:rsidRPr="00C52B38">
        <w:t>+ de Australia son diversas, y con frecuencia tienen necesidades sanitarias específicas, se enfrentan a barreras actitudinales y de otra índole en el acceso a la atención y es más probable que tengan un peor estado de salud.</w:t>
      </w:r>
    </w:p>
    <w:p w14:paraId="785CD6CB" w14:textId="46227CD3" w:rsidR="000C706A" w:rsidRPr="00C52B38" w:rsidRDefault="000C706A" w:rsidP="00D65A62">
      <w:pPr>
        <w:pStyle w:val="Bullet1G"/>
      </w:pPr>
      <w:r w:rsidRPr="00C52B38">
        <w:t xml:space="preserve">Las personas </w:t>
      </w:r>
      <w:proofErr w:type="spellStart"/>
      <w:r w:rsidRPr="00C52B38">
        <w:t>LGBTIQA</w:t>
      </w:r>
      <w:proofErr w:type="spellEnd"/>
      <w:r w:rsidRPr="00C52B38">
        <w:t>+ tienen un estado de salud, en promedio, peor que la comunidad general australiana</w:t>
      </w:r>
      <w:r w:rsidRPr="00C52B38">
        <w:rPr>
          <w:rStyle w:val="Refdenotaalpie"/>
        </w:rPr>
        <w:footnoteReference w:id="84"/>
      </w:r>
      <w:r w:rsidRPr="00C52B38">
        <w:t>.</w:t>
      </w:r>
    </w:p>
    <w:p w14:paraId="1CA9218F" w14:textId="3CD7AC4E" w:rsidR="000C706A" w:rsidRPr="00C52B38" w:rsidRDefault="00DB209B" w:rsidP="00D65A62">
      <w:pPr>
        <w:pStyle w:val="Bullet1G"/>
      </w:pPr>
      <w:r>
        <w:t>La</w:t>
      </w:r>
      <w:r w:rsidR="000C706A" w:rsidRPr="00C52B38">
        <w:t xml:space="preserve">s personas </w:t>
      </w:r>
      <w:proofErr w:type="spellStart"/>
      <w:r w:rsidR="000C706A" w:rsidRPr="00C52B38">
        <w:t>LGBTIQA</w:t>
      </w:r>
      <w:proofErr w:type="spellEnd"/>
      <w:r w:rsidR="000C706A" w:rsidRPr="00C52B38">
        <w:t>+ se enfrentan a menudo a importantes niveles de estigmatización y discriminación</w:t>
      </w:r>
      <w:r w:rsidR="000C706A" w:rsidRPr="00C52B38">
        <w:rPr>
          <w:rStyle w:val="Refdenotaalpie"/>
        </w:rPr>
        <w:footnoteReference w:id="85"/>
      </w:r>
      <w:r w:rsidR="000C706A" w:rsidRPr="00C52B38">
        <w:t xml:space="preserve">. La estigmatización, los prejuicios, la discriminación, el aislamiento y los abusos que sufre la comunidad </w:t>
      </w:r>
      <w:proofErr w:type="spellStart"/>
      <w:r w:rsidR="000C706A" w:rsidRPr="00C52B38">
        <w:t>LGBTIQA</w:t>
      </w:r>
      <w:proofErr w:type="spellEnd"/>
      <w:r w:rsidR="000C706A" w:rsidRPr="00C52B38">
        <w:t>+ guardan relación con sus problemas de salud</w:t>
      </w:r>
      <w:r w:rsidR="000C706A" w:rsidRPr="00C52B38">
        <w:rPr>
          <w:rStyle w:val="Refdenotaalpie"/>
        </w:rPr>
        <w:footnoteReference w:id="86"/>
      </w:r>
      <w:r w:rsidR="000C706A" w:rsidRPr="00C52B38">
        <w:t>.</w:t>
      </w:r>
    </w:p>
    <w:p w14:paraId="1F792F83" w14:textId="77777777" w:rsidR="000C706A" w:rsidRPr="00C52B38" w:rsidRDefault="000C706A" w:rsidP="002370A4">
      <w:pPr>
        <w:pStyle w:val="SingleTxtG"/>
      </w:pPr>
      <w:r w:rsidRPr="00C52B38">
        <w:t>66.</w:t>
      </w:r>
      <w:r w:rsidRPr="00C52B38">
        <w:tab/>
        <w:t xml:space="preserve">En 2023, el Gobierno de Australia anunció la preparación del primer Plan de Acción Nacional de Salud y Bienestar de las Personas </w:t>
      </w:r>
      <w:proofErr w:type="spellStart"/>
      <w:r w:rsidRPr="00C52B38">
        <w:t>LGBTIQA</w:t>
      </w:r>
      <w:proofErr w:type="spellEnd"/>
      <w:r w:rsidRPr="00C52B38">
        <w:t xml:space="preserve">+ de diez años de duración. El Plan de Acción servirá de guía para que Australia haga frente a las desigualdades en salud y mejore el sistema de salud en beneficio de las personas </w:t>
      </w:r>
      <w:proofErr w:type="spellStart"/>
      <w:r w:rsidRPr="00C52B38">
        <w:t>LGBTIQA</w:t>
      </w:r>
      <w:proofErr w:type="spellEnd"/>
      <w:r w:rsidRPr="00C52B38">
        <w:t>+.</w:t>
      </w:r>
    </w:p>
    <w:p w14:paraId="07206FC9" w14:textId="77777777" w:rsidR="000C706A" w:rsidRPr="00C52B38" w:rsidRDefault="000C706A" w:rsidP="00D65A62">
      <w:pPr>
        <w:pStyle w:val="H1G"/>
      </w:pPr>
      <w:bookmarkStart w:id="18" w:name="_Toc147326776"/>
      <w:r w:rsidRPr="00C52B38">
        <w:tab/>
        <w:t>B.</w:t>
      </w:r>
      <w:r w:rsidRPr="00C52B38">
        <w:tab/>
        <w:t xml:space="preserve">Estructura constitucional, política y jurídica </w:t>
      </w:r>
      <w:bookmarkStart w:id="19" w:name="_Toc167980141"/>
      <w:bookmarkEnd w:id="18"/>
      <w:bookmarkEnd w:id="19"/>
    </w:p>
    <w:p w14:paraId="026D3888" w14:textId="77777777" w:rsidR="000C706A" w:rsidRPr="00C52B38" w:rsidRDefault="000C706A" w:rsidP="00D65A62">
      <w:pPr>
        <w:pStyle w:val="H23G"/>
      </w:pPr>
      <w:r w:rsidRPr="00C52B38">
        <w:tab/>
        <w:t>1.</w:t>
      </w:r>
      <w:r w:rsidRPr="00C52B38">
        <w:tab/>
        <w:t>Estructura general</w:t>
      </w:r>
    </w:p>
    <w:p w14:paraId="331E69F6" w14:textId="4996DE0C" w:rsidR="000C706A" w:rsidRPr="00C52B38" w:rsidRDefault="000C706A" w:rsidP="00D65A62">
      <w:pPr>
        <w:pStyle w:val="H4G"/>
      </w:pPr>
      <w:r>
        <w:tab/>
      </w:r>
      <w:r w:rsidR="00D65A62">
        <w:tab/>
      </w:r>
      <w:r w:rsidRPr="00C52B38">
        <w:t>Estructura federal</w:t>
      </w:r>
    </w:p>
    <w:p w14:paraId="30D3D0D2" w14:textId="77777777" w:rsidR="000C706A" w:rsidRPr="00C52B38" w:rsidRDefault="000C706A" w:rsidP="002370A4">
      <w:pPr>
        <w:pStyle w:val="SingleTxtG"/>
      </w:pPr>
      <w:bookmarkStart w:id="20" w:name="_Ref64892362"/>
      <w:r w:rsidRPr="00C52B38">
        <w:t>67.</w:t>
      </w:r>
      <w:r w:rsidRPr="00C52B38">
        <w:tab/>
        <w:t>Australia tiene un sistema de gobierno constitucional federal. La Constitución de Australia establece un sistema democrático de gobierno representativo y responsable. El sistema federal distribuye los poderes entre el Gobierno de Australia y los Gobiernos de los seis estados (Nueva Gales del Sur, Victoria, Queensland, Australia Occidental, Australia del Sur y Tasmania) y los dos territorios autónomos (el Territorio de la Capital de Australia y el Territorio del Norte).</w:t>
      </w:r>
      <w:bookmarkEnd w:id="20"/>
    </w:p>
    <w:p w14:paraId="48FED996" w14:textId="77777777" w:rsidR="000C706A" w:rsidRPr="00C52B38" w:rsidRDefault="000C706A" w:rsidP="002370A4">
      <w:pPr>
        <w:pStyle w:val="SingleTxtG"/>
      </w:pPr>
      <w:r w:rsidRPr="00C52B38">
        <w:t>68.</w:t>
      </w:r>
      <w:r w:rsidRPr="00C52B38">
        <w:tab/>
        <w:t xml:space="preserve">Cada jurisdicción tiene un poder legislativo constituido por sufragio popular, un poder ejecutivo responsable ante el poder legislativo y un poder judicial independiente. De acuerdo con el principio de separación de poderes, la Constitución australiana establece los poderes legislativo, ejecutivo y judicial del Commonwealth, con una estricta separación entre el poder judicial y los demás poderes. Asimismo, la Constitución australiana distribuye determinadas competencias entre el Commonwealth y los estados. Un amplio abanico de instituciones y salvaguardias —en particular las elecciones democráticas, el reparto de competencias entre los tres poderes del Estado a escala federal y un poder judicial independiente— protegen </w:t>
      </w:r>
      <w:r w:rsidRPr="00C52B38">
        <w:lastRenderedPageBreak/>
        <w:t>contra el uso arbitrario del poder gubernamental y promueven un sólido debate público sobre cuestiones relevantes de derechos humanos.</w:t>
      </w:r>
    </w:p>
    <w:p w14:paraId="73EE2C67" w14:textId="77777777" w:rsidR="000C706A" w:rsidRPr="00C52B38" w:rsidRDefault="000C706A" w:rsidP="002370A4">
      <w:pPr>
        <w:pStyle w:val="SingleTxtG"/>
      </w:pPr>
      <w:r w:rsidRPr="00C52B38">
        <w:t>69.</w:t>
      </w:r>
      <w:r w:rsidRPr="00C52B38">
        <w:tab/>
        <w:t>El Parlamento del Commonwealth solo puede legislar en relación con determinadas materias recogidas explícita o implícitamente en la Constitución, la mayoría de las cuales figuran en su artículo 51. Los ámbitos de competencia federal incluyen la defensa y las relaciones exteriores; los negocios y el comercio interestatales e internacionales; las empresas extranjeras, comerciales y financieras; la moneda; la inmigración; los servicios postales, de telecomunicaciones y de radiodifusión; y la mayoría de los servicios de bienestar social y las pensiones.</w:t>
      </w:r>
    </w:p>
    <w:p w14:paraId="132A4E40" w14:textId="77777777" w:rsidR="000C706A" w:rsidRPr="00C52B38" w:rsidRDefault="000C706A" w:rsidP="002370A4">
      <w:pPr>
        <w:pStyle w:val="SingleTxtG"/>
      </w:pPr>
      <w:r w:rsidRPr="00C52B38">
        <w:t>70.</w:t>
      </w:r>
      <w:r w:rsidRPr="00C52B38">
        <w:tab/>
        <w:t>Las asambleas legislativas de los estados tienen la facultad general de promulgar leyes en interés de la paz, el orden y la buena administración del estado, con sujeción a la Constitución australiana. Entre los ámbitos de competencia de cada estado figuran la sanidad, la educación, la justicia penal y la red viaria. Cada estado tiene su propia constitución, que establece su sistema de gobierno. Cada estado ha instaurado un sistema de gobiernos locales que suelen ocuparse de asuntos como las decisiones de planificación local y los servicios municipales.</w:t>
      </w:r>
    </w:p>
    <w:p w14:paraId="5908B734" w14:textId="77777777" w:rsidR="000C706A" w:rsidRPr="00C52B38" w:rsidRDefault="000C706A" w:rsidP="002370A4">
      <w:pPr>
        <w:pStyle w:val="SingleTxtG"/>
      </w:pPr>
      <w:r w:rsidRPr="00C52B38">
        <w:t>71.</w:t>
      </w:r>
      <w:r w:rsidRPr="00C52B38">
        <w:tab/>
        <w:t>El artículo 122 de la Constitución faculta al Parlamento del Commonwealth para legislar en relación con los territorios. El Parlamento del Commonwealth ha conferido una amplia autonomía al Territorio de la Capital de Australia y al Territorio del Norte.</w:t>
      </w:r>
    </w:p>
    <w:p w14:paraId="3E692A72" w14:textId="77777777" w:rsidR="000C706A" w:rsidRPr="00C52B38" w:rsidRDefault="000C706A" w:rsidP="002370A4">
      <w:pPr>
        <w:pStyle w:val="SingleTxtG"/>
      </w:pPr>
      <w:bookmarkStart w:id="21" w:name="_Ref64892375"/>
      <w:r w:rsidRPr="00C52B38">
        <w:t>72.</w:t>
      </w:r>
      <w:r w:rsidRPr="00C52B38">
        <w:tab/>
        <w:t>El Gobierno de Australia y los Gobiernos de los estados y de los territorios interactúan de diversas maneras.</w:t>
      </w:r>
      <w:bookmarkEnd w:id="21"/>
    </w:p>
    <w:p w14:paraId="638E281C" w14:textId="3DC79ADF" w:rsidR="000C706A" w:rsidRPr="00C52B38" w:rsidRDefault="000C706A" w:rsidP="00D65A62">
      <w:pPr>
        <w:pStyle w:val="Bullet1G"/>
      </w:pPr>
      <w:r w:rsidRPr="00C52B38">
        <w:t>El impuesto sobre la renta y los derechos de aduana e impuestos sobre bienes específicos son gravados por el Commonwealth. El Gobierno de Australia puede conceder subvenciones a los estados para proporcionarles ingresos que les permitan desempeñar sus funciones. El artículo 96 de la Constitución autoriza al Commonwealth a conceder subvenciones condicionadas a los estados para todo tipo de fines. La facultad de imponer condiciones sobre la manera en que los estados deben gastar el dinero permite al Commonwealth influir en cómo se gestionan asuntos sobre los que no tiene competencias directas. Los estados conservan la facultad legislativa de gravar el impuesto sobre la renta.</w:t>
      </w:r>
    </w:p>
    <w:p w14:paraId="5FA5AC10" w14:textId="1DFC952E" w:rsidR="000C706A" w:rsidRPr="00C52B38" w:rsidRDefault="000C706A" w:rsidP="00D65A62">
      <w:pPr>
        <w:pStyle w:val="Bullet1G"/>
      </w:pPr>
      <w:r w:rsidRPr="00C52B38">
        <w:t>El artículo 109 de la Constitución define la relación entre la legislación del Commonwealth y la legislación de los estados. Establece que cuando una ley de un estado es incompatible con una ley del Commonwealth, prevalece la ley del Commonwealth y la ley del estado no es aplicable en la medida de la incompatibilidad.</w:t>
      </w:r>
    </w:p>
    <w:p w14:paraId="71C6BF3F" w14:textId="7DF3C339" w:rsidR="000C706A" w:rsidRPr="00C52B38" w:rsidRDefault="000C706A" w:rsidP="00D65A62">
      <w:pPr>
        <w:pStyle w:val="H4G"/>
      </w:pPr>
      <w:r>
        <w:tab/>
      </w:r>
      <w:r w:rsidR="00D65A62">
        <w:tab/>
      </w:r>
      <w:r w:rsidRPr="00C52B38">
        <w:t>Marco jurídico</w:t>
      </w:r>
    </w:p>
    <w:p w14:paraId="70A3C121" w14:textId="77777777" w:rsidR="000C706A" w:rsidRPr="00C52B38" w:rsidRDefault="000C706A" w:rsidP="002370A4">
      <w:pPr>
        <w:pStyle w:val="SingleTxtG"/>
      </w:pPr>
      <w:r w:rsidRPr="00C52B38">
        <w:t>73.</w:t>
      </w:r>
      <w:r w:rsidRPr="00C52B38">
        <w:tab/>
        <w:t>En Australia, el ordenamiento jurídico se compone principalmente de:</w:t>
      </w:r>
    </w:p>
    <w:p w14:paraId="553508E5" w14:textId="26BEBA17" w:rsidR="000C706A" w:rsidRPr="00C52B38" w:rsidRDefault="000C706A" w:rsidP="00D65A62">
      <w:pPr>
        <w:pStyle w:val="Bullet1G"/>
      </w:pPr>
      <w:r w:rsidRPr="00C52B38">
        <w:t>Las leyes promulgadas por el Parlamento del Commonwealth en los ámbitos de su competencia según la Constitución australiana, junto con la legislación delegada o subordinada aprobada en virtud de dichas leyes</w:t>
      </w:r>
      <w:r w:rsidR="00041D4A">
        <w:t>.</w:t>
      </w:r>
    </w:p>
    <w:p w14:paraId="6EA32769" w14:textId="5BCFFC0B" w:rsidR="000C706A" w:rsidRPr="00C52B38" w:rsidRDefault="000C706A" w:rsidP="00D65A62">
      <w:pPr>
        <w:pStyle w:val="Bullet1G"/>
      </w:pPr>
      <w:r w:rsidRPr="00C52B38">
        <w:t>Las leyes promulgadas por los parlamentos de los estados y las asambleas legislativas del Territorio del Norte y del Territorio de la Capital de Australia, junto con la legislación delegada o subordinada aprobada en virtud de esas leyes</w:t>
      </w:r>
      <w:r w:rsidR="00041D4A">
        <w:t>.</w:t>
      </w:r>
    </w:p>
    <w:p w14:paraId="042BC868" w14:textId="3E7E5896" w:rsidR="000C706A" w:rsidRPr="00C52B38" w:rsidRDefault="000C706A" w:rsidP="00D65A62">
      <w:pPr>
        <w:pStyle w:val="Bullet1G"/>
      </w:pPr>
      <w:r w:rsidRPr="00C52B38">
        <w:t>El</w:t>
      </w:r>
      <w:r w:rsidRPr="00C52B38">
        <w:rPr>
          <w:i/>
          <w:iCs/>
        </w:rPr>
        <w:t xml:space="preserve"> </w:t>
      </w:r>
      <w:proofErr w:type="spellStart"/>
      <w:r w:rsidRPr="00C52B38">
        <w:rPr>
          <w:i/>
          <w:iCs/>
        </w:rPr>
        <w:t>common</w:t>
      </w:r>
      <w:proofErr w:type="spellEnd"/>
      <w:r w:rsidRPr="00C52B38">
        <w:rPr>
          <w:i/>
          <w:iCs/>
        </w:rPr>
        <w:t xml:space="preserve"> </w:t>
      </w:r>
      <w:proofErr w:type="spellStart"/>
      <w:r w:rsidRPr="00C52B38">
        <w:rPr>
          <w:i/>
          <w:iCs/>
        </w:rPr>
        <w:t>law</w:t>
      </w:r>
      <w:proofErr w:type="spellEnd"/>
      <w:r w:rsidRPr="00C52B38">
        <w:rPr>
          <w:i/>
          <w:iCs/>
        </w:rPr>
        <w:t xml:space="preserve"> </w:t>
      </w:r>
      <w:r w:rsidRPr="00C52B38">
        <w:t>de Inglaterra o las leyes aprobadas por el Parlamento de Inglaterra que, tal como se recibieron, aún se aplican en Australia y siguen en vigor</w:t>
      </w:r>
      <w:r w:rsidR="00041D4A">
        <w:t>.</w:t>
      </w:r>
    </w:p>
    <w:p w14:paraId="1EB3E891" w14:textId="635C1DDE" w:rsidR="000C706A" w:rsidRPr="00C52B38" w:rsidRDefault="000C706A" w:rsidP="00D65A62">
      <w:pPr>
        <w:pStyle w:val="Bullet1G"/>
      </w:pPr>
      <w:r w:rsidRPr="00C52B38">
        <w:t xml:space="preserve">El </w:t>
      </w:r>
      <w:proofErr w:type="spellStart"/>
      <w:r w:rsidRPr="00C52B38">
        <w:rPr>
          <w:i/>
          <w:iCs/>
        </w:rPr>
        <w:t>common</w:t>
      </w:r>
      <w:proofErr w:type="spellEnd"/>
      <w:r w:rsidRPr="00C52B38">
        <w:rPr>
          <w:i/>
          <w:iCs/>
        </w:rPr>
        <w:t xml:space="preserve"> </w:t>
      </w:r>
      <w:proofErr w:type="spellStart"/>
      <w:r w:rsidRPr="00C52B38">
        <w:rPr>
          <w:i/>
          <w:iCs/>
        </w:rPr>
        <w:t>law</w:t>
      </w:r>
      <w:proofErr w:type="spellEnd"/>
      <w:r w:rsidRPr="00C52B38">
        <w:t xml:space="preserve"> australiano, que se desarrolló a partir del sistema del </w:t>
      </w:r>
      <w:proofErr w:type="spellStart"/>
      <w:r w:rsidRPr="00C52B38">
        <w:rPr>
          <w:i/>
          <w:iCs/>
        </w:rPr>
        <w:t>common</w:t>
      </w:r>
      <w:proofErr w:type="spellEnd"/>
      <w:r w:rsidRPr="00C52B38">
        <w:rPr>
          <w:i/>
          <w:iCs/>
        </w:rPr>
        <w:t xml:space="preserve"> </w:t>
      </w:r>
      <w:proofErr w:type="spellStart"/>
      <w:r w:rsidRPr="00C52B38">
        <w:rPr>
          <w:i/>
          <w:iCs/>
        </w:rPr>
        <w:t>law</w:t>
      </w:r>
      <w:proofErr w:type="spellEnd"/>
      <w:r w:rsidRPr="00C52B38">
        <w:t xml:space="preserve"> inglés y sigue siendo interpretado y desarrollado por los tribunales australianos.</w:t>
      </w:r>
    </w:p>
    <w:p w14:paraId="76EDD1A6" w14:textId="77777777" w:rsidR="000C706A" w:rsidRPr="00C52B38" w:rsidRDefault="000C706A" w:rsidP="002370A4">
      <w:pPr>
        <w:pStyle w:val="SingleTxtG"/>
      </w:pPr>
      <w:r w:rsidRPr="00C52B38">
        <w:t>74.</w:t>
      </w:r>
      <w:r w:rsidRPr="00C52B38">
        <w:tab/>
        <w:t>La única manera de modificar la Constitución australiana es celebrar un referéndum. Para que un referéndum salga adelante es necesario que la mayoría de los votantes de la mayoría de los estados, así como la mayoría de los votantes en todo el país, aprueben la modificación. Desde el establecimiento de la Federación, se han presentado 44 propuestas de reforma constitucional a los votantes australianos mediante referéndum, y han sido aprobadas ocho de ellas. El último referéndum se celebró en 1977.</w:t>
      </w:r>
    </w:p>
    <w:p w14:paraId="1C90B861" w14:textId="77777777" w:rsidR="000C706A" w:rsidRPr="00C52B38" w:rsidRDefault="000C706A" w:rsidP="002370A4">
      <w:pPr>
        <w:pStyle w:val="SingleTxtG"/>
      </w:pPr>
      <w:r w:rsidRPr="00C52B38">
        <w:lastRenderedPageBreak/>
        <w:t>75.</w:t>
      </w:r>
      <w:r w:rsidRPr="00C52B38">
        <w:tab/>
        <w:t>Australia es un Estado laico. De acuerdo con el artículo 116 de la Constitución australiana, el Commonwealth no podrá promulgar ninguna ley por la que se instaure una religión, se imponga una observancia religiosa o se prohíba el libre ejercicio de una religión, y no se exigirá pasar ningún examen de carácter religioso para ocupar un cargo público en el Commonwealth.</w:t>
      </w:r>
    </w:p>
    <w:p w14:paraId="76FE2A71" w14:textId="77777777" w:rsidR="000C706A" w:rsidRPr="00C52B38" w:rsidRDefault="000C706A" w:rsidP="002370A4">
      <w:pPr>
        <w:pStyle w:val="SingleTxtG"/>
      </w:pPr>
      <w:r w:rsidRPr="00C52B38">
        <w:t>76.</w:t>
      </w:r>
      <w:r w:rsidRPr="00C52B38">
        <w:tab/>
        <w:t>A finales de 2023 estaba previsto celebrar un referéndum para enmendar la Constitución australiana e incluir un nuevo capítulo, a saber, el Capítulo IX de establecimiento del órgano Voz de los Aborígenes e Isleños del Estrecho de Torres. Este órgano se encargará de representar ante el Parlamento y el poder ejecutivo a los pueblos aborígenes e isleños del estrecho de Torres en asuntos relacionados con ellos.</w:t>
      </w:r>
    </w:p>
    <w:p w14:paraId="0FAF1CA7" w14:textId="5FF2C5FB" w:rsidR="000C706A" w:rsidRPr="00C52B38" w:rsidRDefault="000C706A" w:rsidP="00D65A62">
      <w:pPr>
        <w:pStyle w:val="H4G"/>
      </w:pPr>
      <w:r>
        <w:tab/>
      </w:r>
      <w:r w:rsidR="00D65A62">
        <w:tab/>
      </w:r>
      <w:r w:rsidRPr="00C52B38">
        <w:t>Poder legislativo</w:t>
      </w:r>
    </w:p>
    <w:p w14:paraId="4BEADFD9" w14:textId="77777777" w:rsidR="000C706A" w:rsidRPr="00C52B38" w:rsidRDefault="000C706A" w:rsidP="002370A4">
      <w:pPr>
        <w:pStyle w:val="SingleTxtG"/>
      </w:pPr>
      <w:r w:rsidRPr="00C52B38">
        <w:t>77.</w:t>
      </w:r>
      <w:r w:rsidRPr="00C52B38">
        <w:tab/>
        <w:t>En virtud de la Constitución australiana, el poder legislativo del Commonwealth de Australia recae en el Parlamento del Commonwealth, que está compuesto por Su Majestad el Rey Carlos III (generalmente representado por el Gobernador General), la Cámara de Representantes y el Senado. No obstante, el Rey no juega un papel activo en las actividades diarias de gobernanza de Australia. Además, según uno de los principios fundamentales de la práctica constitucional australiana, el Rey o su representante desempeñan la mayoría de las funciones de acuerdo con el asesoramiento del Gobierno de Australia.</w:t>
      </w:r>
    </w:p>
    <w:p w14:paraId="0C9A75FB" w14:textId="338292DD" w:rsidR="000C706A" w:rsidRPr="00C52B38" w:rsidRDefault="000C706A" w:rsidP="002370A4">
      <w:pPr>
        <w:pStyle w:val="SingleTxtG"/>
      </w:pPr>
      <w:r w:rsidRPr="00C52B38">
        <w:t>78.</w:t>
      </w:r>
      <w:r w:rsidRPr="00C52B38">
        <w:tab/>
        <w:t>La Cámara Baja, conocida como Cámara de Representantes, tiene 151 miembros (150</w:t>
      </w:r>
      <w:r w:rsidR="001118BF">
        <w:t> </w:t>
      </w:r>
      <w:r w:rsidRPr="00C52B38">
        <w:t>en las próximas elecciones federales, debido a los cambios demográficos) elegidos por la ciudadanía en circunscripciones en las que se vota por un único representante. Por lo general, cada circunscripción electoral representa a un número similar de personas. El número de miembros elegidos para representar a cada estado suele ser proporcional a su población.</w:t>
      </w:r>
    </w:p>
    <w:p w14:paraId="1CACD21D" w14:textId="0A36B086" w:rsidR="000C706A" w:rsidRPr="00C52B38" w:rsidRDefault="000C706A" w:rsidP="002370A4">
      <w:pPr>
        <w:pStyle w:val="SingleTxtG"/>
      </w:pPr>
      <w:r w:rsidRPr="00C52B38">
        <w:t>79.</w:t>
      </w:r>
      <w:r w:rsidRPr="00C52B38">
        <w:tab/>
        <w:t>La Cámara Alta, conocida como Senado, se creó para representar los intereses de la población de los estados como parte de un sistema federal. El Senado está compuesto por 76</w:t>
      </w:r>
      <w:r w:rsidR="00D65A62">
        <w:t> </w:t>
      </w:r>
      <w:r w:rsidRPr="00C52B38">
        <w:t>senadores, 12 por cada estado, 2 por el Territorio de la Capital de Australia y 2 por el Territorio del Norte. El artículo 7 de la Constitución establece que los senadores de cada estado serán elegidos directamente por el pueblo del estado, que votará (mientras el Parlamento no disponga otra cosa) en una única circunscripción electoral.</w:t>
      </w:r>
    </w:p>
    <w:p w14:paraId="2D05514B" w14:textId="77777777" w:rsidR="000C706A" w:rsidRPr="00C52B38" w:rsidRDefault="000C706A" w:rsidP="002370A4">
      <w:pPr>
        <w:pStyle w:val="SingleTxtG"/>
      </w:pPr>
      <w:r w:rsidRPr="00C52B38">
        <w:t>80.</w:t>
      </w:r>
      <w:r w:rsidRPr="00C52B38">
        <w:tab/>
        <w:t>La legislación debe ser aprobada por ambas cámaras antes de ser presentada al Gobernador General para que obtenga la sanción real y entre en vigor.</w:t>
      </w:r>
    </w:p>
    <w:p w14:paraId="400C6AE9" w14:textId="6F1EAB91" w:rsidR="000C706A" w:rsidRPr="00C52B38" w:rsidRDefault="000C706A" w:rsidP="00D65A62">
      <w:pPr>
        <w:pStyle w:val="H4G"/>
      </w:pPr>
      <w:r>
        <w:tab/>
      </w:r>
      <w:r w:rsidR="00D65A62">
        <w:tab/>
      </w:r>
      <w:r w:rsidRPr="00C52B38">
        <w:t xml:space="preserve">Participación política </w:t>
      </w:r>
    </w:p>
    <w:p w14:paraId="376E3D1E" w14:textId="77777777" w:rsidR="000C706A" w:rsidRPr="00C52B38" w:rsidRDefault="000C706A" w:rsidP="002370A4">
      <w:pPr>
        <w:pStyle w:val="SingleTxtG"/>
      </w:pPr>
      <w:r w:rsidRPr="00C52B38">
        <w:t>81.</w:t>
      </w:r>
      <w:r w:rsidRPr="00C52B38">
        <w:tab/>
        <w:t>El sistema electoral australiano se basa en el principio democrático del sufragio universal de la población adulta. La Ley Electoral del Commonwealth de 1918 (Commonwealth de Australia) establece que los ciudadanos australianos mayores de 18 años deben inscribirse para votar y que el voto es obligatorio en las elecciones federales. La inscripción en el padrón electoral y el voto también son obligatorios en las elecciones de los estados y los territorios.</w:t>
      </w:r>
    </w:p>
    <w:p w14:paraId="1B2B84E3" w14:textId="77777777" w:rsidR="000C706A" w:rsidRPr="00C52B38" w:rsidRDefault="000C706A" w:rsidP="002370A4">
      <w:pPr>
        <w:pStyle w:val="SingleTxtG"/>
      </w:pPr>
      <w:r w:rsidRPr="00C52B38">
        <w:t>82.</w:t>
      </w:r>
      <w:r w:rsidRPr="00C52B38">
        <w:tab/>
        <w:t>No tienen derecho a inscribirse en el padrón electoral ni a votar en las elecciones federales:</w:t>
      </w:r>
    </w:p>
    <w:p w14:paraId="6F95BBE6" w14:textId="1C81F73B" w:rsidR="000C706A" w:rsidRPr="00C52B38" w:rsidRDefault="000C706A" w:rsidP="00D65A62">
      <w:pPr>
        <w:pStyle w:val="Bullet1G"/>
      </w:pPr>
      <w:r w:rsidRPr="00C52B38">
        <w:t>Las personas que carezcan de la capacidad necesaria para comprender la naturaleza y el significado de la inscripción y el voto. La Ley Electoral del Commonwealth exige la presentación de un certificado médico que justifique cualquier incapacidad a fin de dar de baja a una persona del censo electoral.</w:t>
      </w:r>
    </w:p>
    <w:p w14:paraId="5E5652AD" w14:textId="45AACD5F" w:rsidR="000C706A" w:rsidRPr="00C52B38" w:rsidRDefault="000C706A" w:rsidP="00D65A62">
      <w:pPr>
        <w:pStyle w:val="Bullet1G"/>
      </w:pPr>
      <w:r w:rsidRPr="00C52B38">
        <w:t>Las personas que han sido condenadas por traición o alevosía y no han sido indultadas.</w:t>
      </w:r>
    </w:p>
    <w:p w14:paraId="30AE94E2" w14:textId="77777777" w:rsidR="000C706A" w:rsidRPr="00C52B38" w:rsidRDefault="000C706A" w:rsidP="002370A4">
      <w:pPr>
        <w:pStyle w:val="SingleTxtG"/>
      </w:pPr>
      <w:r w:rsidRPr="00C52B38">
        <w:t>83.</w:t>
      </w:r>
      <w:r w:rsidRPr="00C52B38">
        <w:tab/>
        <w:t>Las personas que cumplen una pena de prisión de tres años o más no tienen derecho a votar en las elecciones federales, pero se mantienen inscritas en el censo electoral.</w:t>
      </w:r>
    </w:p>
    <w:p w14:paraId="34927A5E" w14:textId="0F73BEE0" w:rsidR="000C706A" w:rsidRDefault="000C706A" w:rsidP="002370A4">
      <w:pPr>
        <w:pStyle w:val="SingleTxtG"/>
      </w:pPr>
      <w:r w:rsidRPr="00C52B38">
        <w:lastRenderedPageBreak/>
        <w:t>84.</w:t>
      </w:r>
      <w:r w:rsidRPr="00C52B38">
        <w:tab/>
        <w:t>El 30 de junio de 2023, el 97,5 % de los australianos con derecho a voto estaban inscritos en el padrón electoral</w:t>
      </w:r>
      <w:r w:rsidRPr="00C52B38">
        <w:rPr>
          <w:rStyle w:val="Refdenotaalpie"/>
        </w:rPr>
        <w:footnoteReference w:id="87"/>
      </w:r>
      <w:r w:rsidRPr="00C52B38">
        <w:t xml:space="preserve">. Debido a la obligatoriedad del voto, la tasa de participación en las elecciones federales es normalmente alta (véase la figura </w:t>
      </w:r>
      <w:r w:rsidRPr="001118BF">
        <w:rPr>
          <w:i/>
          <w:iCs/>
        </w:rPr>
        <w:t>infra</w:t>
      </w:r>
      <w:r w:rsidRPr="00C52B38">
        <w:t xml:space="preserve"> correspondiente a las elecciones a la Cámara de Representantes). Si bien la participación electoral ha disminuido ligeramente en los últimos años, las tasas efectivas de participación (votos registrados en relación con el total de la población con derecho a voto (</w:t>
      </w:r>
      <w:proofErr w:type="spellStart"/>
      <w:r w:rsidRPr="00C52B38">
        <w:t>VEP</w:t>
      </w:r>
      <w:proofErr w:type="spellEnd"/>
      <w:r w:rsidRPr="00C52B38">
        <w:t xml:space="preserve">)) se han mantenido relativamente estables. En el cuadro </w:t>
      </w:r>
      <w:proofErr w:type="spellStart"/>
      <w:r w:rsidRPr="00C52B38">
        <w:t>B1</w:t>
      </w:r>
      <w:proofErr w:type="spellEnd"/>
      <w:r w:rsidRPr="00C52B38">
        <w:t xml:space="preserve"> del anexo </w:t>
      </w:r>
      <w:r w:rsidR="001118BF">
        <w:t>I</w:t>
      </w:r>
      <w:r w:rsidRPr="00C52B38">
        <w:t xml:space="preserve"> se proporcionan más datos, incluida la participación electoral por estado y territorio.</w:t>
      </w:r>
    </w:p>
    <w:p w14:paraId="720FB6F8" w14:textId="77777777" w:rsidR="00D65A62" w:rsidRPr="00D62FAA" w:rsidRDefault="00D65A62" w:rsidP="00D65A62">
      <w:pPr>
        <w:pStyle w:val="SingleTxtG"/>
        <w:jc w:val="center"/>
      </w:pPr>
      <w:r w:rsidRPr="00D62FAA">
        <w:rPr>
          <w:noProof/>
          <w:lang w:eastAsia="en-GB"/>
        </w:rPr>
        <w:drawing>
          <wp:inline distT="0" distB="0" distL="0" distR="0" wp14:anchorId="1FA49249" wp14:editId="078CC66D">
            <wp:extent cx="4295775" cy="2194786"/>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24918"/>
                    <a:stretch/>
                  </pic:blipFill>
                  <pic:spPr bwMode="auto">
                    <a:xfrm>
                      <a:off x="0" y="0"/>
                      <a:ext cx="4305049" cy="2199524"/>
                    </a:xfrm>
                    <a:prstGeom prst="rect">
                      <a:avLst/>
                    </a:prstGeom>
                    <a:noFill/>
                    <a:ln>
                      <a:noFill/>
                    </a:ln>
                    <a:extLst>
                      <a:ext uri="{53640926-AAD7-44D8-BBD7-CCE9431645EC}">
                        <a14:shadowObscured xmlns:a14="http://schemas.microsoft.com/office/drawing/2010/main"/>
                      </a:ext>
                    </a:extLst>
                  </pic:spPr>
                </pic:pic>
              </a:graphicData>
            </a:graphic>
          </wp:inline>
        </w:drawing>
      </w:r>
    </w:p>
    <w:p w14:paraId="5FEB394F" w14:textId="77777777" w:rsidR="00D65A62" w:rsidRPr="00D62FAA" w:rsidRDefault="00D65A62" w:rsidP="00D65A62">
      <w:pPr>
        <w:pStyle w:val="SingleTxtG"/>
        <w:jc w:val="center"/>
      </w:pPr>
      <w:r w:rsidRPr="00D62FAA">
        <w:rPr>
          <w:noProof/>
          <w:lang w:eastAsia="en-GB"/>
        </w:rPr>
        <w:drawing>
          <wp:inline distT="0" distB="0" distL="0" distR="0" wp14:anchorId="3EA4F726" wp14:editId="59AA4572">
            <wp:extent cx="771525" cy="186522"/>
            <wp:effectExtent l="0" t="0" r="0" b="4445"/>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2091" cy="186659"/>
                    </a:xfrm>
                    <a:prstGeom prst="rect">
                      <a:avLst/>
                    </a:prstGeom>
                    <a:noFill/>
                    <a:ln>
                      <a:noFill/>
                    </a:ln>
                  </pic:spPr>
                </pic:pic>
              </a:graphicData>
            </a:graphic>
          </wp:inline>
        </w:drawing>
      </w:r>
      <w:r w:rsidRPr="00D62FAA">
        <w:rPr>
          <w:noProof/>
          <w:lang w:eastAsia="en-GB"/>
        </w:rPr>
        <w:drawing>
          <wp:inline distT="0" distB="0" distL="0" distR="0" wp14:anchorId="7436FBAE" wp14:editId="7C62372C">
            <wp:extent cx="2790820" cy="2000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8054"/>
                    <a:stretch/>
                  </pic:blipFill>
                  <pic:spPr bwMode="auto">
                    <a:xfrm>
                      <a:off x="0" y="0"/>
                      <a:ext cx="2826803" cy="202604"/>
                    </a:xfrm>
                    <a:prstGeom prst="rect">
                      <a:avLst/>
                    </a:prstGeom>
                    <a:noFill/>
                    <a:ln>
                      <a:noFill/>
                    </a:ln>
                    <a:extLst>
                      <a:ext uri="{53640926-AAD7-44D8-BBD7-CCE9431645EC}">
                        <a14:shadowObscured xmlns:a14="http://schemas.microsoft.com/office/drawing/2010/main"/>
                      </a:ext>
                    </a:extLst>
                  </pic:spPr>
                </pic:pic>
              </a:graphicData>
            </a:graphic>
          </wp:inline>
        </w:drawing>
      </w:r>
      <w:r w:rsidRPr="00D62FAA">
        <w:rPr>
          <w:noProof/>
          <w:lang w:eastAsia="en-GB"/>
        </w:rPr>
        <w:drawing>
          <wp:inline distT="0" distB="0" distL="0" distR="0" wp14:anchorId="5EEB81A7" wp14:editId="0BD9C873">
            <wp:extent cx="3390900" cy="190500"/>
            <wp:effectExtent l="0" t="0" r="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9944"/>
                    <a:stretch/>
                  </pic:blipFill>
                  <pic:spPr bwMode="auto">
                    <a:xfrm>
                      <a:off x="0" y="0"/>
                      <a:ext cx="3402668" cy="191161"/>
                    </a:xfrm>
                    <a:prstGeom prst="rect">
                      <a:avLst/>
                    </a:prstGeom>
                    <a:noFill/>
                    <a:ln>
                      <a:noFill/>
                    </a:ln>
                    <a:extLst>
                      <a:ext uri="{53640926-AAD7-44D8-BBD7-CCE9431645EC}">
                        <a14:shadowObscured xmlns:a14="http://schemas.microsoft.com/office/drawing/2010/main"/>
                      </a:ext>
                    </a:extLst>
                  </pic:spPr>
                </pic:pic>
              </a:graphicData>
            </a:graphic>
          </wp:inline>
        </w:drawing>
      </w:r>
    </w:p>
    <w:p w14:paraId="7C3E5B0C" w14:textId="77777777" w:rsidR="000C706A" w:rsidRPr="00D65A62" w:rsidRDefault="000C706A" w:rsidP="00D65A62">
      <w:pPr>
        <w:spacing w:after="240"/>
        <w:ind w:left="1304"/>
        <w:rPr>
          <w:sz w:val="18"/>
          <w:szCs w:val="18"/>
        </w:rPr>
      </w:pPr>
      <w:r w:rsidRPr="00D65A62">
        <w:rPr>
          <w:i/>
          <w:iCs/>
          <w:sz w:val="18"/>
          <w:szCs w:val="18"/>
        </w:rPr>
        <w:t>Fuente:</w:t>
      </w:r>
      <w:r w:rsidRPr="00D65A62">
        <w:rPr>
          <w:sz w:val="18"/>
          <w:szCs w:val="18"/>
        </w:rPr>
        <w:t xml:space="preserve"> Comisión Electoral Australiana, 2022.</w:t>
      </w:r>
    </w:p>
    <w:p w14:paraId="7F37CAB3" w14:textId="2F6B682E" w:rsidR="000C706A" w:rsidRPr="00C52B38" w:rsidRDefault="000C706A" w:rsidP="002370A4">
      <w:pPr>
        <w:pStyle w:val="SingleTxtG"/>
      </w:pPr>
      <w:r w:rsidRPr="00C52B38">
        <w:t>85.</w:t>
      </w:r>
      <w:r w:rsidRPr="00C52B38">
        <w:tab/>
        <w:t>El Gobierno australiano tiene como objetivo garantizar que los procesos de votación faciliten la participación de todas las personas con derecho a voto en todos los sectores de la comunidad</w:t>
      </w:r>
      <w:r w:rsidR="001118BF">
        <w:t>:</w:t>
      </w:r>
    </w:p>
    <w:p w14:paraId="1A68323C" w14:textId="2D00C7C7" w:rsidR="000C706A" w:rsidRPr="00C52B38" w:rsidRDefault="000C706A" w:rsidP="00D65A62">
      <w:pPr>
        <w:pStyle w:val="Bullet1G"/>
      </w:pPr>
      <w:r w:rsidRPr="00C52B38">
        <w:t>La Comisión Electoral Australiana elaboró la Estrategia de Inclusión de la Discapacidad (2012-2020) para prestar apoyo a las personas con discapacidad a fin de que puedan participar plenamente en el sistema electoral. Incluye medidas para garantizar que el material electoral sea accesible y optimizar la accesibilidad física de la oficina electoral, los lugares de votación y los servicios de votación.</w:t>
      </w:r>
    </w:p>
    <w:p w14:paraId="2A5BEF5B" w14:textId="2C37F7DA" w:rsidR="000C706A" w:rsidRPr="00C52B38" w:rsidRDefault="000C706A" w:rsidP="00D65A62">
      <w:pPr>
        <w:pStyle w:val="Bullet1G"/>
      </w:pPr>
      <w:r w:rsidRPr="00C52B38">
        <w:t>El Gobierno reconoce que los pueblos aborígenes e isleños del estrecho de Torres están infrarrepresentados en el censo electoral y en las votaciones, y tienen un mayor porcentaje de votos que no son contados porque no cumplen con los requisitos formales. No obstante, la tasa de inscripción de la población indígena en el padrón electoral está aumentando. Para los pueblos aborígenes e isleños del estrecho de Torres, la tasa de inscripción era del 94,1 % el 30 de junio de 2023, frente al 74,7 % en 2017</w:t>
      </w:r>
      <w:r w:rsidRPr="00C52B38">
        <w:rPr>
          <w:rStyle w:val="Refdenotaalpie"/>
        </w:rPr>
        <w:footnoteReference w:id="88"/>
      </w:r>
      <w:r w:rsidRPr="00C52B38">
        <w:t>. En 2010, se creó el Programa de Participación Electoral Indígena para mejorar los conocimientos sobre las elecciones y hacer frente a los obstáculos a la inscripción y el voto. El personal de la Comisión Electoral Australiana encargado de promover la participación, mediante el establecimiento de acuerdos de colaboración con organizaciones comunitarias locales y otras partes interesadas, ofrece servicios e información electorales a los pueblos aborígenes e isleños del estrecho de Torres de manera que satisfagan sus necesidades culturales y regionales.</w:t>
      </w:r>
    </w:p>
    <w:p w14:paraId="23FA3B72" w14:textId="77777777" w:rsidR="000C706A" w:rsidRPr="00C52B38" w:rsidRDefault="000C706A" w:rsidP="002370A4">
      <w:pPr>
        <w:pStyle w:val="SingleTxtG"/>
      </w:pPr>
      <w:r w:rsidRPr="00C52B38">
        <w:t>86.</w:t>
      </w:r>
      <w:r w:rsidRPr="00C52B38">
        <w:tab/>
        <w:t xml:space="preserve">En 2019, el 87 % de las personas que participaron en una encuesta indicaron que en general confiaban mucho o bastante en la capacidad de la Comisión Electoral Australiana para prestar servicios electorales, y el 85 % en general consideraba que la Comisión Electoral </w:t>
      </w:r>
      <w:r w:rsidRPr="00C52B38">
        <w:lastRenderedPageBreak/>
        <w:t>Australiana llevaría a cabo, o había llevado a cabo, las elecciones federales de 2019 de manera justa.</w:t>
      </w:r>
    </w:p>
    <w:p w14:paraId="51C73F88" w14:textId="77777777" w:rsidR="000C706A" w:rsidRPr="00C52B38" w:rsidRDefault="000C706A" w:rsidP="002370A4">
      <w:pPr>
        <w:pStyle w:val="SingleTxtG"/>
      </w:pPr>
      <w:r w:rsidRPr="00C52B38">
        <w:t>87.</w:t>
      </w:r>
      <w:r w:rsidRPr="00C52B38">
        <w:tab/>
        <w:t>El 15 de marzo de 2023 había 57 partidos políticos registrados en Australia, incluidas las ramas estatales de los partidos nacionales</w:t>
      </w:r>
      <w:r w:rsidRPr="00C52B38">
        <w:rPr>
          <w:rStyle w:val="Refdenotaalpie"/>
        </w:rPr>
        <w:footnoteReference w:id="89"/>
      </w:r>
      <w:r w:rsidRPr="00C52B38">
        <w:t>. De los partidos que cuentan actualmente con representación en el Parlamento australiano, desde 1943 solo el Partido Laborista Australiano y el Partido Liberal en coalición con el Partido Nacional han obtenido suficientes escaños en la Cámara de Representantes para formar Gobierno tras unas elecciones.</w:t>
      </w:r>
    </w:p>
    <w:p w14:paraId="63DD2A4F" w14:textId="0B566A78" w:rsidR="000C706A" w:rsidRPr="00C52B38" w:rsidRDefault="000C706A" w:rsidP="002370A4">
      <w:pPr>
        <w:pStyle w:val="SingleTxtG"/>
      </w:pPr>
      <w:r w:rsidRPr="00C52B38">
        <w:t>88.</w:t>
      </w:r>
      <w:r w:rsidRPr="00C52B38">
        <w:tab/>
        <w:t xml:space="preserve">Los cambios en la composición del Parlamento se producen por dimisiones, inhabilitaciones y modificaciones en la afiliación de los parlamentarios a los </w:t>
      </w:r>
      <w:r w:rsidR="00A203CA">
        <w:br/>
      </w:r>
      <w:r w:rsidRPr="00C52B38">
        <w:t>partidos</w:t>
      </w:r>
      <w:r w:rsidR="00A203CA">
        <w:t xml:space="preserve"> </w:t>
      </w:r>
      <w:r w:rsidRPr="00C52B38">
        <w:t xml:space="preserve">políticos. La distribución actual de escaños legislativos por partido político y </w:t>
      </w:r>
      <w:r w:rsidR="00A203CA">
        <w:br/>
      </w:r>
      <w:r w:rsidRPr="00C52B38">
        <w:t>género</w:t>
      </w:r>
      <w:r w:rsidR="00A203CA">
        <w:t xml:space="preserve"> </w:t>
      </w:r>
      <w:r w:rsidRPr="00C52B38">
        <w:t xml:space="preserve">puede consultarse en el sitio web del Parlamento de Australia: </w:t>
      </w:r>
      <w:hyperlink r:id="rId17" w:history="1">
        <w:proofErr w:type="spellStart"/>
        <w:r w:rsidRPr="00D65A62">
          <w:rPr>
            <w:rStyle w:val="Hipervnculo"/>
          </w:rPr>
          <w:t>www.aph.gov.au</w:t>
        </w:r>
        <w:proofErr w:type="spellEnd"/>
        <w:r w:rsidRPr="00D65A62">
          <w:rPr>
            <w:rStyle w:val="Hipervnculo"/>
          </w:rPr>
          <w:t>/</w:t>
        </w:r>
        <w:proofErr w:type="spellStart"/>
        <w:r w:rsidRPr="00D65A62">
          <w:rPr>
            <w:rStyle w:val="Hipervnculo"/>
          </w:rPr>
          <w:t>Senators_and_Members</w:t>
        </w:r>
        <w:proofErr w:type="spellEnd"/>
      </w:hyperlink>
      <w:r w:rsidRPr="00C52B38">
        <w:t>.</w:t>
      </w:r>
    </w:p>
    <w:p w14:paraId="36ACF3BD" w14:textId="77777777" w:rsidR="000C706A" w:rsidRPr="00C52B38" w:rsidRDefault="000C706A" w:rsidP="002370A4">
      <w:pPr>
        <w:pStyle w:val="SingleTxtG"/>
      </w:pPr>
      <w:r w:rsidRPr="00C52B38">
        <w:t>89.</w:t>
      </w:r>
      <w:r w:rsidRPr="00C52B38">
        <w:tab/>
        <w:t>El 1 de enero de 2022, el 39 % de los parlamentarios federales y el 39 % de los parlamentarios de los estados y de los territorios eran mujeres. En las dos últimas décadas, el porcentaje de mujeres en los parlamentos de los estados y de los territorios ha evolucionado de manera muy similar al porcentaje de mujeres en el Parlamento Federal. La representación de las mujeres en los parlamentos de los estados y de los territorios ha aumentado respecto al 22 % de mujeres que había en 2001</w:t>
      </w:r>
      <w:r w:rsidRPr="00C52B38">
        <w:rPr>
          <w:rStyle w:val="Refdenotaalpie"/>
        </w:rPr>
        <w:footnoteReference w:id="90"/>
      </w:r>
      <w:r w:rsidRPr="00C52B38">
        <w:t xml:space="preserve">. Si bien los datos sobre diversidad cultural en el Parlamento son escasos, se estima que en el anterior Parlamento en 2018 el 78 % de los parlamentarios del Commonwealth eran de origen </w:t>
      </w:r>
      <w:proofErr w:type="spellStart"/>
      <w:r w:rsidRPr="00C52B38">
        <w:t>anglocelta</w:t>
      </w:r>
      <w:proofErr w:type="spellEnd"/>
      <w:r w:rsidRPr="00C52B38">
        <w:t>, el 16 % de origen europeo, el 4 % de origen no europeo y el 2 % de origen aborigen o isleño del estrecho de Torres</w:t>
      </w:r>
      <w:r w:rsidRPr="00C52B38">
        <w:rPr>
          <w:rStyle w:val="Refdenotaalpie"/>
        </w:rPr>
        <w:footnoteReference w:id="91"/>
      </w:r>
      <w:r w:rsidRPr="00C52B38">
        <w:t>.</w:t>
      </w:r>
    </w:p>
    <w:p w14:paraId="240F67BD" w14:textId="045DD0FD" w:rsidR="000C706A" w:rsidRPr="00C52B38" w:rsidRDefault="00D65A62" w:rsidP="00D65A62">
      <w:pPr>
        <w:pStyle w:val="H4G"/>
      </w:pPr>
      <w:r>
        <w:tab/>
      </w:r>
      <w:r w:rsidR="000C706A">
        <w:tab/>
      </w:r>
      <w:r w:rsidR="000C706A" w:rsidRPr="00C52B38">
        <w:t>Poder ejecutivo</w:t>
      </w:r>
    </w:p>
    <w:p w14:paraId="7E0B7B79" w14:textId="77777777" w:rsidR="000C706A" w:rsidRPr="00C52B38" w:rsidRDefault="000C706A" w:rsidP="002370A4">
      <w:pPr>
        <w:pStyle w:val="SingleTxtG"/>
      </w:pPr>
      <w:r w:rsidRPr="00C52B38">
        <w:t>90.</w:t>
      </w:r>
      <w:r w:rsidRPr="00C52B38">
        <w:tab/>
        <w:t>La Constitución reconoce un sistema de gobierno responsable en el que los ministros rinden cuentas directamente ante el Parlamento. El Primer Ministro y, por tanto, los miembros del poder ejecutivo solo pueden permanecer en sus cargos mientras gocen de la “confianza” de la Cámara Baja. Los ministros deben proceder de la Cámara Alta o de la Cámara Baja. Por consiguiente, existe una responsabilidad directa desde el pueblo que elige a los miembros del Parlamento hasta el poder ejecutivo.</w:t>
      </w:r>
    </w:p>
    <w:p w14:paraId="198CCB8B" w14:textId="77777777" w:rsidR="000C706A" w:rsidRPr="00C52B38" w:rsidRDefault="000C706A" w:rsidP="002370A4">
      <w:pPr>
        <w:pStyle w:val="SingleTxtG"/>
      </w:pPr>
      <w:r w:rsidRPr="00C52B38">
        <w:t>91.</w:t>
      </w:r>
      <w:r w:rsidRPr="00C52B38">
        <w:tab/>
        <w:t>Después de las elecciones federales generales, el Gobernador General encomienda el cargo de Primer Ministro a un miembro del Parlamento. La persona designada es el líder del partido o la coalición de partidos que haya obtenido la mayoría de los escaños en la Cámara de Representantes, o una persona que esté en condiciones de obtener la “confianza” de la mayoría de esa Cámara. Los demás ministros del Gobierno de Australia son nombrados por el Gobernador General, por recomendación del Primer Ministro, de entre los miembros del Parlamento.</w:t>
      </w:r>
    </w:p>
    <w:p w14:paraId="49694D44" w14:textId="77777777" w:rsidR="000C706A" w:rsidRPr="00C52B38" w:rsidRDefault="000C706A" w:rsidP="002370A4">
      <w:pPr>
        <w:pStyle w:val="SingleTxtG"/>
      </w:pPr>
      <w:r w:rsidRPr="00C52B38">
        <w:t>92.</w:t>
      </w:r>
      <w:r w:rsidRPr="00C52B38">
        <w:tab/>
        <w:t>Según una lectura literal de la Constitución, las facultades del Gobernador General parecen amplias. Sin embargo, en la práctica y conforme a los principios convencionales, las funciones ejecutivas del Gobernador General se ejercen casi exclusivamente por recomendación de los ministros del Gobierno australiano, y es dicho Gobierno el que asume la responsabilidad política de las acciones del Gobernador General. En el ejercicio de las funciones y facultades previstas por ley, y de muchas de las funciones y facultades constitucionales, el Gobernador General actúa asesorado por el Consejo Ejecutivo Federal, cuyos miembros activos son los ministros del Gobierno de Australia.</w:t>
      </w:r>
    </w:p>
    <w:p w14:paraId="67C60543" w14:textId="1E273A0D" w:rsidR="000C706A" w:rsidRPr="00C52B38" w:rsidRDefault="000C706A" w:rsidP="00D65A62">
      <w:pPr>
        <w:pStyle w:val="H4G"/>
      </w:pPr>
      <w:r>
        <w:lastRenderedPageBreak/>
        <w:tab/>
      </w:r>
      <w:r w:rsidR="00D65A62">
        <w:tab/>
      </w:r>
      <w:r w:rsidRPr="00C52B38">
        <w:t>Poder judicial</w:t>
      </w:r>
    </w:p>
    <w:p w14:paraId="32C4DA32" w14:textId="77777777" w:rsidR="000C706A" w:rsidRPr="00C52B38" w:rsidRDefault="000C706A" w:rsidP="002370A4">
      <w:pPr>
        <w:pStyle w:val="SingleTxtG"/>
      </w:pPr>
      <w:r w:rsidRPr="00C52B38">
        <w:t>93.</w:t>
      </w:r>
      <w:r w:rsidRPr="00C52B38">
        <w:tab/>
        <w:t>La independencia del poder judicial y su separación de los poderes legislativo y ejecutivo se consideran de gran importancia en Australia. Los jueces actúan con independencia del Gobierno al interpretar y aplicar las leyes. La inamovilidad de los jueces federales está garantizada por la Constitución, y la de los jueces de los estados y territorios por leyes. La Constitución obliga a los jueces federales a jubilarse a los 70 años.</w:t>
      </w:r>
    </w:p>
    <w:p w14:paraId="44F3777F" w14:textId="77777777" w:rsidR="000C706A" w:rsidRPr="00C52B38" w:rsidRDefault="000C706A" w:rsidP="002370A4">
      <w:pPr>
        <w:pStyle w:val="SingleTxtG"/>
      </w:pPr>
      <w:r w:rsidRPr="00C52B38">
        <w:t>94.</w:t>
      </w:r>
      <w:r w:rsidRPr="00C52B38">
        <w:tab/>
        <w:t>El poder judicial del Commonwealth de Australia recae en el Tribunal Supremo de Australia, en otros tribunales federales creados por el Parlamento australiano y en los tribunales de los estados y de los territorios con jurisdicción federal. La organización jerárquica y la relación entre los tribunales australianos se ilustran en el diagrama que figura a continuación.</w:t>
      </w:r>
    </w:p>
    <w:p w14:paraId="4B3C19FA" w14:textId="77777777" w:rsidR="000C706A" w:rsidRPr="00C52B38" w:rsidRDefault="000C706A" w:rsidP="00D65A62">
      <w:pPr>
        <w:ind w:left="1134"/>
      </w:pPr>
      <w:r w:rsidRPr="00C52B38">
        <w:rPr>
          <w:noProof/>
        </w:rPr>
        <w:drawing>
          <wp:inline distT="0" distB="0" distL="0" distR="0" wp14:anchorId="448185F3" wp14:editId="37FC9FE8">
            <wp:extent cx="5414829" cy="4758414"/>
            <wp:effectExtent l="0" t="0" r="0" b="0"/>
            <wp:docPr id="17" name="Picture 3" descr="A diagram of a co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urt&#10;&#10;Description automatically generated"/>
                    <pic:cNvPicPr/>
                  </pic:nvPicPr>
                  <pic:blipFill>
                    <a:blip r:embed="rId18"/>
                    <a:stretch>
                      <a:fillRect/>
                    </a:stretch>
                  </pic:blipFill>
                  <pic:spPr>
                    <a:xfrm>
                      <a:off x="0" y="0"/>
                      <a:ext cx="5428182" cy="4770148"/>
                    </a:xfrm>
                    <a:prstGeom prst="rect">
                      <a:avLst/>
                    </a:prstGeom>
                  </pic:spPr>
                </pic:pic>
              </a:graphicData>
            </a:graphic>
          </wp:inline>
        </w:drawing>
      </w:r>
    </w:p>
    <w:p w14:paraId="5BBD79AA" w14:textId="77777777" w:rsidR="000C706A" w:rsidRPr="00D65A62" w:rsidRDefault="000C706A" w:rsidP="00D65A62">
      <w:pPr>
        <w:spacing w:before="120" w:after="240"/>
        <w:ind w:left="1304"/>
        <w:rPr>
          <w:sz w:val="18"/>
          <w:szCs w:val="18"/>
        </w:rPr>
      </w:pPr>
      <w:r w:rsidRPr="00D65A62">
        <w:rPr>
          <w:i/>
          <w:iCs/>
          <w:sz w:val="18"/>
          <w:szCs w:val="18"/>
        </w:rPr>
        <w:t>Fuente</w:t>
      </w:r>
      <w:r w:rsidRPr="00A203CA">
        <w:rPr>
          <w:i/>
          <w:iCs/>
          <w:sz w:val="18"/>
          <w:szCs w:val="18"/>
        </w:rPr>
        <w:t>:</w:t>
      </w:r>
      <w:r w:rsidRPr="00D65A62">
        <w:rPr>
          <w:sz w:val="18"/>
          <w:szCs w:val="18"/>
        </w:rPr>
        <w:t xml:space="preserve"> Comisión de Productividad, 2023.</w:t>
      </w:r>
    </w:p>
    <w:p w14:paraId="0EF1538A" w14:textId="77777777" w:rsidR="000C706A" w:rsidRPr="00C52B38" w:rsidRDefault="000C706A" w:rsidP="002370A4">
      <w:pPr>
        <w:pStyle w:val="SingleTxtG"/>
      </w:pPr>
      <w:r w:rsidRPr="00C52B38">
        <w:t>95.</w:t>
      </w:r>
      <w:r w:rsidRPr="00C52B38">
        <w:tab/>
        <w:t>La Constitución confiere al Tribunal Supremo dos tipos de jurisdicción: de primera instancia y de apelación. La jurisdicción de primera instancia corresponde, en virtud del artículo 75 de la Constitución, a todos los asuntos:</w:t>
      </w:r>
    </w:p>
    <w:p w14:paraId="5B1E945F" w14:textId="33B35A8A" w:rsidR="000C706A" w:rsidRPr="00C52B38" w:rsidRDefault="000C706A" w:rsidP="00115A30">
      <w:pPr>
        <w:pStyle w:val="Bullet1G"/>
      </w:pPr>
      <w:r w:rsidRPr="00C52B38">
        <w:t>Derivados de cualquier tratado</w:t>
      </w:r>
      <w:r w:rsidR="00115A30">
        <w:t>.</w:t>
      </w:r>
    </w:p>
    <w:p w14:paraId="3F2EE60A" w14:textId="169143EF" w:rsidR="000C706A" w:rsidRPr="00C52B38" w:rsidRDefault="000C706A" w:rsidP="00115A30">
      <w:pPr>
        <w:pStyle w:val="Bullet1G"/>
      </w:pPr>
      <w:r w:rsidRPr="00C52B38">
        <w:t>Que afecten a cónsules u otros representantes de otros países</w:t>
      </w:r>
      <w:r w:rsidR="00115A30">
        <w:t>.</w:t>
      </w:r>
    </w:p>
    <w:p w14:paraId="053BEC32" w14:textId="2669F865" w:rsidR="000C706A" w:rsidRPr="00C52B38" w:rsidRDefault="000C706A" w:rsidP="00115A30">
      <w:pPr>
        <w:pStyle w:val="Bullet1G"/>
      </w:pPr>
      <w:r w:rsidRPr="00C52B38">
        <w:t>En los que sea parte el Commonwealth, o una persona que demande o sea demandada en nombre del Commonwealth</w:t>
      </w:r>
      <w:r w:rsidR="00115A30">
        <w:t>.</w:t>
      </w:r>
    </w:p>
    <w:p w14:paraId="66E0F67B" w14:textId="06089939" w:rsidR="000C706A" w:rsidRPr="00C52B38" w:rsidRDefault="000C706A" w:rsidP="00115A30">
      <w:pPr>
        <w:pStyle w:val="Bullet1G"/>
      </w:pPr>
      <w:r w:rsidRPr="00C52B38">
        <w:t>Entre estados, o entre residentes de diferentes estados, o entre un estado y un residente de otro estado</w:t>
      </w:r>
      <w:r w:rsidR="00115A30">
        <w:t>.</w:t>
      </w:r>
    </w:p>
    <w:p w14:paraId="5F5CAEFD" w14:textId="57B42CBA" w:rsidR="000C706A" w:rsidRPr="00C52B38" w:rsidRDefault="000C706A" w:rsidP="00115A30">
      <w:pPr>
        <w:pStyle w:val="Bullet1G"/>
      </w:pPr>
      <w:r w:rsidRPr="00C52B38">
        <w:lastRenderedPageBreak/>
        <w:t>En los que se solicite la adopción de un mandamiento judicial, una orden de prohibición o un requerimiento judicial contra un funcionario del Commonwealth o de un tribunal federal.</w:t>
      </w:r>
    </w:p>
    <w:p w14:paraId="01B205BE" w14:textId="77777777" w:rsidR="000C706A" w:rsidRPr="00C52B38" w:rsidRDefault="000C706A" w:rsidP="002370A4">
      <w:pPr>
        <w:pStyle w:val="SingleTxtG"/>
      </w:pPr>
      <w:r w:rsidRPr="00C52B38">
        <w:t>96.</w:t>
      </w:r>
      <w:r w:rsidRPr="00C52B38">
        <w:tab/>
        <w:t>En virtud del artículo 76 de la Constitución, el Parlamento del Commonwealth también puede promulgar leyes que confieran competencia de primera instancia al Tribunal Supremo en algunos otros asuntos, incluidos los que se deriven de la interpretación de la Constitución o se relacionen con esa interpretación y los que se deriven de leyes aprobadas por el Parlamento. El Tribunal Supremo comparte algunas de sus competencias en virtud de las disposiciones pertinentes con el Tribunal Federal de Australia y, en algunos tipos de asuntos, con el Tribunal Federal de Circuito y el Tribunal de Familia de Australia y los tribunales de los estados y de los territorios. El Tribunal Supremo de Australia es el tribunal de apelación en última instancia de decisiones de los tribunales federales y de los estados.</w:t>
      </w:r>
    </w:p>
    <w:p w14:paraId="2592F7BB" w14:textId="77777777" w:rsidR="000C706A" w:rsidRPr="00C52B38" w:rsidRDefault="000C706A" w:rsidP="002370A4">
      <w:pPr>
        <w:pStyle w:val="SingleTxtG"/>
      </w:pPr>
      <w:r w:rsidRPr="00C52B38">
        <w:t>97.</w:t>
      </w:r>
      <w:r w:rsidRPr="00C52B38">
        <w:tab/>
        <w:t>El Tribunal Federal, constituido en virtud de la Ley del Tribunal Federal de Australia de 1976 (Commonwealth de Australia), tiene jurisdicción tanto de primera instancia como de apelación. El Tribunal Federal puede conocer de apelaciones de sentencias de otros tribunales, incluidos el Tribunal Federal de Circuito y el Tribunal de Familia de Australia y, en determinadas circunstancias, los tribunales de los estados y de los territorios. La jurisdicción del Tribunal Federal incluye todo asunto que se derive de una ley promulgada por el Parlamento del Commonwealth y los asuntos en los que se solicite la adopción de un mandamiento judicial, una orden de prohibición o un requerimiento contra un funcionario del Commonwealth.</w:t>
      </w:r>
    </w:p>
    <w:p w14:paraId="12369323" w14:textId="6E0BB17D" w:rsidR="000C706A" w:rsidRPr="00C52B38" w:rsidRDefault="000C706A" w:rsidP="002370A4">
      <w:pPr>
        <w:pStyle w:val="SingleTxtG"/>
      </w:pPr>
      <w:r w:rsidRPr="00C52B38">
        <w:t>98.</w:t>
      </w:r>
      <w:r w:rsidRPr="00C52B38">
        <w:tab/>
        <w:t>El Tribunal Federal de Circuito y de Familia de Australia se creó en virtud de la Ley del Tribunal Federal de Circuito y de Familia de Australia de 2021 (Commonwealth de Australia). Dicha ley entró en vigor el 1 de septiembre de 2021 y unificó el Tribunal de Familia de Australia (establecido en virtud de la Ley del Tribunal de Familia de Australia de</w:t>
      </w:r>
      <w:r w:rsidR="00226E17">
        <w:t> </w:t>
      </w:r>
      <w:r w:rsidRPr="00C52B38">
        <w:t>1975) y el Tribunal Federal de Circuito (establecido en virtud de la Ley del Tribunal Federal de Circuito de Australia de 1999 (Commonwealth de Australia)) en un único órgano administrativo.</w:t>
      </w:r>
    </w:p>
    <w:p w14:paraId="52B753CC" w14:textId="43006417" w:rsidR="000C706A" w:rsidRPr="00C52B38" w:rsidRDefault="000C706A" w:rsidP="002370A4">
      <w:pPr>
        <w:pStyle w:val="SingleTxtG"/>
      </w:pPr>
      <w:r w:rsidRPr="00C52B38">
        <w:t>99.</w:t>
      </w:r>
      <w:r w:rsidRPr="00C52B38">
        <w:tab/>
        <w:t>El tribunal federal anteriormente conocido como Tribunal de Familia de Australia prosigue su actividad como Tribunal Federal de Circuito y de Familia de Australia (División</w:t>
      </w:r>
      <w:r w:rsidR="00115A30">
        <w:t> </w:t>
      </w:r>
      <w:r w:rsidRPr="00C52B38">
        <w:t>1), tiene competencia de primera instancia en asuntos que sean objeto de procedimientos de derecho de familia o de manutención de los hijos que se transfieran desde la División 2 de dicho tribunal o que le confiera otra ley del Commonwealth, y tiene competencia de apelación en asuntos de derecho de familia y de manutención de los hijos. Asimismo, el tribunal federal anteriormente conocido como Tribunal Federal de Circuito continúa su actividad como Tribunal Federal de Circuito y de Familia de Australia (División</w:t>
      </w:r>
      <w:r w:rsidR="00226E17">
        <w:t> </w:t>
      </w:r>
      <w:r w:rsidRPr="00C52B38">
        <w:t>2) y tiene competencia en primera instancia en asuntos relacionados con la legislación federal de carácter general (incluido el derecho administrativo, la quiebra, la ley de protección del consumidor, la ley de protección de la intimidad, la migración, el derecho de autor y la competencia en materia de relaciones laborales justas). El Tribunal Federal de Circuito y de Familia de Australia (División 2) es además el único órgano que puede incoar actuaciones judiciales sobre cualquier asunto de derecho de familia, por lo que se le presentan todos los asuntos federales en esa materia.</w:t>
      </w:r>
    </w:p>
    <w:p w14:paraId="5E1687C8" w14:textId="77777777" w:rsidR="000C706A" w:rsidRPr="00C52B38" w:rsidRDefault="000C706A" w:rsidP="002370A4">
      <w:pPr>
        <w:pStyle w:val="SingleTxtG"/>
      </w:pPr>
      <w:bookmarkStart w:id="22" w:name="_Ref64892434"/>
      <w:r w:rsidRPr="00C52B38">
        <w:t>100.</w:t>
      </w:r>
      <w:r w:rsidRPr="00C52B38">
        <w:tab/>
        <w:t>Los tribunales de los estados y de los territorios tienen competencia de primera instancia en todos los asuntos sustanciados con arreglo a las leyes de los estados o territorios, y en los asuntos derivados de las leyes del Commonwealth, cuando el Parlamento del Commonwealth les haya atribuido dicha competencia. En general, los asuntos penales, con independencia de que se deriven de la legislación federal, la legislación de los estados o la de los territorios, son competencia de los tribunales de los estados o de los territorios.</w:t>
      </w:r>
      <w:bookmarkEnd w:id="22"/>
    </w:p>
    <w:p w14:paraId="2163F939" w14:textId="77777777" w:rsidR="000C706A" w:rsidRPr="00C52B38" w:rsidRDefault="000C706A" w:rsidP="002370A4">
      <w:pPr>
        <w:pStyle w:val="SingleTxtG"/>
      </w:pPr>
      <w:r w:rsidRPr="00C52B38">
        <w:t>101.</w:t>
      </w:r>
      <w:r w:rsidRPr="00C52B38">
        <w:tab/>
        <w:t xml:space="preserve">Los Tribunales Supremos de los estados y de los territorios son los de mayor rango y conocen de los litigios civiles más importantes y de las causas penales más graves. </w:t>
      </w:r>
    </w:p>
    <w:p w14:paraId="135CB2F6" w14:textId="77777777" w:rsidR="000C706A" w:rsidRPr="00C52B38" w:rsidRDefault="000C706A" w:rsidP="002370A4">
      <w:pPr>
        <w:pStyle w:val="SingleTxtG"/>
      </w:pPr>
      <w:r w:rsidRPr="00C52B38">
        <w:t>102.</w:t>
      </w:r>
      <w:r w:rsidRPr="00C52B38">
        <w:tab/>
        <w:t>Los tribunales intermedios, presididos por un solo juez, entienden en la mayoría de los delitos penales graves en los que es necesario un jurado para decidir sobre los hechos del caso, y en los litigios civiles en los que no se superan determinadas cuantías. El Territorio de la Capital de Australia y el Territorio del Norte no disponen de tribunales intermedios. Sus competencias son asumidas por el Tribunal Supremo y los juzgados de paz.</w:t>
      </w:r>
    </w:p>
    <w:p w14:paraId="664A4422" w14:textId="77777777" w:rsidR="000C706A" w:rsidRPr="00C52B38" w:rsidRDefault="000C706A" w:rsidP="002370A4">
      <w:pPr>
        <w:pStyle w:val="SingleTxtG"/>
      </w:pPr>
      <w:bookmarkStart w:id="23" w:name="_Ref64892468"/>
      <w:r w:rsidRPr="00C52B38">
        <w:lastRenderedPageBreak/>
        <w:t>103.</w:t>
      </w:r>
      <w:r w:rsidRPr="00C52B38">
        <w:tab/>
        <w:t xml:space="preserve">Los tribunales de jurisdicción sumaria (incluidos los juzgados de paz) están presididos por un magistrado y resuelven los casos de manera sumaria (sin jurado). Conocen de delitos como infracciones de tráfico, litigios civiles para el cobro de deudas y reclamaciones menores de un ciudadano contra otro o contra una empresa, así como de algunos litigios sobre manutención, custodia y bienes. Los magistrados también llevan a cabo la instrucción sumarial de delitos graves para determinar si se trata de casos </w:t>
      </w:r>
      <w:r w:rsidRPr="00C52B38">
        <w:rPr>
          <w:i/>
          <w:iCs/>
        </w:rPr>
        <w:t>prima facie</w:t>
      </w:r>
      <w:r w:rsidRPr="00C52B38">
        <w:t xml:space="preserve"> que deban ser juzgados por un juez y un jurado.</w:t>
      </w:r>
      <w:bookmarkEnd w:id="23"/>
    </w:p>
    <w:p w14:paraId="4A24B21B" w14:textId="77777777" w:rsidR="000C706A" w:rsidRPr="00C52B38" w:rsidRDefault="000C706A" w:rsidP="002370A4">
      <w:pPr>
        <w:pStyle w:val="SingleTxtG"/>
      </w:pPr>
      <w:r w:rsidRPr="00C52B38">
        <w:t>104.</w:t>
      </w:r>
      <w:r w:rsidRPr="00C52B38">
        <w:tab/>
        <w:t>En todos los estados y territorios hay tribunales de reclamaciones menores con el fin de que los litigios menores puedan resolverse de manera rápida, poco costosa e informal.</w:t>
      </w:r>
    </w:p>
    <w:p w14:paraId="7CD182E8" w14:textId="0950C53D" w:rsidR="000C706A" w:rsidRPr="00C52B38" w:rsidRDefault="00115A30" w:rsidP="00115A30">
      <w:pPr>
        <w:pStyle w:val="H23G"/>
      </w:pPr>
      <w:r>
        <w:tab/>
      </w:r>
      <w:r w:rsidR="000C706A" w:rsidRPr="00C52B38">
        <w:t>2.</w:t>
      </w:r>
      <w:r w:rsidR="000C706A" w:rsidRPr="00C52B38">
        <w:tab/>
        <w:t xml:space="preserve">Organizaciones no gubernamentales </w:t>
      </w:r>
    </w:p>
    <w:p w14:paraId="0C97FAF7" w14:textId="024C0BBE" w:rsidR="000C706A" w:rsidRPr="00C52B38" w:rsidRDefault="000C706A" w:rsidP="002370A4">
      <w:pPr>
        <w:pStyle w:val="SingleTxtG"/>
      </w:pPr>
      <w:r w:rsidRPr="00C52B38">
        <w:t>105.</w:t>
      </w:r>
      <w:r w:rsidRPr="00C52B38">
        <w:tab/>
        <w:t xml:space="preserve">El sector sin fines de lucro en Australia es amplio y diverso y realiza importantes contribuciones en una serie de esferas, como la sociedad civil, el desarrollo comunitario, la vivienda y el sinhogarismo, y la mitigación de la pobreza y las situaciones de desventaja. En Australia hay más de 200.000 organizaciones sin fines de lucro. De conformidad con el marco regulatorio del Gobierno de Australia, la Comisión Australiana de Organizaciones Benéficas y Sin Fines de Lucro tiene registradas a más de 58.500 organizaciones como organizaciones benéficas, de las que casi dos tercios son de pequeña envergadura, con ingresos anuales inferiores a 250.000 dólares. Puede consultarse información actualizada al respecto en </w:t>
      </w:r>
      <w:hyperlink r:id="rId19" w:history="1">
        <w:proofErr w:type="spellStart"/>
        <w:r w:rsidR="00115A30" w:rsidRPr="00115A30">
          <w:rPr>
            <w:rStyle w:val="Hipervnculo"/>
          </w:rPr>
          <w:t>www.acnc.gov.au</w:t>
        </w:r>
        <w:proofErr w:type="spellEnd"/>
        <w:r w:rsidR="00115A30" w:rsidRPr="00115A30">
          <w:rPr>
            <w:rStyle w:val="Hipervnculo"/>
          </w:rPr>
          <w:t>/</w:t>
        </w:r>
      </w:hyperlink>
      <w:r w:rsidRPr="00C52B38">
        <w:t>.</w:t>
      </w:r>
    </w:p>
    <w:p w14:paraId="3D8392CC" w14:textId="0EC11909" w:rsidR="000C706A" w:rsidRPr="00DB209B" w:rsidRDefault="000C706A" w:rsidP="00115A30">
      <w:pPr>
        <w:pStyle w:val="SingleTxtG"/>
        <w:rPr>
          <w:spacing w:val="-1"/>
        </w:rPr>
      </w:pPr>
      <w:r w:rsidRPr="00DB209B">
        <w:rPr>
          <w:spacing w:val="-1"/>
        </w:rPr>
        <w:t>106.</w:t>
      </w:r>
      <w:r w:rsidRPr="00DB209B">
        <w:rPr>
          <w:spacing w:val="-1"/>
        </w:rPr>
        <w:tab/>
        <w:t>La asistencia australiana para el desarrollo ayuda a las organizaciones no gubernamentales (ONG) a poner en marcha una amplia gama de programas de desarrollo comunitario en el extranjero. Las ONG australianas deben estar acreditadas por el Departamento de Relaciones Exteriores y Comercio para obtener financiación a través del Programa de Cooperación de ONG Australianas. En marzo de 2023, 44 ONG</w:t>
      </w:r>
      <w:r w:rsidR="00903EF5">
        <w:rPr>
          <w:spacing w:val="-1"/>
        </w:rPr>
        <w:br/>
      </w:r>
      <w:r w:rsidRPr="00DB209B">
        <w:rPr>
          <w:spacing w:val="-1"/>
        </w:rPr>
        <w:t>contaban</w:t>
      </w:r>
      <w:r w:rsidR="00903EF5">
        <w:rPr>
          <w:spacing w:val="-1"/>
        </w:rPr>
        <w:t xml:space="preserve"> </w:t>
      </w:r>
      <w:r w:rsidRPr="00DB209B">
        <w:rPr>
          <w:spacing w:val="-1"/>
        </w:rPr>
        <w:t>con</w:t>
      </w:r>
      <w:r w:rsidR="00903EF5">
        <w:rPr>
          <w:spacing w:val="-1"/>
        </w:rPr>
        <w:t xml:space="preserve"> </w:t>
      </w:r>
      <w:r w:rsidRPr="00DB209B">
        <w:rPr>
          <w:spacing w:val="-1"/>
        </w:rPr>
        <w:t>acreditación plena y 16 con acreditación básica</w:t>
      </w:r>
      <w:r w:rsidRPr="00DB209B">
        <w:rPr>
          <w:rStyle w:val="Refdenotaalpie"/>
          <w:spacing w:val="-1"/>
        </w:rPr>
        <w:footnoteReference w:id="92"/>
      </w:r>
      <w:r w:rsidRPr="00DB209B">
        <w:rPr>
          <w:spacing w:val="-1"/>
        </w:rPr>
        <w:t xml:space="preserve">. Puede </w:t>
      </w:r>
      <w:r w:rsidR="00903EF5">
        <w:rPr>
          <w:spacing w:val="-1"/>
        </w:rPr>
        <w:br/>
      </w:r>
      <w:r w:rsidRPr="00DB209B">
        <w:rPr>
          <w:spacing w:val="-1"/>
        </w:rPr>
        <w:t>obtenerse</w:t>
      </w:r>
      <w:r w:rsidR="00903EF5">
        <w:rPr>
          <w:spacing w:val="-1"/>
        </w:rPr>
        <w:t xml:space="preserve"> </w:t>
      </w:r>
      <w:r w:rsidRPr="00DB209B">
        <w:rPr>
          <w:spacing w:val="-1"/>
        </w:rPr>
        <w:t>información</w:t>
      </w:r>
      <w:r w:rsidR="00903EF5">
        <w:rPr>
          <w:spacing w:val="-1"/>
        </w:rPr>
        <w:t xml:space="preserve"> </w:t>
      </w:r>
      <w:r w:rsidRPr="00DB209B">
        <w:rPr>
          <w:spacing w:val="-1"/>
        </w:rPr>
        <w:t>actualizada</w:t>
      </w:r>
      <w:r w:rsidR="00DB209B" w:rsidRPr="00DB209B">
        <w:rPr>
          <w:spacing w:val="-1"/>
        </w:rPr>
        <w:t xml:space="preserve"> </w:t>
      </w:r>
      <w:r w:rsidRPr="00DB209B">
        <w:rPr>
          <w:spacing w:val="-1"/>
        </w:rPr>
        <w:t xml:space="preserve">en </w:t>
      </w:r>
      <w:hyperlink r:id="rId20" w:history="1">
        <w:r w:rsidRPr="00DB209B">
          <w:rPr>
            <w:rStyle w:val="Hipervnculo"/>
            <w:spacing w:val="-1"/>
          </w:rPr>
          <w:t>https://www.dfat.gov.au/development/who-we-work-with/ngos/non-government-organisations-effective-development-partners-statement</w:t>
        </w:r>
      </w:hyperlink>
      <w:r w:rsidRPr="00DB209B">
        <w:rPr>
          <w:spacing w:val="-1"/>
        </w:rPr>
        <w:t>.</w:t>
      </w:r>
    </w:p>
    <w:p w14:paraId="7BA3775E" w14:textId="77777777" w:rsidR="000C706A" w:rsidRPr="00C52B38" w:rsidRDefault="000C706A" w:rsidP="00115A30">
      <w:pPr>
        <w:pStyle w:val="H23G"/>
      </w:pPr>
      <w:r w:rsidRPr="00C52B38">
        <w:tab/>
        <w:t>3.</w:t>
      </w:r>
      <w:r w:rsidRPr="00C52B38">
        <w:tab/>
        <w:t>Medios de comunicación</w:t>
      </w:r>
    </w:p>
    <w:p w14:paraId="49275A7E" w14:textId="77777777" w:rsidR="000C706A" w:rsidRPr="00C52B38" w:rsidRDefault="000C706A" w:rsidP="002370A4">
      <w:pPr>
        <w:pStyle w:val="SingleTxtG"/>
      </w:pPr>
      <w:r w:rsidRPr="00C52B38">
        <w:t>107.</w:t>
      </w:r>
      <w:r w:rsidRPr="00C52B38">
        <w:tab/>
        <w:t xml:space="preserve">Australia tiene una prensa libre e independiente y reconoce el importante papel que desempeña una prensa independiente en la promoción del libre intercambio de ideas e información y en el fomento del debate público. </w:t>
      </w:r>
    </w:p>
    <w:p w14:paraId="05C76BAB" w14:textId="77777777" w:rsidR="000C706A" w:rsidRPr="00C52B38" w:rsidRDefault="000C706A" w:rsidP="002370A4">
      <w:pPr>
        <w:pStyle w:val="SingleTxtG"/>
      </w:pPr>
      <w:r w:rsidRPr="00C52B38">
        <w:t>108.</w:t>
      </w:r>
      <w:r w:rsidRPr="00C52B38">
        <w:tab/>
        <w:t>En Australia hay dos emisoras públicas que producen de manera independiente contenidos televisivos, radiofónicos y en línea: la Corporación Australiana de Radiodifusión y el Servicio Especial de Radiodifusión. El Servicio Especial de Radiodifusión se centra en una programación multilingüe y multicultural, e incluye el canal Televisión Nacional Indígena, hecho por, para y sobre aborígenes e isleños del estrecho de Torres.</w:t>
      </w:r>
    </w:p>
    <w:p w14:paraId="4E7A3512" w14:textId="77777777" w:rsidR="000C706A" w:rsidRPr="00C52B38" w:rsidRDefault="000C706A" w:rsidP="002370A4">
      <w:pPr>
        <w:pStyle w:val="SingleTxtG"/>
      </w:pPr>
      <w:r w:rsidRPr="00C52B38">
        <w:t>109.</w:t>
      </w:r>
      <w:r w:rsidRPr="00C52B38">
        <w:tab/>
        <w:t>Australia es uno de los países del mundo con mayor concentración de medios de comunicación en manos de un reducido número de empresas con intereses familiares interconectados</w:t>
      </w:r>
      <w:r w:rsidRPr="00C52B38">
        <w:rPr>
          <w:rStyle w:val="Refdenotaalpie"/>
        </w:rPr>
        <w:footnoteReference w:id="93"/>
      </w:r>
      <w:r w:rsidRPr="00C52B38">
        <w:t>. De los diez periódicos metropolitanos o estatales, nueve son propiedad de dos empresas, que también son dueñas de la mayoría de los principales sitios web de noticias en línea. Cuatro empresas acaparan la mayor parte de los ingresos generados en televisión y radio. No obstante, en los últimos años han irrumpido en el mercado nuevos medios en línea, y son muchos los australianos que recurren a los medios sociales u otras plataformas digitales para acceder a los contenidos de los medios de comunicación.</w:t>
      </w:r>
    </w:p>
    <w:p w14:paraId="4152C4FD" w14:textId="77777777" w:rsidR="000C706A" w:rsidRPr="00C52B38" w:rsidRDefault="000C706A" w:rsidP="002370A4">
      <w:pPr>
        <w:pStyle w:val="SingleTxtG"/>
      </w:pPr>
      <w:r w:rsidRPr="00C52B38">
        <w:t>110.</w:t>
      </w:r>
      <w:r w:rsidRPr="00C52B38">
        <w:tab/>
        <w:t xml:space="preserve">Dada la importancia de la independencia de los medios de comunicación, cada sector mediático australiano tiene sus propios mecanismos de </w:t>
      </w:r>
      <w:proofErr w:type="spellStart"/>
      <w:r w:rsidRPr="00C52B38">
        <w:t>corregulación</w:t>
      </w:r>
      <w:proofErr w:type="spellEnd"/>
      <w:r w:rsidRPr="00C52B38">
        <w:t xml:space="preserve"> o autorregulación. El Gobierno no interfiere en las decisiones editoriales de los medios comerciales o públicos. Sin </w:t>
      </w:r>
      <w:r w:rsidRPr="00C52B38">
        <w:lastRenderedPageBreak/>
        <w:t>embargo, determinados contenidos de los medios de comunicación australianos están sujetos a regulación o clasificación.</w:t>
      </w:r>
    </w:p>
    <w:p w14:paraId="1F5BE266" w14:textId="77777777" w:rsidR="000C706A" w:rsidRPr="00C52B38" w:rsidRDefault="000C706A" w:rsidP="002370A4">
      <w:pPr>
        <w:pStyle w:val="SingleTxtG"/>
      </w:pPr>
      <w:r w:rsidRPr="00C52B38">
        <w:t>111.</w:t>
      </w:r>
      <w:r w:rsidRPr="00C52B38">
        <w:tab/>
        <w:t>Los medios de comunicación australianos tienen libertad para informar sobre todos los procedimientos parlamentarios. Pueden informar sobre las decisiones judiciales, salvo en circunstancias definidas y limitadas, por ejemplo, cuando sea necesario proteger la identidad de un niño o de la víctima de un delito sexual.</w:t>
      </w:r>
    </w:p>
    <w:p w14:paraId="23091748" w14:textId="77777777" w:rsidR="000C706A" w:rsidRPr="00C52B38" w:rsidRDefault="000C706A" w:rsidP="002370A4">
      <w:pPr>
        <w:pStyle w:val="SingleTxtG"/>
      </w:pPr>
      <w:r w:rsidRPr="00C52B38">
        <w:t>112.</w:t>
      </w:r>
      <w:r w:rsidRPr="00C52B38">
        <w:tab/>
        <w:t>En Australia se conceden determinados privilegios a las organizaciones de medios de comunicación y a los periodistas, incluidas protecciones consagradas en la legislación, como:</w:t>
      </w:r>
    </w:p>
    <w:p w14:paraId="2ECEEFC9" w14:textId="514E4BDC" w:rsidR="000C706A" w:rsidRPr="00C52B38" w:rsidRDefault="000C706A" w:rsidP="00115A30">
      <w:pPr>
        <w:pStyle w:val="Bullet1G"/>
      </w:pPr>
      <w:r w:rsidRPr="00C52B38">
        <w:t>La protección de los periodistas contra la revelación de sus fuentes</w:t>
      </w:r>
      <w:r w:rsidR="00903EF5">
        <w:t>.</w:t>
      </w:r>
    </w:p>
    <w:p w14:paraId="53D1C890" w14:textId="55E31027" w:rsidR="000C706A" w:rsidRPr="00C52B38" w:rsidRDefault="000C706A" w:rsidP="00115A30">
      <w:pPr>
        <w:pStyle w:val="Bullet1G"/>
      </w:pPr>
      <w:r w:rsidRPr="00C52B38">
        <w:t>Exenciones de la aplicación de la Ley de Protección de la Vida Privada de 1988 (Commonwealth de Australia) cuando se trate de una actuación llevada a cabo en el ejercicio de la profesión periodística y cuando la organización se comprometa públicamente a respetar las normas previstas de protección de la vida privada.</w:t>
      </w:r>
    </w:p>
    <w:p w14:paraId="32080E49" w14:textId="77777777" w:rsidR="000C706A" w:rsidRPr="00C52B38" w:rsidRDefault="000C706A" w:rsidP="002370A4">
      <w:pPr>
        <w:pStyle w:val="SingleTxtG"/>
      </w:pPr>
      <w:r w:rsidRPr="00C52B38">
        <w:t>113.</w:t>
      </w:r>
      <w:r w:rsidRPr="00C52B38">
        <w:tab/>
        <w:t>Al desarrollar políticas y legislación, el Gobierno sopesa los derechos y las responsabilidades en conflicto que afectan al acceso a la información y a la libertad de expresión, incluido el logro de un equilibrio adecuado entre el interés público y los requisitos de seguridad nacional de Australia.</w:t>
      </w:r>
    </w:p>
    <w:p w14:paraId="7A18D56A" w14:textId="77777777" w:rsidR="000C706A" w:rsidRPr="00C52B38" w:rsidRDefault="000C706A" w:rsidP="00115A30">
      <w:pPr>
        <w:pStyle w:val="H23G"/>
      </w:pPr>
      <w:r w:rsidRPr="00C52B38">
        <w:tab/>
        <w:t>4.</w:t>
      </w:r>
      <w:r w:rsidRPr="00C52B38">
        <w:tab/>
        <w:t>Delincuencia y justicia</w:t>
      </w:r>
    </w:p>
    <w:p w14:paraId="25C04DFA" w14:textId="77777777" w:rsidR="000C706A" w:rsidRPr="00C52B38" w:rsidRDefault="000C706A" w:rsidP="002370A4">
      <w:pPr>
        <w:pStyle w:val="SingleTxtG"/>
      </w:pPr>
      <w:r w:rsidRPr="00C52B38">
        <w:t>114.</w:t>
      </w:r>
      <w:r w:rsidRPr="00C52B38">
        <w:tab/>
        <w:t>Los estados y los territorios son los principales responsables en asuntos de derecho penal y justicia. Los delitos sujetos a la jurisdicción del Gobierno federal están regulados por la Ley de Delitos de 1914 (Commonwealth de Australia) y la Ley del Código Penal de 1995 (Commonwealth de Australia).</w:t>
      </w:r>
    </w:p>
    <w:p w14:paraId="5D7C3D12" w14:textId="77777777" w:rsidR="000C706A" w:rsidRPr="00C52B38" w:rsidRDefault="000C706A" w:rsidP="002370A4">
      <w:pPr>
        <w:pStyle w:val="SingleTxtG"/>
      </w:pPr>
      <w:r w:rsidRPr="00C52B38">
        <w:t>115.</w:t>
      </w:r>
      <w:r w:rsidRPr="00C52B38">
        <w:tab/>
        <w:t>La pena de muerte se abolió en Australia a escala federal y territorial en 1973 mediante la aprobación de la Ley de Abolición de la Pena de Muerte de 1973 (Commonwealth de Australia). En 2010, en virtud de la Ley de Enmienda de la Legislación Penal (Prohibición de la Tortura y Abolición de la Pena de Muerte) la prohibición se hizo extensiva a todos los estados.</w:t>
      </w:r>
    </w:p>
    <w:p w14:paraId="023FBFCC" w14:textId="392A7A99" w:rsidR="000C706A" w:rsidRPr="00C52B38" w:rsidRDefault="00115A30" w:rsidP="00115A30">
      <w:pPr>
        <w:pStyle w:val="H4G"/>
      </w:pPr>
      <w:r>
        <w:tab/>
      </w:r>
      <w:r>
        <w:tab/>
      </w:r>
      <w:r w:rsidR="000C706A">
        <w:tab/>
      </w:r>
      <w:r w:rsidR="000C706A" w:rsidRPr="00C52B38">
        <w:t>Víctimas de delitos</w:t>
      </w:r>
    </w:p>
    <w:p w14:paraId="62ADA9EF" w14:textId="3B1802BB" w:rsidR="000C706A" w:rsidRPr="00C52B38" w:rsidRDefault="000C706A" w:rsidP="002370A4">
      <w:pPr>
        <w:pStyle w:val="SingleTxtG"/>
      </w:pPr>
      <w:r w:rsidRPr="00C52B38">
        <w:t>116.</w:t>
      </w:r>
      <w:r w:rsidRPr="00C52B38">
        <w:tab/>
        <w:t>En 2021, la tasa de agresiones sexuales fue de 121 víctimas por cada 100.000</w:t>
      </w:r>
      <w:r w:rsidR="00DB209B">
        <w:t> </w:t>
      </w:r>
      <w:r w:rsidRPr="00C52B38">
        <w:t>personas, y la de homicidios y delitos conexos de 1,4 víctimas por cada 100.000</w:t>
      </w:r>
      <w:r w:rsidR="00DB209B">
        <w:t> </w:t>
      </w:r>
      <w:r w:rsidRPr="00C52B38">
        <w:t>personas</w:t>
      </w:r>
      <w:r w:rsidRPr="00C52B38">
        <w:rPr>
          <w:rStyle w:val="Refdenotaalpie"/>
        </w:rPr>
        <w:footnoteReference w:id="94"/>
      </w:r>
      <w:r w:rsidRPr="00C52B38">
        <w:t>. Se registraron 153 víctimas de secuestro o rapto. Esas cifras indican una disminución de los secuestros y los homicidios con respecto a 2013. La tasa de agresiones sexuales ha aumentado de 69 víctimas por cada 100.000 personas en 2021 a 121 víctimas por cada 100.000 personas en 2021</w:t>
      </w:r>
      <w:r w:rsidRPr="00C52B38">
        <w:rPr>
          <w:rStyle w:val="Refdenotaalpie"/>
        </w:rPr>
        <w:footnoteReference w:id="95"/>
      </w:r>
      <w:r w:rsidRPr="00C52B38">
        <w:t>. Se trata de la mayor tasa de agresiones sexuales registrada por la policía en 29 años</w:t>
      </w:r>
      <w:r w:rsidRPr="00C52B38">
        <w:rPr>
          <w:rStyle w:val="Refdenotaalpie"/>
        </w:rPr>
        <w:footnoteReference w:id="96"/>
      </w:r>
      <w:r w:rsidRPr="00C52B38">
        <w:t>.</w:t>
      </w:r>
    </w:p>
    <w:p w14:paraId="3B5D11D7" w14:textId="77777777" w:rsidR="000C706A" w:rsidRPr="00C52B38" w:rsidRDefault="000C706A" w:rsidP="002370A4">
      <w:pPr>
        <w:pStyle w:val="SingleTxtG"/>
      </w:pPr>
      <w:r w:rsidRPr="00C52B38">
        <w:t>117.</w:t>
      </w:r>
      <w:r w:rsidRPr="00C52B38">
        <w:tab/>
        <w:t>Si bien no se dispone de datos recientes a escala nacional sobre las indemnizaciones a las víctimas de delitos, en el período 2011-2012 se destinaron unos 177 millones de dólares a ese fin</w:t>
      </w:r>
      <w:r w:rsidRPr="00C52B38">
        <w:rPr>
          <w:rStyle w:val="Refdenotaalpie"/>
        </w:rPr>
        <w:footnoteReference w:id="97"/>
      </w:r>
      <w:r w:rsidRPr="00C52B38">
        <w:t xml:space="preserve">. Algunos Gobiernos de estados y territorios tienen sus propios programas de indemnización por delitos, como el Programa de Asistencia a las Víctimas en Victoria, que permite conceder indemnizaciones en función del tipo de víctima y delito. </w:t>
      </w:r>
    </w:p>
    <w:p w14:paraId="7C8231AE" w14:textId="0186318D" w:rsidR="000C706A" w:rsidRPr="00C52B38" w:rsidRDefault="000C706A" w:rsidP="00115A30">
      <w:pPr>
        <w:pStyle w:val="H4G"/>
      </w:pPr>
      <w:r>
        <w:lastRenderedPageBreak/>
        <w:tab/>
      </w:r>
      <w:r w:rsidR="00115A30">
        <w:tab/>
      </w:r>
      <w:r w:rsidRPr="00C52B38">
        <w:t>Delincuencia</w:t>
      </w:r>
    </w:p>
    <w:p w14:paraId="29B8D27A" w14:textId="77777777" w:rsidR="000C706A" w:rsidRPr="00C52B38" w:rsidRDefault="000C706A" w:rsidP="002370A4">
      <w:pPr>
        <w:pStyle w:val="SingleTxtG"/>
      </w:pPr>
      <w:bookmarkStart w:id="24" w:name="_Ref64892545"/>
      <w:r w:rsidRPr="00C52B38">
        <w:t>118.</w:t>
      </w:r>
      <w:r w:rsidRPr="00C52B38">
        <w:tab/>
        <w:t xml:space="preserve">La edad mínima de responsabilidad penal en la mayoría de las jurisdicciones australianas es de 10 años, excepto en el Territorio del Norte donde es de 12 años. Los niños menores de esa edad no pueden ser acusados de un delito ni ser sometidos al sistema de justicia penal. Para los niños de entre 10 y 14 años (o de entre 12 y 14 años en el Territorio del Norte), la presunción </w:t>
      </w:r>
      <w:r w:rsidRPr="00C52B38">
        <w:rPr>
          <w:i/>
          <w:iCs/>
        </w:rPr>
        <w:t>iuris tantum</w:t>
      </w:r>
      <w:r w:rsidRPr="00C52B38">
        <w:t xml:space="preserve"> </w:t>
      </w:r>
      <w:r w:rsidRPr="00115A30">
        <w:rPr>
          <w:i/>
          <w:iCs/>
        </w:rPr>
        <w:t>(</w:t>
      </w:r>
      <w:proofErr w:type="spellStart"/>
      <w:r w:rsidRPr="00115A30">
        <w:rPr>
          <w:i/>
          <w:iCs/>
        </w:rPr>
        <w:t>doli</w:t>
      </w:r>
      <w:proofErr w:type="spellEnd"/>
      <w:r w:rsidRPr="00115A30">
        <w:rPr>
          <w:i/>
          <w:iCs/>
        </w:rPr>
        <w:t xml:space="preserve"> </w:t>
      </w:r>
      <w:proofErr w:type="spellStart"/>
      <w:r w:rsidRPr="00115A30">
        <w:rPr>
          <w:i/>
          <w:iCs/>
        </w:rPr>
        <w:t>incapax</w:t>
      </w:r>
      <w:proofErr w:type="spellEnd"/>
      <w:r w:rsidRPr="00C52B38">
        <w:rPr>
          <w:i/>
          <w:iCs/>
        </w:rPr>
        <w:t>)</w:t>
      </w:r>
      <w:r w:rsidRPr="00C52B38">
        <w:t xml:space="preserve"> implica que solo se les podrá considerar penalmente responsables si se demuestra, más allá de toda duda razonable, que sabían que su conducta era moralmente reprobable o muy reprobable. Se trata de una cuestión de hecho, que la acusación debe probar.</w:t>
      </w:r>
      <w:bookmarkEnd w:id="24"/>
    </w:p>
    <w:p w14:paraId="326F6C4F" w14:textId="3B3B9780" w:rsidR="000C706A" w:rsidRPr="00C52B38" w:rsidRDefault="000C706A" w:rsidP="002370A4">
      <w:pPr>
        <w:pStyle w:val="SingleTxtG"/>
      </w:pPr>
      <w:r w:rsidRPr="00C52B38">
        <w:t>119.</w:t>
      </w:r>
      <w:r w:rsidRPr="00C52B38">
        <w:tab/>
        <w:t xml:space="preserve">La Oficina Australiana de Estadística reúne datos estadísticos sobre las actuaciones policiales contra presuntos autores de delitos, incluidos los cargos imputados a los que deben responder ante un tribunal y las actuaciones extrajudiciales, como las advertencias o las notificaciones de sanción. En 2021-2022, la policía tomó medidas contra 369.488 infractores que tenían </w:t>
      </w:r>
      <w:r w:rsidR="00903EF5">
        <w:t>10</w:t>
      </w:r>
      <w:r w:rsidRPr="00C52B38">
        <w:t xml:space="preserve"> años o más, lo que supuso un aumento del 3 % con respecto al año anterior. El número de infractores aumentó de 1.599 por cada 100.000 personas en 2020-2021 a 1.632</w:t>
      </w:r>
      <w:r w:rsidR="00903EF5">
        <w:t> </w:t>
      </w:r>
      <w:r w:rsidRPr="00C52B38">
        <w:t>por cada 100.000 personas en 2021-2022. Los tres delitos más comunes fueron los actos con intención de causar lesión (23 %), los delitos relacionados con drogas ilícitas (14</w:t>
      </w:r>
      <w:r w:rsidR="00115A30">
        <w:t> </w:t>
      </w:r>
      <w:r w:rsidRPr="00C52B38">
        <w:t>%) y delitos varios (17 %)</w:t>
      </w:r>
      <w:r w:rsidRPr="00C52B38">
        <w:rPr>
          <w:rStyle w:val="Refdenotaalpie"/>
        </w:rPr>
        <w:footnoteReference w:id="98"/>
      </w:r>
      <w:r w:rsidRPr="00C52B38">
        <w:t xml:space="preserve">. En 2021-2022 se cometieron 635 delitos de homicidio y otros delitos conexos, lo que representó una tasa de 2,8 víctimas por cada 100.000 personas de </w:t>
      </w:r>
      <w:r w:rsidR="00903EF5">
        <w:t>10</w:t>
      </w:r>
      <w:r w:rsidRPr="00C52B38">
        <w:t xml:space="preserve"> años o más de edad</w:t>
      </w:r>
      <w:r w:rsidRPr="00C52B38">
        <w:rPr>
          <w:rStyle w:val="Refdenotaalpie"/>
        </w:rPr>
        <w:footnoteReference w:id="99"/>
      </w:r>
      <w:r w:rsidRPr="00C52B38">
        <w:t>.</w:t>
      </w:r>
    </w:p>
    <w:p w14:paraId="779AF24E" w14:textId="14F693A4" w:rsidR="000C706A" w:rsidRPr="00C52B38" w:rsidRDefault="000C706A" w:rsidP="00115A30">
      <w:pPr>
        <w:pStyle w:val="H4G"/>
      </w:pPr>
      <w:r>
        <w:tab/>
      </w:r>
      <w:r w:rsidR="00115A30">
        <w:tab/>
      </w:r>
      <w:r w:rsidRPr="00C52B38">
        <w:t>Encarcelamiento</w:t>
      </w:r>
    </w:p>
    <w:p w14:paraId="0E4E91DA" w14:textId="712128EA" w:rsidR="000C706A" w:rsidRPr="00C52B38" w:rsidRDefault="000C706A" w:rsidP="002370A4">
      <w:pPr>
        <w:pStyle w:val="SingleTxtG"/>
      </w:pPr>
      <w:r w:rsidRPr="00C52B38">
        <w:t>120.</w:t>
      </w:r>
      <w:r w:rsidRPr="00C52B38">
        <w:tab/>
        <w:t>En 2022 había 14.864 personas en espera de sentencia en las prisiones australianas, lo que representaba el 37 % de la población reclusa</w:t>
      </w:r>
      <w:r w:rsidRPr="00C52B38">
        <w:rPr>
          <w:rStyle w:val="Refdenotaalpie"/>
        </w:rPr>
        <w:footnoteReference w:id="100"/>
      </w:r>
      <w:r w:rsidRPr="00C52B38">
        <w:t>. Las personas en prisión preventiva no suelen estar en las mismas instalaciones que las personas que cumplen condena. Hasta el 30</w:t>
      </w:r>
      <w:r w:rsidR="00115A30">
        <w:t> </w:t>
      </w:r>
      <w:r w:rsidRPr="00C52B38">
        <w:t>de junio de 2020, la duración media de la prisión preventiva era de 3,4 meses.</w:t>
      </w:r>
    </w:p>
    <w:p w14:paraId="773E00E1" w14:textId="77777777" w:rsidR="000C706A" w:rsidRPr="00C52B38" w:rsidRDefault="000C706A" w:rsidP="002370A4">
      <w:pPr>
        <w:pStyle w:val="SingleTxtG"/>
      </w:pPr>
      <w:r w:rsidRPr="00C52B38">
        <w:t>121.</w:t>
      </w:r>
      <w:r w:rsidRPr="00C52B38">
        <w:tab/>
        <w:t>En 2022, el número de presos adultos en Australia era de 40.591, y la tasa de encarcelamiento a escala nacional se redujo de 214 presos por cada 100.000 adultos en 2021 a 201 presos por cada 100.000 adultos en 2022, lo que supuso un descenso del 6 %</w:t>
      </w:r>
      <w:r w:rsidRPr="00C52B38">
        <w:rPr>
          <w:rStyle w:val="Refdenotaalpie"/>
        </w:rPr>
        <w:footnoteReference w:id="101"/>
      </w:r>
      <w:r w:rsidRPr="00C52B38">
        <w:t>. Los delitos más comunes cometidos por los reclusos fueron los actos con intención de causar lesión, los delitos relacionados con drogas ilícitas, agresiones sexuales y delitos conexos. La duración media de las penas de prisión impuestas por esos delitos fue de 1,8 años, 4,2 años y 7,5 años, respectivamente</w:t>
      </w:r>
      <w:r w:rsidRPr="00C52B38">
        <w:rPr>
          <w:rStyle w:val="Refdenotaalpie"/>
        </w:rPr>
        <w:footnoteReference w:id="102"/>
      </w:r>
      <w:r w:rsidRPr="00C52B38">
        <w:t>.</w:t>
      </w:r>
    </w:p>
    <w:p w14:paraId="20B4A9C8" w14:textId="4B393862" w:rsidR="000C706A" w:rsidRPr="00C52B38" w:rsidRDefault="000C706A" w:rsidP="002370A4">
      <w:pPr>
        <w:pStyle w:val="SingleTxtG"/>
      </w:pPr>
      <w:r w:rsidRPr="00C52B38">
        <w:t>122.</w:t>
      </w:r>
      <w:r w:rsidRPr="00C52B38">
        <w:tab/>
        <w:t>En 2022, el 31,8 % de los presos eran aborígenes e isleños del estrecho de Torres, frente al 67,6 % que no eran indígenas</w:t>
      </w:r>
      <w:r w:rsidRPr="00C52B38">
        <w:rPr>
          <w:rStyle w:val="Refdenotaalpie"/>
        </w:rPr>
        <w:footnoteReference w:id="103"/>
      </w:r>
      <w:r w:rsidRPr="00C52B38">
        <w:t>. La tasa de encarcelamiento entre los indígenas</w:t>
      </w:r>
      <w:r w:rsidR="0044590D">
        <w:t> </w:t>
      </w:r>
      <w:r w:rsidRPr="00C52B38">
        <w:t>australianos es de 2.330 presos por cada 100.000 aborígenes e isleños del estrecho de Torres.</w:t>
      </w:r>
    </w:p>
    <w:p w14:paraId="4DE222D1" w14:textId="43D25C17" w:rsidR="000C706A" w:rsidRPr="00C52B38" w:rsidRDefault="000C706A" w:rsidP="002370A4">
      <w:pPr>
        <w:pStyle w:val="SingleTxtG"/>
      </w:pPr>
      <w:r w:rsidRPr="00C52B38">
        <w:t>123.</w:t>
      </w:r>
      <w:r w:rsidRPr="00C52B38">
        <w:tab/>
        <w:t>Desde enero de 2023 han muerto 43 personas que se encontraban privadas de libertad</w:t>
      </w:r>
      <w:r w:rsidRPr="00C52B38">
        <w:rPr>
          <w:rStyle w:val="Refdenotaalpie"/>
        </w:rPr>
        <w:footnoteReference w:id="104"/>
      </w:r>
      <w:r w:rsidRPr="00C52B38">
        <w:t>. La tasa de muertes durante la reclusión no ha variado en la última década y en</w:t>
      </w:r>
      <w:r w:rsidR="00115A30">
        <w:t> </w:t>
      </w:r>
      <w:r w:rsidRPr="00C52B38">
        <w:t>2022 era de 0,21 muertes por cada 100 reclusos</w:t>
      </w:r>
      <w:r w:rsidRPr="00C52B38">
        <w:rPr>
          <w:rStyle w:val="Refdenotaalpie"/>
        </w:rPr>
        <w:footnoteReference w:id="105"/>
      </w:r>
      <w:r w:rsidRPr="00C52B38">
        <w:t xml:space="preserve">. Uno de cada cinco reclusos fallecidos era aborigen o isleño del estrecho de Torres. La mayoría de las muertes por causa natural fueron de reclusos de 55 años o más y casi todas las muertes por ahorcamiento fueron de reclusos menores de 55 años. En 2021-2022 se produjeron 17 muertes en detención policial </w:t>
      </w:r>
      <w:r w:rsidRPr="00C52B38">
        <w:lastRenderedPageBreak/>
        <w:t>y en operaciones policiales conexas, de las que 9 ocurrieron mientras la policía estaba deteniendo o intentando detener a las personas en cuestión</w:t>
      </w:r>
      <w:r w:rsidRPr="00C52B38">
        <w:rPr>
          <w:rStyle w:val="Refdenotaalpie"/>
        </w:rPr>
        <w:footnoteReference w:id="106"/>
      </w:r>
      <w:r w:rsidRPr="00C52B38">
        <w:t>.</w:t>
      </w:r>
    </w:p>
    <w:p w14:paraId="775E7880" w14:textId="1EC6930E" w:rsidR="000C706A" w:rsidRPr="00C52B38" w:rsidRDefault="000C706A" w:rsidP="00115A30">
      <w:pPr>
        <w:pStyle w:val="H4G"/>
      </w:pPr>
      <w:r>
        <w:tab/>
      </w:r>
      <w:r w:rsidR="00115A30">
        <w:tab/>
      </w:r>
      <w:r w:rsidRPr="00C52B38">
        <w:t>Justicia juvenil</w:t>
      </w:r>
    </w:p>
    <w:p w14:paraId="7E41B8C3" w14:textId="77777777" w:rsidR="000C706A" w:rsidRPr="00C52B38" w:rsidRDefault="000C706A" w:rsidP="002370A4">
      <w:pPr>
        <w:pStyle w:val="SingleTxtG"/>
      </w:pPr>
      <w:r w:rsidRPr="00C52B38">
        <w:t>124.</w:t>
      </w:r>
      <w:r w:rsidRPr="00C52B38">
        <w:tab/>
        <w:t>El sistema de justicia juvenil se ocupa principalmente de niños y jóvenes que tienen entre 10 y 17 años en el momento de la comisión del delito, aunque existen algunas variaciones entre los estados y territorios. Una de las principales características del sistema es la supervisión de los jóvenes en la comunidad y no en centros de detención.</w:t>
      </w:r>
    </w:p>
    <w:p w14:paraId="3A5A1131" w14:textId="77777777" w:rsidR="000C706A" w:rsidRPr="00C52B38" w:rsidRDefault="000C706A" w:rsidP="002370A4">
      <w:pPr>
        <w:pStyle w:val="SingleTxtG"/>
      </w:pPr>
      <w:r w:rsidRPr="00C52B38">
        <w:t>125.</w:t>
      </w:r>
      <w:r w:rsidRPr="00C52B38">
        <w:tab/>
        <w:t>En 2021-2022, en promedio, había diariamente en Australia unos 4.536 jóvenes bajo la supervisión del sistema de justicia juvenil, el 82 % de ellos en la comunidad y el 18 % en centros de detención. El 76 % de los jóvenes privados de libertad estaban en espera de sentencia. El 96 % de los jóvenes bajo supervisión tenían 14 años o más y el 71 % de los jóvenes tenían entre 14 y 17 años cuando se les impuso el régimen de supervisión por primera vez. Los períodos de supervisión de jóvenes que se completaron en 2021-2022 tuvieron una duración media de 14 semanas</w:t>
      </w:r>
      <w:r w:rsidRPr="00C52B38">
        <w:rPr>
          <w:rStyle w:val="Refdenotaalpie"/>
        </w:rPr>
        <w:footnoteReference w:id="107"/>
      </w:r>
      <w:r w:rsidRPr="00C52B38">
        <w:t xml:space="preserve">. </w:t>
      </w:r>
    </w:p>
    <w:p w14:paraId="2C52647C" w14:textId="77777777" w:rsidR="000C706A" w:rsidRPr="00C52B38" w:rsidRDefault="000C706A" w:rsidP="002370A4">
      <w:pPr>
        <w:pStyle w:val="SingleTxtG"/>
      </w:pPr>
      <w:r w:rsidRPr="00C52B38">
        <w:t>126.</w:t>
      </w:r>
      <w:r w:rsidRPr="00C52B38">
        <w:tab/>
        <w:t>Al igual que ocurre con los adultos, los casos de jóvenes aborígenes e isleños del estrecho de Torres representan un porcentaje desproporcionadamente elevado en el sistema de justicia penal. La tasa de jóvenes aborígenes e isleños del estrecho de Torres bajo supervisión en 2021-2022 fue de 121,1 por cada 10.000, frente a la tasa de jóvenes no indígenas bajo supervisión que fue de 6,5 por cada 10.000 (la ratio de la tasa es 19)</w:t>
      </w:r>
      <w:r w:rsidRPr="00C52B38">
        <w:rPr>
          <w:rStyle w:val="Refdenotaalpie"/>
        </w:rPr>
        <w:footnoteReference w:id="108"/>
      </w:r>
      <w:r w:rsidRPr="00C52B38">
        <w:t xml:space="preserve">. </w:t>
      </w:r>
    </w:p>
    <w:p w14:paraId="6FE5C129" w14:textId="43044A1E" w:rsidR="000C706A" w:rsidRPr="00C52B38" w:rsidRDefault="000C706A" w:rsidP="00115A30">
      <w:pPr>
        <w:pStyle w:val="H4G"/>
      </w:pPr>
      <w:r>
        <w:tab/>
      </w:r>
      <w:r w:rsidR="00115A30">
        <w:tab/>
      </w:r>
      <w:r w:rsidRPr="00C52B38">
        <w:t>Sistema de justicia</w:t>
      </w:r>
    </w:p>
    <w:p w14:paraId="5C30331C" w14:textId="77777777" w:rsidR="000C706A" w:rsidRPr="00C52B38" w:rsidRDefault="000C706A" w:rsidP="002370A4">
      <w:pPr>
        <w:pStyle w:val="SingleTxtG"/>
      </w:pPr>
      <w:r w:rsidRPr="00C52B38">
        <w:t>127.</w:t>
      </w:r>
      <w:r w:rsidRPr="00C52B38">
        <w:tab/>
        <w:t>En 2020-2021, el gasto en el sistema judicial fue de unos 20.900 millones de dólares a escala nacional, el 65 % de los cuales correspondió a los servicios policiales, el 26 % a los servicios penitenciarios y el 9 % a los tribunales</w:t>
      </w:r>
      <w:r w:rsidRPr="00C52B38">
        <w:rPr>
          <w:rStyle w:val="Refdenotaalpie"/>
        </w:rPr>
        <w:footnoteReference w:id="109"/>
      </w:r>
      <w:r w:rsidRPr="00C52B38">
        <w:t>. En 2020-2021, los organismos policiales contaban con 284 agentes en activo por cada 100.000 habitantes y había unos 4,6 funcionarios judiciales por cada 100.000 habitantes (2,4 en los tribunales penales y 2,2 en los tribunales civiles)</w:t>
      </w:r>
      <w:r w:rsidRPr="00C52B38">
        <w:rPr>
          <w:rStyle w:val="Refdenotaalpie"/>
        </w:rPr>
        <w:footnoteReference w:id="110"/>
      </w:r>
      <w:r w:rsidRPr="00C52B38">
        <w:t>.</w:t>
      </w:r>
    </w:p>
    <w:p w14:paraId="4025A4B2" w14:textId="01261637" w:rsidR="000C706A" w:rsidRPr="00C52B38" w:rsidRDefault="000C706A" w:rsidP="002370A4">
      <w:pPr>
        <w:pStyle w:val="SingleTxtG"/>
      </w:pPr>
      <w:r w:rsidRPr="00C52B38">
        <w:t>128.</w:t>
      </w:r>
      <w:r w:rsidRPr="00C52B38">
        <w:tab/>
        <w:t>En 2021-2022, los tribunales penales de los estados y de los territorios resolvieron los casos de 506.212 acusados. De los casos que terminaron en un tribunal superior, el 87 % recibieron un veredicto definitivo, el 9 % fueron retirados por la fiscalía y el 3 % fueron transferidos a otras instancias judiciales. La duración media de la tramitación de los casos en todos los tribunales penales fue de 9,1 semanas, ligeramente mayor que los años anteriores (10,3 semanas en 2020-2021, 7,9 semanas en 2019-2020, 7,0 semanas en 2018-2019, 6,7</w:t>
      </w:r>
      <w:r w:rsidR="00115A30">
        <w:t> </w:t>
      </w:r>
      <w:r w:rsidRPr="00C52B38">
        <w:t>semanas en 2017-2018 y 6,9 semanas en 2016-2017). La eficacia del proceso varía según los tribunales; el tiempo medio de resolución de los casos fue de 36,4 semanas en los tribunales superiores, 11,4 semanas en los tribunales de menores y 8,3 semanas en los juzgados de paz</w:t>
      </w:r>
      <w:r w:rsidRPr="00C52B38">
        <w:rPr>
          <w:rStyle w:val="Refdenotaalpie"/>
        </w:rPr>
        <w:footnoteReference w:id="111"/>
      </w:r>
      <w:r w:rsidRPr="00C52B38">
        <w:t>.</w:t>
      </w:r>
    </w:p>
    <w:p w14:paraId="7F2C0D3D" w14:textId="77777777" w:rsidR="000C706A" w:rsidRPr="00C52B38" w:rsidRDefault="000C706A" w:rsidP="002370A4">
      <w:pPr>
        <w:pStyle w:val="SingleTxtG"/>
      </w:pPr>
      <w:r w:rsidRPr="00C52B38">
        <w:t>129.</w:t>
      </w:r>
      <w:r w:rsidRPr="00C52B38">
        <w:tab/>
        <w:t xml:space="preserve">La media de casos pendientes varía según el tipo de tribunal y la jurisdicción, pero, en general, el retraso en los tribunales civiles, incluidos los Tribunales Supremos, los tribunales de distrito y los juzgados de paz, fue mayor que en los tribunales penales en todos los estados y territorios (véase la figura a continuación). El retraso se define como el número de casos clasificados según el tiempo que llevan tramitándose expresado como porcentaje </w:t>
      </w:r>
      <w:r w:rsidRPr="00C52B38">
        <w:lastRenderedPageBreak/>
        <w:t>del total de casos pendientes, y los criterios de evaluación varían en función del tipo de tribunal</w:t>
      </w:r>
      <w:r w:rsidRPr="00C52B38">
        <w:rPr>
          <w:rStyle w:val="Refdenotaalpie"/>
        </w:rPr>
        <w:footnoteReference w:id="112"/>
      </w:r>
      <w:r w:rsidRPr="00C52B38">
        <w:t>.</w:t>
      </w:r>
    </w:p>
    <w:p w14:paraId="5804CF6D" w14:textId="77777777" w:rsidR="000C706A" w:rsidRPr="00C52B38" w:rsidRDefault="000C706A" w:rsidP="00115A30">
      <w:pPr>
        <w:ind w:left="1134"/>
      </w:pPr>
      <w:r w:rsidRPr="00C52B38">
        <w:rPr>
          <w:noProof/>
        </w:rPr>
        <w:drawing>
          <wp:inline distT="0" distB="0" distL="0" distR="0" wp14:anchorId="718F5EF2" wp14:editId="243A57B0">
            <wp:extent cx="5562600" cy="39657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2459" cy="3972773"/>
                    </a:xfrm>
                    <a:prstGeom prst="rect">
                      <a:avLst/>
                    </a:prstGeom>
                    <a:noFill/>
                    <a:ln>
                      <a:noFill/>
                    </a:ln>
                  </pic:spPr>
                </pic:pic>
              </a:graphicData>
            </a:graphic>
          </wp:inline>
        </w:drawing>
      </w:r>
    </w:p>
    <w:p w14:paraId="4B966296" w14:textId="77777777" w:rsidR="000C706A" w:rsidRPr="00115A30" w:rsidRDefault="000C706A" w:rsidP="00115A30">
      <w:pPr>
        <w:spacing w:before="120" w:after="240"/>
        <w:ind w:left="1304"/>
        <w:rPr>
          <w:sz w:val="18"/>
          <w:szCs w:val="18"/>
        </w:rPr>
      </w:pPr>
      <w:r w:rsidRPr="00DB209B">
        <w:rPr>
          <w:i/>
          <w:iCs/>
          <w:sz w:val="18"/>
          <w:szCs w:val="18"/>
        </w:rPr>
        <w:t>Fuente:</w:t>
      </w:r>
      <w:r w:rsidRPr="00115A30">
        <w:rPr>
          <w:sz w:val="18"/>
          <w:szCs w:val="18"/>
        </w:rPr>
        <w:t xml:space="preserve"> Comisión de Productividad, 2016.</w:t>
      </w:r>
    </w:p>
    <w:p w14:paraId="6350F419" w14:textId="28E945D4" w:rsidR="000C706A" w:rsidRPr="00C52B38" w:rsidRDefault="000C706A" w:rsidP="00115A30">
      <w:pPr>
        <w:pStyle w:val="SingleTxtG"/>
      </w:pPr>
      <w:r w:rsidRPr="00C52B38">
        <w:t>130.</w:t>
      </w:r>
      <w:r w:rsidRPr="00C52B38">
        <w:tab/>
        <w:t>La prestación de asistencia jurídica es un mecanismo clave para garantizar la igualdad ante la ley (véanse los párrafos 189 y 229). En 2022-2023 se aprobaron el 79 % de las 96.773</w:t>
      </w:r>
      <w:r w:rsidR="0044590D">
        <w:t> </w:t>
      </w:r>
      <w:r w:rsidRPr="00C52B38">
        <w:t>solicitudes de asistencia jurídica gratuita</w:t>
      </w:r>
      <w:r w:rsidRPr="00C52B38">
        <w:rPr>
          <w:rStyle w:val="Refdenotaalpie"/>
        </w:rPr>
        <w:footnoteReference w:id="113"/>
      </w:r>
      <w:r w:rsidRPr="00C52B38">
        <w:t>.</w:t>
      </w:r>
    </w:p>
    <w:p w14:paraId="35ED4832" w14:textId="77777777" w:rsidR="000C706A" w:rsidRPr="00C52B38" w:rsidRDefault="000C706A" w:rsidP="00115A30">
      <w:pPr>
        <w:pStyle w:val="HChG"/>
      </w:pPr>
      <w:bookmarkStart w:id="25" w:name="_Toc147326777"/>
      <w:r w:rsidRPr="00C52B38">
        <w:tab/>
        <w:t>II.</w:t>
      </w:r>
      <w:r w:rsidRPr="00C52B38">
        <w:tab/>
        <w:t>Marco general de protección y promoción de los derechos humanos</w:t>
      </w:r>
      <w:bookmarkStart w:id="26" w:name="_Toc167980142"/>
      <w:bookmarkEnd w:id="25"/>
      <w:bookmarkEnd w:id="26"/>
    </w:p>
    <w:p w14:paraId="6AF76ADF" w14:textId="77777777" w:rsidR="000C706A" w:rsidRPr="00C52B38" w:rsidRDefault="000C706A" w:rsidP="00115A30">
      <w:pPr>
        <w:pStyle w:val="H1G"/>
      </w:pPr>
      <w:bookmarkStart w:id="27" w:name="_Toc147326778"/>
      <w:r w:rsidRPr="00C52B38">
        <w:tab/>
        <w:t>A.</w:t>
      </w:r>
      <w:r w:rsidRPr="00C52B38">
        <w:tab/>
        <w:t>Aceptación de las normas internacionales de derechos humanos</w:t>
      </w:r>
      <w:bookmarkStart w:id="28" w:name="_Toc167980143"/>
      <w:bookmarkEnd w:id="27"/>
      <w:bookmarkEnd w:id="28"/>
    </w:p>
    <w:p w14:paraId="30CBDC82" w14:textId="23E59002" w:rsidR="000C706A" w:rsidRDefault="000C706A" w:rsidP="002370A4">
      <w:pPr>
        <w:pStyle w:val="SingleTxtG"/>
      </w:pPr>
      <w:r w:rsidRPr="00C52B38">
        <w:t>131.</w:t>
      </w:r>
      <w:r w:rsidRPr="00C52B38">
        <w:tab/>
        <w:t xml:space="preserve">Australia tiene una larga tradición de apoyo a los derechos humanos. Ha ratificado los siete principales tratados de derechos humanos y siete de los protocolos facultativos asociados (véase el cuadro a continuación). En los cuadros </w:t>
      </w:r>
      <w:proofErr w:type="spellStart"/>
      <w:r w:rsidRPr="00C52B38">
        <w:t>A1</w:t>
      </w:r>
      <w:proofErr w:type="spellEnd"/>
      <w:r w:rsidRPr="00C52B38">
        <w:t xml:space="preserve"> y </w:t>
      </w:r>
      <w:proofErr w:type="spellStart"/>
      <w:r w:rsidRPr="00C52B38">
        <w:t>A2</w:t>
      </w:r>
      <w:proofErr w:type="spellEnd"/>
      <w:r w:rsidRPr="00C52B38">
        <w:t xml:space="preserve"> del anexo </w:t>
      </w:r>
      <w:r w:rsidR="0044590D">
        <w:t>II</w:t>
      </w:r>
      <w:r w:rsidRPr="00C52B38">
        <w:t xml:space="preserve"> se proporciona más información sobre la adhesión de Australia a los instrumentos internacionales de derechos humanos.</w:t>
      </w:r>
    </w:p>
    <w:tbl>
      <w:tblPr>
        <w:tblW w:w="9659" w:type="dxa"/>
        <w:tblInd w:w="-14" w:type="dxa"/>
        <w:tblBorders>
          <w:top w:val="single" w:sz="4" w:space="0" w:color="auto"/>
        </w:tblBorders>
        <w:tblCellMar>
          <w:left w:w="0" w:type="dxa"/>
          <w:right w:w="113" w:type="dxa"/>
        </w:tblCellMar>
        <w:tblLook w:val="04A0" w:firstRow="1" w:lastRow="0" w:firstColumn="1" w:lastColumn="0" w:noHBand="0" w:noVBand="1"/>
      </w:tblPr>
      <w:tblGrid>
        <w:gridCol w:w="2925"/>
        <w:gridCol w:w="1569"/>
        <w:gridCol w:w="1637"/>
        <w:gridCol w:w="1568"/>
        <w:gridCol w:w="1120"/>
        <w:gridCol w:w="840"/>
      </w:tblGrid>
      <w:tr w:rsidR="007F621A" w:rsidRPr="007F621A" w14:paraId="50B6FA37" w14:textId="77777777" w:rsidTr="007F621A">
        <w:trPr>
          <w:trHeight w:val="240"/>
          <w:tblHeader/>
        </w:trPr>
        <w:tc>
          <w:tcPr>
            <w:tcW w:w="2925" w:type="dxa"/>
            <w:tcBorders>
              <w:top w:val="single" w:sz="4" w:space="0" w:color="auto"/>
              <w:bottom w:val="single" w:sz="12" w:space="0" w:color="auto"/>
            </w:tcBorders>
            <w:shd w:val="clear" w:color="auto" w:fill="auto"/>
            <w:vAlign w:val="bottom"/>
          </w:tcPr>
          <w:p w14:paraId="17D7257F" w14:textId="77777777" w:rsidR="000C706A" w:rsidRPr="007F621A" w:rsidRDefault="000C706A" w:rsidP="007F621A">
            <w:pPr>
              <w:keepNext/>
              <w:keepLines/>
              <w:spacing w:before="80" w:after="80" w:line="200" w:lineRule="exact"/>
              <w:rPr>
                <w:i/>
                <w:sz w:val="16"/>
              </w:rPr>
            </w:pPr>
            <w:r w:rsidRPr="007F621A">
              <w:rPr>
                <w:i/>
                <w:iCs/>
                <w:sz w:val="16"/>
              </w:rPr>
              <w:lastRenderedPageBreak/>
              <w:t>Tratado</w:t>
            </w:r>
          </w:p>
        </w:tc>
        <w:tc>
          <w:tcPr>
            <w:tcW w:w="1569" w:type="dxa"/>
            <w:tcBorders>
              <w:top w:val="single" w:sz="4" w:space="0" w:color="auto"/>
              <w:bottom w:val="single" w:sz="12" w:space="0" w:color="auto"/>
            </w:tcBorders>
            <w:shd w:val="clear" w:color="auto" w:fill="auto"/>
            <w:vAlign w:val="bottom"/>
          </w:tcPr>
          <w:p w14:paraId="33C62A71" w14:textId="77777777" w:rsidR="000C706A" w:rsidRPr="007F621A" w:rsidRDefault="000C706A" w:rsidP="007F621A">
            <w:pPr>
              <w:keepNext/>
              <w:keepLines/>
              <w:spacing w:before="80" w:after="80" w:line="200" w:lineRule="exact"/>
              <w:rPr>
                <w:i/>
                <w:sz w:val="16"/>
              </w:rPr>
            </w:pPr>
            <w:r w:rsidRPr="007F621A">
              <w:rPr>
                <w:i/>
                <w:iCs/>
                <w:sz w:val="16"/>
              </w:rPr>
              <w:t>Ratificación</w:t>
            </w:r>
          </w:p>
        </w:tc>
        <w:tc>
          <w:tcPr>
            <w:tcW w:w="1637" w:type="dxa"/>
            <w:tcBorders>
              <w:top w:val="single" w:sz="4" w:space="0" w:color="auto"/>
              <w:bottom w:val="single" w:sz="12" w:space="0" w:color="auto"/>
            </w:tcBorders>
            <w:shd w:val="clear" w:color="auto" w:fill="auto"/>
            <w:vAlign w:val="bottom"/>
          </w:tcPr>
          <w:p w14:paraId="5456F875" w14:textId="77777777" w:rsidR="000C706A" w:rsidRPr="007F621A" w:rsidRDefault="000C706A" w:rsidP="007F621A">
            <w:pPr>
              <w:keepNext/>
              <w:keepLines/>
              <w:spacing w:before="80" w:after="80" w:line="200" w:lineRule="exact"/>
              <w:rPr>
                <w:i/>
                <w:sz w:val="16"/>
              </w:rPr>
            </w:pPr>
            <w:r w:rsidRPr="007F621A">
              <w:rPr>
                <w:i/>
                <w:iCs/>
                <w:sz w:val="16"/>
              </w:rPr>
              <w:t>Entrada en vigor</w:t>
            </w:r>
          </w:p>
        </w:tc>
        <w:tc>
          <w:tcPr>
            <w:tcW w:w="1568" w:type="dxa"/>
            <w:tcBorders>
              <w:top w:val="single" w:sz="4" w:space="0" w:color="auto"/>
              <w:bottom w:val="single" w:sz="12" w:space="0" w:color="auto"/>
            </w:tcBorders>
            <w:shd w:val="clear" w:color="auto" w:fill="auto"/>
            <w:vAlign w:val="bottom"/>
          </w:tcPr>
          <w:p w14:paraId="27867E51" w14:textId="77777777" w:rsidR="000C706A" w:rsidRPr="007F621A" w:rsidRDefault="000C706A" w:rsidP="007F621A">
            <w:pPr>
              <w:keepNext/>
              <w:keepLines/>
              <w:spacing w:before="80" w:after="80" w:line="200" w:lineRule="exact"/>
              <w:rPr>
                <w:i/>
                <w:sz w:val="16"/>
              </w:rPr>
            </w:pPr>
            <w:r w:rsidRPr="007F621A">
              <w:rPr>
                <w:i/>
                <w:iCs/>
                <w:sz w:val="16"/>
              </w:rPr>
              <w:t>Reservas</w:t>
            </w:r>
          </w:p>
        </w:tc>
        <w:tc>
          <w:tcPr>
            <w:tcW w:w="1120" w:type="dxa"/>
            <w:tcBorders>
              <w:top w:val="single" w:sz="4" w:space="0" w:color="auto"/>
              <w:bottom w:val="single" w:sz="12" w:space="0" w:color="auto"/>
            </w:tcBorders>
            <w:shd w:val="clear" w:color="auto" w:fill="auto"/>
            <w:vAlign w:val="bottom"/>
          </w:tcPr>
          <w:p w14:paraId="6DA8ACC9" w14:textId="77777777" w:rsidR="000C706A" w:rsidRPr="007F621A" w:rsidRDefault="000C706A" w:rsidP="007F621A">
            <w:pPr>
              <w:keepNext/>
              <w:keepLines/>
              <w:spacing w:before="80" w:after="80" w:line="200" w:lineRule="exact"/>
              <w:rPr>
                <w:i/>
                <w:sz w:val="16"/>
              </w:rPr>
            </w:pPr>
            <w:r w:rsidRPr="007F621A">
              <w:rPr>
                <w:i/>
                <w:iCs/>
                <w:sz w:val="16"/>
              </w:rPr>
              <w:t>Declaraciones</w:t>
            </w:r>
          </w:p>
        </w:tc>
        <w:tc>
          <w:tcPr>
            <w:tcW w:w="840" w:type="dxa"/>
            <w:tcBorders>
              <w:top w:val="single" w:sz="4" w:space="0" w:color="auto"/>
              <w:bottom w:val="single" w:sz="12" w:space="0" w:color="auto"/>
            </w:tcBorders>
            <w:shd w:val="clear" w:color="auto" w:fill="auto"/>
            <w:vAlign w:val="bottom"/>
          </w:tcPr>
          <w:p w14:paraId="7AF9802B" w14:textId="77777777" w:rsidR="000C706A" w:rsidRPr="007F621A" w:rsidRDefault="000C706A" w:rsidP="007F621A">
            <w:pPr>
              <w:keepNext/>
              <w:keepLines/>
              <w:spacing w:before="80" w:after="80" w:line="200" w:lineRule="exact"/>
              <w:rPr>
                <w:i/>
                <w:sz w:val="16"/>
              </w:rPr>
            </w:pPr>
            <w:r w:rsidRPr="007F621A">
              <w:rPr>
                <w:i/>
                <w:iCs/>
                <w:sz w:val="16"/>
              </w:rPr>
              <w:t>Enmiendas</w:t>
            </w:r>
          </w:p>
        </w:tc>
      </w:tr>
      <w:tr w:rsidR="007F621A" w:rsidRPr="007F621A" w14:paraId="74056820" w14:textId="77777777" w:rsidTr="007F621A">
        <w:trPr>
          <w:trHeight w:hRule="exact" w:val="113"/>
          <w:tblHeader/>
        </w:trPr>
        <w:tc>
          <w:tcPr>
            <w:tcW w:w="2925" w:type="dxa"/>
            <w:tcBorders>
              <w:top w:val="single" w:sz="12" w:space="0" w:color="auto"/>
            </w:tcBorders>
            <w:shd w:val="clear" w:color="auto" w:fill="auto"/>
          </w:tcPr>
          <w:p w14:paraId="16A9EEEB" w14:textId="77777777" w:rsidR="000C706A" w:rsidRPr="007F621A" w:rsidRDefault="000C706A" w:rsidP="007F621A">
            <w:pPr>
              <w:keepNext/>
              <w:keepLines/>
              <w:spacing w:before="40" w:after="120"/>
            </w:pPr>
          </w:p>
        </w:tc>
        <w:tc>
          <w:tcPr>
            <w:tcW w:w="1569" w:type="dxa"/>
            <w:tcBorders>
              <w:top w:val="single" w:sz="12" w:space="0" w:color="auto"/>
            </w:tcBorders>
            <w:shd w:val="clear" w:color="auto" w:fill="auto"/>
          </w:tcPr>
          <w:p w14:paraId="103F662C" w14:textId="77777777" w:rsidR="000C706A" w:rsidRPr="007F621A" w:rsidRDefault="000C706A" w:rsidP="007F621A">
            <w:pPr>
              <w:keepNext/>
              <w:keepLines/>
              <w:spacing w:before="40" w:after="120"/>
            </w:pPr>
          </w:p>
        </w:tc>
        <w:tc>
          <w:tcPr>
            <w:tcW w:w="1637" w:type="dxa"/>
            <w:tcBorders>
              <w:top w:val="single" w:sz="12" w:space="0" w:color="auto"/>
            </w:tcBorders>
            <w:shd w:val="clear" w:color="auto" w:fill="auto"/>
          </w:tcPr>
          <w:p w14:paraId="6B3F4D52" w14:textId="77777777" w:rsidR="000C706A" w:rsidRPr="007F621A" w:rsidRDefault="000C706A" w:rsidP="007F621A">
            <w:pPr>
              <w:keepNext/>
              <w:keepLines/>
              <w:spacing w:before="40" w:after="120"/>
            </w:pPr>
          </w:p>
        </w:tc>
        <w:tc>
          <w:tcPr>
            <w:tcW w:w="1568" w:type="dxa"/>
            <w:tcBorders>
              <w:top w:val="single" w:sz="12" w:space="0" w:color="auto"/>
            </w:tcBorders>
            <w:shd w:val="clear" w:color="auto" w:fill="auto"/>
          </w:tcPr>
          <w:p w14:paraId="76862A7D" w14:textId="77777777" w:rsidR="000C706A" w:rsidRPr="007F621A" w:rsidRDefault="000C706A" w:rsidP="007F621A">
            <w:pPr>
              <w:keepNext/>
              <w:keepLines/>
              <w:spacing w:before="40" w:after="120"/>
            </w:pPr>
          </w:p>
        </w:tc>
        <w:tc>
          <w:tcPr>
            <w:tcW w:w="1120" w:type="dxa"/>
            <w:tcBorders>
              <w:top w:val="single" w:sz="12" w:space="0" w:color="auto"/>
            </w:tcBorders>
            <w:shd w:val="clear" w:color="auto" w:fill="auto"/>
          </w:tcPr>
          <w:p w14:paraId="1418E63D" w14:textId="77777777" w:rsidR="000C706A" w:rsidRPr="007F621A" w:rsidRDefault="000C706A" w:rsidP="007F621A">
            <w:pPr>
              <w:keepNext/>
              <w:keepLines/>
              <w:spacing w:before="40" w:after="120"/>
            </w:pPr>
          </w:p>
        </w:tc>
        <w:tc>
          <w:tcPr>
            <w:tcW w:w="840" w:type="dxa"/>
            <w:tcBorders>
              <w:top w:val="single" w:sz="12" w:space="0" w:color="auto"/>
            </w:tcBorders>
            <w:shd w:val="clear" w:color="auto" w:fill="auto"/>
          </w:tcPr>
          <w:p w14:paraId="1A456A22" w14:textId="77777777" w:rsidR="000C706A" w:rsidRPr="007F621A" w:rsidRDefault="000C706A" w:rsidP="007F621A">
            <w:pPr>
              <w:keepNext/>
              <w:keepLines/>
              <w:spacing w:before="40" w:after="120"/>
            </w:pPr>
          </w:p>
        </w:tc>
      </w:tr>
      <w:tr w:rsidR="007F621A" w:rsidRPr="007F621A" w14:paraId="613C5991" w14:textId="77777777" w:rsidTr="007F621A">
        <w:trPr>
          <w:trHeight w:val="240"/>
        </w:trPr>
        <w:tc>
          <w:tcPr>
            <w:tcW w:w="2925" w:type="dxa"/>
            <w:shd w:val="clear" w:color="auto" w:fill="auto"/>
          </w:tcPr>
          <w:p w14:paraId="0E78824C" w14:textId="10D2527D" w:rsidR="000C706A" w:rsidRPr="007F621A" w:rsidRDefault="000C706A" w:rsidP="007F621A">
            <w:pPr>
              <w:keepNext/>
              <w:keepLines/>
              <w:spacing w:before="40" w:after="120"/>
            </w:pPr>
            <w:r w:rsidRPr="007F621A">
              <w:t>Pacto Internacional</w:t>
            </w:r>
            <w:r w:rsidR="007F621A">
              <w:t> de </w:t>
            </w:r>
            <w:r w:rsidRPr="007F621A">
              <w:t>Derechos Civiles y Políticos</w:t>
            </w:r>
          </w:p>
        </w:tc>
        <w:tc>
          <w:tcPr>
            <w:tcW w:w="1569" w:type="dxa"/>
            <w:shd w:val="clear" w:color="auto" w:fill="auto"/>
          </w:tcPr>
          <w:p w14:paraId="402B5C06" w14:textId="3839BB25" w:rsidR="000C706A" w:rsidRPr="007F621A" w:rsidRDefault="000C706A" w:rsidP="007F621A">
            <w:pPr>
              <w:keepNext/>
              <w:keepLines/>
              <w:spacing w:before="40" w:after="120"/>
            </w:pPr>
            <w:r w:rsidRPr="007F621A">
              <w:t>13 de agosto de</w:t>
            </w:r>
            <w:r w:rsidR="007F621A">
              <w:t> </w:t>
            </w:r>
            <w:r w:rsidRPr="007F621A">
              <w:t>1980</w:t>
            </w:r>
          </w:p>
        </w:tc>
        <w:tc>
          <w:tcPr>
            <w:tcW w:w="1637" w:type="dxa"/>
            <w:shd w:val="clear" w:color="auto" w:fill="auto"/>
          </w:tcPr>
          <w:p w14:paraId="5A7637C8" w14:textId="77777777" w:rsidR="000C706A" w:rsidRPr="007F621A" w:rsidRDefault="000C706A" w:rsidP="007F621A">
            <w:pPr>
              <w:keepNext/>
              <w:keepLines/>
              <w:spacing w:before="40" w:after="120"/>
            </w:pPr>
            <w:r w:rsidRPr="007F621A">
              <w:t>13 de noviembre de 1980</w:t>
            </w:r>
          </w:p>
          <w:p w14:paraId="2D06BEA3" w14:textId="542A9937" w:rsidR="000C706A" w:rsidRPr="007F621A" w:rsidRDefault="000C706A" w:rsidP="00025EB9">
            <w:pPr>
              <w:keepNext/>
              <w:keepLines/>
              <w:spacing w:before="40" w:after="120"/>
            </w:pPr>
            <w:r w:rsidRPr="007F621A">
              <w:t>(excepto art. 41 – 28 de enero de</w:t>
            </w:r>
            <w:r w:rsidR="007F621A">
              <w:t> </w:t>
            </w:r>
            <w:r w:rsidRPr="007F621A">
              <w:t>1993)</w:t>
            </w:r>
          </w:p>
        </w:tc>
        <w:tc>
          <w:tcPr>
            <w:tcW w:w="1568" w:type="dxa"/>
            <w:shd w:val="clear" w:color="auto" w:fill="auto"/>
          </w:tcPr>
          <w:p w14:paraId="76CC2F87" w14:textId="54E79ACD" w:rsidR="000C706A" w:rsidRPr="007F621A" w:rsidRDefault="000C706A" w:rsidP="007F621A">
            <w:pPr>
              <w:keepNext/>
              <w:keepLines/>
              <w:spacing w:before="40" w:after="120"/>
              <w:rPr>
                <w:lang w:val="en-US"/>
              </w:rPr>
            </w:pPr>
            <w:r w:rsidRPr="007F621A">
              <w:rPr>
                <w:lang w:val="en-US"/>
              </w:rPr>
              <w:t xml:space="preserve">art. 10, </w:t>
            </w:r>
            <w:proofErr w:type="spellStart"/>
            <w:r w:rsidRPr="007F621A">
              <w:rPr>
                <w:lang w:val="en-US"/>
              </w:rPr>
              <w:t>párrs</w:t>
            </w:r>
            <w:proofErr w:type="spellEnd"/>
            <w:r w:rsidRPr="007F621A">
              <w:rPr>
                <w:lang w:val="en-US"/>
              </w:rPr>
              <w:t>. 2</w:t>
            </w:r>
            <w:r w:rsidR="00025EB9">
              <w:rPr>
                <w:lang w:val="en-US"/>
              </w:rPr>
              <w:t> </w:t>
            </w:r>
            <w:r w:rsidRPr="007F621A">
              <w:rPr>
                <w:lang w:val="en-US"/>
              </w:rPr>
              <w:t xml:space="preserve">a), 2 b) y 3 </w:t>
            </w:r>
          </w:p>
          <w:p w14:paraId="124856B7" w14:textId="77777777" w:rsidR="000C706A" w:rsidRPr="007F621A" w:rsidRDefault="000C706A" w:rsidP="007F621A">
            <w:pPr>
              <w:keepNext/>
              <w:keepLines/>
              <w:spacing w:before="40" w:after="120"/>
            </w:pPr>
            <w:r w:rsidRPr="007F621A">
              <w:t xml:space="preserve">art. 14, párr. 6 </w:t>
            </w:r>
          </w:p>
          <w:p w14:paraId="7C3369F1" w14:textId="77777777" w:rsidR="000C706A" w:rsidRPr="007F621A" w:rsidRDefault="000C706A" w:rsidP="007F621A">
            <w:pPr>
              <w:keepNext/>
              <w:keepLines/>
              <w:spacing w:before="40" w:after="120"/>
            </w:pPr>
            <w:r w:rsidRPr="007F621A">
              <w:t>art. 20</w:t>
            </w:r>
          </w:p>
        </w:tc>
        <w:tc>
          <w:tcPr>
            <w:tcW w:w="1120" w:type="dxa"/>
            <w:shd w:val="clear" w:color="auto" w:fill="auto"/>
          </w:tcPr>
          <w:p w14:paraId="5B743CFB" w14:textId="77777777" w:rsidR="000C706A" w:rsidRPr="007F621A" w:rsidRDefault="000C706A" w:rsidP="007F621A">
            <w:pPr>
              <w:keepNext/>
              <w:keepLines/>
              <w:spacing w:before="40" w:after="120"/>
            </w:pPr>
            <w:r w:rsidRPr="007F621A">
              <w:t>Sí</w:t>
            </w:r>
          </w:p>
        </w:tc>
        <w:tc>
          <w:tcPr>
            <w:tcW w:w="840" w:type="dxa"/>
            <w:shd w:val="clear" w:color="auto" w:fill="auto"/>
          </w:tcPr>
          <w:p w14:paraId="155461E5" w14:textId="5E2B7E5E" w:rsidR="000C706A" w:rsidRPr="007F621A" w:rsidRDefault="00025EB9" w:rsidP="007F621A">
            <w:pPr>
              <w:keepNext/>
              <w:keepLines/>
              <w:spacing w:before="40" w:after="120"/>
            </w:pPr>
            <w:r>
              <w:t>–</w:t>
            </w:r>
          </w:p>
        </w:tc>
      </w:tr>
      <w:tr w:rsidR="007F621A" w:rsidRPr="007F621A" w14:paraId="2D2DCFE8" w14:textId="77777777" w:rsidTr="007F621A">
        <w:trPr>
          <w:trHeight w:val="240"/>
        </w:trPr>
        <w:tc>
          <w:tcPr>
            <w:tcW w:w="2925" w:type="dxa"/>
            <w:shd w:val="clear" w:color="auto" w:fill="auto"/>
          </w:tcPr>
          <w:p w14:paraId="63450589" w14:textId="77777777" w:rsidR="000C706A" w:rsidRPr="007F621A" w:rsidRDefault="000C706A" w:rsidP="007F621A">
            <w:pPr>
              <w:keepNext/>
              <w:keepLines/>
              <w:spacing w:before="40" w:after="120"/>
            </w:pPr>
            <w:r w:rsidRPr="007F621A">
              <w:t>Protocolo Facultativo del Pacto Internacional de Derechos Civiles y Políticos</w:t>
            </w:r>
          </w:p>
        </w:tc>
        <w:tc>
          <w:tcPr>
            <w:tcW w:w="1569" w:type="dxa"/>
            <w:shd w:val="clear" w:color="auto" w:fill="auto"/>
          </w:tcPr>
          <w:p w14:paraId="69F24E41" w14:textId="060B29C3" w:rsidR="000C706A" w:rsidRPr="007F621A" w:rsidRDefault="00025EB9" w:rsidP="007F621A">
            <w:pPr>
              <w:keepNext/>
              <w:keepLines/>
              <w:spacing w:before="40" w:after="120"/>
            </w:pPr>
            <w:r>
              <w:t>–</w:t>
            </w:r>
          </w:p>
        </w:tc>
        <w:tc>
          <w:tcPr>
            <w:tcW w:w="1637" w:type="dxa"/>
            <w:shd w:val="clear" w:color="auto" w:fill="auto"/>
          </w:tcPr>
          <w:p w14:paraId="0FB10CA0" w14:textId="77777777" w:rsidR="000C706A" w:rsidRPr="007F621A" w:rsidRDefault="000C706A" w:rsidP="007F621A">
            <w:pPr>
              <w:keepNext/>
              <w:keepLines/>
              <w:spacing w:before="40" w:after="120"/>
            </w:pPr>
            <w:r w:rsidRPr="007F621A">
              <w:t>25 de septiembre de 1991 (adhesión)</w:t>
            </w:r>
          </w:p>
        </w:tc>
        <w:tc>
          <w:tcPr>
            <w:tcW w:w="1568" w:type="dxa"/>
            <w:shd w:val="clear" w:color="auto" w:fill="auto"/>
          </w:tcPr>
          <w:p w14:paraId="163E1704" w14:textId="4413913B" w:rsidR="000C706A" w:rsidRPr="007F621A" w:rsidRDefault="00025EB9" w:rsidP="007F621A">
            <w:pPr>
              <w:keepNext/>
              <w:keepLines/>
              <w:spacing w:before="40" w:after="120"/>
            </w:pPr>
            <w:r>
              <w:t>–</w:t>
            </w:r>
          </w:p>
        </w:tc>
        <w:tc>
          <w:tcPr>
            <w:tcW w:w="1120" w:type="dxa"/>
            <w:shd w:val="clear" w:color="auto" w:fill="auto"/>
          </w:tcPr>
          <w:p w14:paraId="6705B377" w14:textId="3C1ED254" w:rsidR="000C706A" w:rsidRPr="007F621A" w:rsidRDefault="00025EB9" w:rsidP="007F621A">
            <w:pPr>
              <w:keepNext/>
              <w:keepLines/>
              <w:spacing w:before="40" w:after="120"/>
            </w:pPr>
            <w:r>
              <w:t>–</w:t>
            </w:r>
          </w:p>
        </w:tc>
        <w:tc>
          <w:tcPr>
            <w:tcW w:w="840" w:type="dxa"/>
            <w:shd w:val="clear" w:color="auto" w:fill="auto"/>
          </w:tcPr>
          <w:p w14:paraId="60C2D337" w14:textId="5EBBF524" w:rsidR="000C706A" w:rsidRPr="007F621A" w:rsidRDefault="00025EB9" w:rsidP="007F621A">
            <w:pPr>
              <w:keepNext/>
              <w:keepLines/>
              <w:spacing w:before="40" w:after="120"/>
            </w:pPr>
            <w:r>
              <w:t>–</w:t>
            </w:r>
          </w:p>
        </w:tc>
      </w:tr>
      <w:tr w:rsidR="007F621A" w:rsidRPr="007F621A" w14:paraId="1189A51A" w14:textId="77777777" w:rsidTr="007F621A">
        <w:trPr>
          <w:trHeight w:val="240"/>
        </w:trPr>
        <w:tc>
          <w:tcPr>
            <w:tcW w:w="2925" w:type="dxa"/>
            <w:shd w:val="clear" w:color="auto" w:fill="auto"/>
          </w:tcPr>
          <w:p w14:paraId="518DB279" w14:textId="77777777" w:rsidR="000C706A" w:rsidRPr="007F621A" w:rsidRDefault="000C706A" w:rsidP="007F621A">
            <w:pPr>
              <w:keepNext/>
              <w:keepLines/>
              <w:spacing w:before="40" w:after="120"/>
            </w:pPr>
            <w:r w:rsidRPr="007F621A">
              <w:t>Segundo Protocolo Facultativo del Pacto Internacional de Derechos Civiles y Políticos, destinado a abolir la pena de muerte</w:t>
            </w:r>
          </w:p>
        </w:tc>
        <w:tc>
          <w:tcPr>
            <w:tcW w:w="1569" w:type="dxa"/>
            <w:shd w:val="clear" w:color="auto" w:fill="auto"/>
          </w:tcPr>
          <w:p w14:paraId="4404B8D4" w14:textId="73E80E2E" w:rsidR="000C706A" w:rsidRPr="007F621A" w:rsidRDefault="000C706A" w:rsidP="007F621A">
            <w:pPr>
              <w:keepNext/>
              <w:keepLines/>
              <w:spacing w:before="40" w:after="120"/>
            </w:pPr>
            <w:r w:rsidRPr="007F621A">
              <w:t>2 de octubre de</w:t>
            </w:r>
            <w:r w:rsidR="007F621A">
              <w:t> </w:t>
            </w:r>
            <w:r w:rsidRPr="007F621A">
              <w:t>1990</w:t>
            </w:r>
          </w:p>
        </w:tc>
        <w:tc>
          <w:tcPr>
            <w:tcW w:w="1637" w:type="dxa"/>
            <w:shd w:val="clear" w:color="auto" w:fill="auto"/>
          </w:tcPr>
          <w:p w14:paraId="043373F0" w14:textId="582B6CF0" w:rsidR="000C706A" w:rsidRPr="007F621A" w:rsidRDefault="000C706A" w:rsidP="007F621A">
            <w:pPr>
              <w:keepNext/>
              <w:keepLines/>
              <w:spacing w:before="40" w:after="120"/>
            </w:pPr>
            <w:r w:rsidRPr="007F621A">
              <w:t>11 de julio de</w:t>
            </w:r>
            <w:r w:rsidR="00025EB9">
              <w:t> </w:t>
            </w:r>
            <w:r w:rsidRPr="007F621A">
              <w:t>1991</w:t>
            </w:r>
          </w:p>
        </w:tc>
        <w:tc>
          <w:tcPr>
            <w:tcW w:w="1568" w:type="dxa"/>
            <w:shd w:val="clear" w:color="auto" w:fill="auto"/>
          </w:tcPr>
          <w:p w14:paraId="44F36646" w14:textId="18A692F5" w:rsidR="000C706A" w:rsidRPr="007F621A" w:rsidRDefault="00025EB9" w:rsidP="007F621A">
            <w:pPr>
              <w:keepNext/>
              <w:keepLines/>
              <w:spacing w:before="40" w:after="120"/>
            </w:pPr>
            <w:r>
              <w:t>–</w:t>
            </w:r>
          </w:p>
        </w:tc>
        <w:tc>
          <w:tcPr>
            <w:tcW w:w="1120" w:type="dxa"/>
            <w:shd w:val="clear" w:color="auto" w:fill="auto"/>
          </w:tcPr>
          <w:p w14:paraId="48A76C16" w14:textId="153BDA88" w:rsidR="000C706A" w:rsidRPr="007F621A" w:rsidRDefault="00025EB9" w:rsidP="007F621A">
            <w:pPr>
              <w:keepNext/>
              <w:keepLines/>
              <w:spacing w:before="40" w:after="120"/>
            </w:pPr>
            <w:r>
              <w:t>–</w:t>
            </w:r>
          </w:p>
        </w:tc>
        <w:tc>
          <w:tcPr>
            <w:tcW w:w="840" w:type="dxa"/>
            <w:shd w:val="clear" w:color="auto" w:fill="auto"/>
          </w:tcPr>
          <w:p w14:paraId="59EA6DF8" w14:textId="60186969" w:rsidR="000C706A" w:rsidRPr="007F621A" w:rsidRDefault="00025EB9" w:rsidP="007F621A">
            <w:pPr>
              <w:keepNext/>
              <w:keepLines/>
              <w:spacing w:before="40" w:after="120"/>
            </w:pPr>
            <w:r>
              <w:t>–</w:t>
            </w:r>
          </w:p>
        </w:tc>
      </w:tr>
      <w:tr w:rsidR="007F621A" w:rsidRPr="007F621A" w14:paraId="75D46EA0" w14:textId="77777777" w:rsidTr="007F621A">
        <w:trPr>
          <w:trHeight w:val="240"/>
        </w:trPr>
        <w:tc>
          <w:tcPr>
            <w:tcW w:w="2925" w:type="dxa"/>
            <w:shd w:val="clear" w:color="auto" w:fill="auto"/>
          </w:tcPr>
          <w:p w14:paraId="688FA066" w14:textId="77777777" w:rsidR="000C706A" w:rsidRPr="007F621A" w:rsidRDefault="000C706A" w:rsidP="007F621A">
            <w:pPr>
              <w:keepNext/>
              <w:keepLines/>
              <w:spacing w:before="40" w:after="120"/>
            </w:pPr>
            <w:r w:rsidRPr="007F621A">
              <w:t>Pacto Internacional de Derechos Económicos, Sociales y Culturales</w:t>
            </w:r>
          </w:p>
        </w:tc>
        <w:tc>
          <w:tcPr>
            <w:tcW w:w="1569" w:type="dxa"/>
            <w:shd w:val="clear" w:color="auto" w:fill="auto"/>
          </w:tcPr>
          <w:p w14:paraId="69094D9B" w14:textId="77777777" w:rsidR="000C706A" w:rsidRPr="007F621A" w:rsidRDefault="000C706A" w:rsidP="007F621A">
            <w:pPr>
              <w:keepNext/>
              <w:keepLines/>
              <w:spacing w:before="40" w:after="120"/>
            </w:pPr>
            <w:r w:rsidRPr="007F621A">
              <w:t>10 de diciembre de 1975</w:t>
            </w:r>
          </w:p>
        </w:tc>
        <w:tc>
          <w:tcPr>
            <w:tcW w:w="1637" w:type="dxa"/>
            <w:shd w:val="clear" w:color="auto" w:fill="auto"/>
          </w:tcPr>
          <w:p w14:paraId="24F32A5F" w14:textId="388B8F91" w:rsidR="000C706A" w:rsidRPr="007F621A" w:rsidRDefault="000C706A" w:rsidP="007F621A">
            <w:pPr>
              <w:keepNext/>
              <w:keepLines/>
              <w:spacing w:before="40" w:after="120"/>
            </w:pPr>
            <w:r w:rsidRPr="007F621A">
              <w:t>10 de marzo de</w:t>
            </w:r>
            <w:r w:rsidR="007F621A">
              <w:t> </w:t>
            </w:r>
            <w:r w:rsidRPr="007F621A">
              <w:t>1976</w:t>
            </w:r>
          </w:p>
        </w:tc>
        <w:tc>
          <w:tcPr>
            <w:tcW w:w="1568" w:type="dxa"/>
            <w:shd w:val="clear" w:color="auto" w:fill="auto"/>
          </w:tcPr>
          <w:p w14:paraId="1FAD4A0B" w14:textId="0627FBC5" w:rsidR="000C706A" w:rsidRPr="007F621A" w:rsidRDefault="00025EB9" w:rsidP="007F621A">
            <w:pPr>
              <w:keepNext/>
              <w:keepLines/>
              <w:spacing w:before="40" w:after="120"/>
            </w:pPr>
            <w:r>
              <w:t>–</w:t>
            </w:r>
          </w:p>
        </w:tc>
        <w:tc>
          <w:tcPr>
            <w:tcW w:w="1120" w:type="dxa"/>
            <w:shd w:val="clear" w:color="auto" w:fill="auto"/>
          </w:tcPr>
          <w:p w14:paraId="55FE3F11" w14:textId="5BF306A6" w:rsidR="000C706A" w:rsidRPr="007F621A" w:rsidRDefault="00025EB9" w:rsidP="007F621A">
            <w:pPr>
              <w:keepNext/>
              <w:keepLines/>
              <w:spacing w:before="40" w:after="120"/>
            </w:pPr>
            <w:r>
              <w:t>–</w:t>
            </w:r>
          </w:p>
        </w:tc>
        <w:tc>
          <w:tcPr>
            <w:tcW w:w="840" w:type="dxa"/>
            <w:shd w:val="clear" w:color="auto" w:fill="auto"/>
          </w:tcPr>
          <w:p w14:paraId="15C65C6D" w14:textId="2D29F0DE" w:rsidR="000C706A" w:rsidRPr="007F621A" w:rsidRDefault="00025EB9" w:rsidP="007F621A">
            <w:pPr>
              <w:keepNext/>
              <w:keepLines/>
              <w:spacing w:before="40" w:after="120"/>
            </w:pPr>
            <w:r>
              <w:t>–</w:t>
            </w:r>
          </w:p>
        </w:tc>
      </w:tr>
      <w:tr w:rsidR="007F621A" w:rsidRPr="007F621A" w14:paraId="785B64F2" w14:textId="77777777" w:rsidTr="007F621A">
        <w:trPr>
          <w:trHeight w:val="240"/>
        </w:trPr>
        <w:tc>
          <w:tcPr>
            <w:tcW w:w="2925" w:type="dxa"/>
            <w:shd w:val="clear" w:color="auto" w:fill="auto"/>
          </w:tcPr>
          <w:p w14:paraId="71A4F6B2" w14:textId="23A84E0F" w:rsidR="000C706A" w:rsidRPr="007F621A" w:rsidRDefault="000C706A" w:rsidP="007F621A">
            <w:pPr>
              <w:keepNext/>
              <w:keepLines/>
              <w:spacing w:before="40" w:after="120"/>
            </w:pPr>
            <w:r w:rsidRPr="007F621A">
              <w:t xml:space="preserve">Convención </w:t>
            </w:r>
            <w:r w:rsidR="00ED30FC">
              <w:t>contra</w:t>
            </w:r>
            <w:r w:rsidRPr="007F621A">
              <w:t xml:space="preserve"> la Tortura y Otros Tratos o Penas Crueles, Inhumanos o Degradantes</w:t>
            </w:r>
          </w:p>
        </w:tc>
        <w:tc>
          <w:tcPr>
            <w:tcW w:w="1569" w:type="dxa"/>
            <w:shd w:val="clear" w:color="auto" w:fill="auto"/>
          </w:tcPr>
          <w:p w14:paraId="6098ED31" w14:textId="2A495AA7" w:rsidR="000C706A" w:rsidRPr="007F621A" w:rsidRDefault="000C706A" w:rsidP="007F621A">
            <w:pPr>
              <w:keepNext/>
              <w:keepLines/>
              <w:spacing w:before="40" w:after="120"/>
            </w:pPr>
            <w:r w:rsidRPr="007F621A">
              <w:t>8 de agosto de</w:t>
            </w:r>
            <w:r w:rsidR="007F621A">
              <w:t> </w:t>
            </w:r>
            <w:r w:rsidRPr="007F621A">
              <w:t>1989</w:t>
            </w:r>
          </w:p>
        </w:tc>
        <w:tc>
          <w:tcPr>
            <w:tcW w:w="1637" w:type="dxa"/>
            <w:shd w:val="clear" w:color="auto" w:fill="auto"/>
          </w:tcPr>
          <w:p w14:paraId="65D06B9B" w14:textId="4E2027BB" w:rsidR="000C706A" w:rsidRPr="007F621A" w:rsidRDefault="000C706A" w:rsidP="007F621A">
            <w:pPr>
              <w:keepNext/>
              <w:keepLines/>
              <w:spacing w:before="40" w:after="120"/>
            </w:pPr>
            <w:r w:rsidRPr="007F621A">
              <w:t>26 de junio de</w:t>
            </w:r>
            <w:r w:rsidR="007F621A">
              <w:t> </w:t>
            </w:r>
            <w:r w:rsidRPr="007F621A">
              <w:t>1987</w:t>
            </w:r>
          </w:p>
        </w:tc>
        <w:tc>
          <w:tcPr>
            <w:tcW w:w="1568" w:type="dxa"/>
            <w:shd w:val="clear" w:color="auto" w:fill="auto"/>
          </w:tcPr>
          <w:p w14:paraId="07BD0E5A" w14:textId="4D163E3D" w:rsidR="000C706A" w:rsidRPr="007F621A" w:rsidRDefault="00025EB9" w:rsidP="007F621A">
            <w:pPr>
              <w:keepNext/>
              <w:keepLines/>
              <w:spacing w:before="40" w:after="120"/>
            </w:pPr>
            <w:r>
              <w:t>–</w:t>
            </w:r>
          </w:p>
        </w:tc>
        <w:tc>
          <w:tcPr>
            <w:tcW w:w="1120" w:type="dxa"/>
            <w:shd w:val="clear" w:color="auto" w:fill="auto"/>
          </w:tcPr>
          <w:p w14:paraId="7ADC3B87" w14:textId="77777777" w:rsidR="000C706A" w:rsidRPr="007F621A" w:rsidRDefault="000C706A" w:rsidP="007F621A">
            <w:pPr>
              <w:keepNext/>
              <w:keepLines/>
              <w:spacing w:before="40" w:after="120"/>
            </w:pPr>
            <w:r w:rsidRPr="007F621A">
              <w:t>Sí</w:t>
            </w:r>
          </w:p>
        </w:tc>
        <w:tc>
          <w:tcPr>
            <w:tcW w:w="840" w:type="dxa"/>
            <w:shd w:val="clear" w:color="auto" w:fill="auto"/>
          </w:tcPr>
          <w:p w14:paraId="6DE4AA05" w14:textId="77777777" w:rsidR="000C706A" w:rsidRPr="007F621A" w:rsidRDefault="000C706A" w:rsidP="007F621A">
            <w:pPr>
              <w:keepNext/>
              <w:keepLines/>
              <w:spacing w:before="40" w:after="120"/>
            </w:pPr>
            <w:r w:rsidRPr="007F621A">
              <w:t>Sí</w:t>
            </w:r>
          </w:p>
        </w:tc>
      </w:tr>
      <w:tr w:rsidR="007F621A" w:rsidRPr="007F621A" w14:paraId="493CC829" w14:textId="77777777" w:rsidTr="007F621A">
        <w:trPr>
          <w:trHeight w:val="240"/>
        </w:trPr>
        <w:tc>
          <w:tcPr>
            <w:tcW w:w="2925" w:type="dxa"/>
            <w:shd w:val="clear" w:color="auto" w:fill="auto"/>
          </w:tcPr>
          <w:p w14:paraId="653C7DBD" w14:textId="77777777" w:rsidR="000C706A" w:rsidRPr="007F621A" w:rsidRDefault="000C706A" w:rsidP="007F621A">
            <w:pPr>
              <w:keepNext/>
              <w:keepLines/>
              <w:spacing w:before="40" w:after="120"/>
            </w:pPr>
            <w:r w:rsidRPr="007F621A">
              <w:t>Protocolo Facultativo de la Convención contra la Tortura y Otros Tratos o Penas Crueles, Inhumanos o Degradantes</w:t>
            </w:r>
          </w:p>
        </w:tc>
        <w:tc>
          <w:tcPr>
            <w:tcW w:w="1569" w:type="dxa"/>
            <w:shd w:val="clear" w:color="auto" w:fill="auto"/>
          </w:tcPr>
          <w:p w14:paraId="5CB0B62B" w14:textId="77777777" w:rsidR="000C706A" w:rsidRPr="007F621A" w:rsidRDefault="000C706A" w:rsidP="007F621A">
            <w:pPr>
              <w:keepNext/>
              <w:keepLines/>
              <w:spacing w:before="40" w:after="120"/>
            </w:pPr>
            <w:r w:rsidRPr="007F621A">
              <w:t>21 de diciembre de 2017</w:t>
            </w:r>
          </w:p>
        </w:tc>
        <w:tc>
          <w:tcPr>
            <w:tcW w:w="1637" w:type="dxa"/>
            <w:shd w:val="clear" w:color="auto" w:fill="auto"/>
          </w:tcPr>
          <w:p w14:paraId="024968CA" w14:textId="1A3B415F" w:rsidR="000C706A" w:rsidRPr="007F621A" w:rsidRDefault="000C706A" w:rsidP="007F621A">
            <w:pPr>
              <w:keepNext/>
              <w:keepLines/>
              <w:spacing w:before="40" w:after="120"/>
            </w:pPr>
            <w:r w:rsidRPr="007F621A">
              <w:t>20 de enero de</w:t>
            </w:r>
            <w:r w:rsidR="007F621A">
              <w:t> </w:t>
            </w:r>
            <w:r w:rsidRPr="007F621A">
              <w:t>2018</w:t>
            </w:r>
          </w:p>
        </w:tc>
        <w:tc>
          <w:tcPr>
            <w:tcW w:w="1568" w:type="dxa"/>
            <w:shd w:val="clear" w:color="auto" w:fill="auto"/>
          </w:tcPr>
          <w:p w14:paraId="5545C6B4" w14:textId="6D1FA175" w:rsidR="000C706A" w:rsidRPr="007F621A" w:rsidRDefault="00025EB9" w:rsidP="007F621A">
            <w:pPr>
              <w:keepNext/>
              <w:keepLines/>
              <w:spacing w:before="40" w:after="120"/>
            </w:pPr>
            <w:r>
              <w:t>–</w:t>
            </w:r>
          </w:p>
        </w:tc>
        <w:tc>
          <w:tcPr>
            <w:tcW w:w="1120" w:type="dxa"/>
            <w:shd w:val="clear" w:color="auto" w:fill="auto"/>
          </w:tcPr>
          <w:p w14:paraId="70E4BF82" w14:textId="77777777" w:rsidR="000C706A" w:rsidRPr="007F621A" w:rsidRDefault="000C706A" w:rsidP="007F621A">
            <w:pPr>
              <w:keepNext/>
              <w:keepLines/>
              <w:spacing w:before="40" w:after="120"/>
            </w:pPr>
            <w:r w:rsidRPr="007F621A">
              <w:t>Sí</w:t>
            </w:r>
          </w:p>
        </w:tc>
        <w:tc>
          <w:tcPr>
            <w:tcW w:w="840" w:type="dxa"/>
            <w:shd w:val="clear" w:color="auto" w:fill="auto"/>
          </w:tcPr>
          <w:p w14:paraId="1293C016" w14:textId="239D8874" w:rsidR="000C706A" w:rsidRPr="007F621A" w:rsidRDefault="00025EB9" w:rsidP="007F621A">
            <w:pPr>
              <w:keepNext/>
              <w:keepLines/>
              <w:spacing w:before="40" w:after="120"/>
            </w:pPr>
            <w:r>
              <w:t>–</w:t>
            </w:r>
          </w:p>
        </w:tc>
      </w:tr>
      <w:tr w:rsidR="007F621A" w:rsidRPr="007F621A" w14:paraId="121C4555" w14:textId="77777777" w:rsidTr="007F621A">
        <w:trPr>
          <w:trHeight w:val="240"/>
        </w:trPr>
        <w:tc>
          <w:tcPr>
            <w:tcW w:w="2925" w:type="dxa"/>
            <w:shd w:val="clear" w:color="auto" w:fill="auto"/>
          </w:tcPr>
          <w:p w14:paraId="3BD7A144" w14:textId="77777777" w:rsidR="000C706A" w:rsidRPr="007F621A" w:rsidRDefault="000C706A" w:rsidP="007F621A">
            <w:pPr>
              <w:keepNext/>
              <w:keepLines/>
              <w:spacing w:before="40" w:after="120"/>
            </w:pPr>
            <w:r w:rsidRPr="007F621A">
              <w:t>Convención sobre la Eliminación de Todas las Formas de Discriminación contra la Mujer</w:t>
            </w:r>
          </w:p>
        </w:tc>
        <w:tc>
          <w:tcPr>
            <w:tcW w:w="1569" w:type="dxa"/>
            <w:shd w:val="clear" w:color="auto" w:fill="auto"/>
          </w:tcPr>
          <w:p w14:paraId="5A527569" w14:textId="137DACD5" w:rsidR="000C706A" w:rsidRPr="007F621A" w:rsidRDefault="000C706A" w:rsidP="007F621A">
            <w:pPr>
              <w:keepNext/>
              <w:keepLines/>
              <w:spacing w:before="40" w:after="120"/>
            </w:pPr>
            <w:r w:rsidRPr="007F621A">
              <w:t>28 de julio de</w:t>
            </w:r>
            <w:r w:rsidR="007F621A">
              <w:t> </w:t>
            </w:r>
            <w:r w:rsidRPr="007F621A">
              <w:t>1983</w:t>
            </w:r>
          </w:p>
        </w:tc>
        <w:tc>
          <w:tcPr>
            <w:tcW w:w="1637" w:type="dxa"/>
            <w:shd w:val="clear" w:color="auto" w:fill="auto"/>
          </w:tcPr>
          <w:p w14:paraId="286F1077" w14:textId="4DE49308" w:rsidR="000C706A" w:rsidRPr="007F621A" w:rsidRDefault="000C706A" w:rsidP="007F621A">
            <w:pPr>
              <w:keepNext/>
              <w:keepLines/>
              <w:spacing w:before="40" w:after="120"/>
            </w:pPr>
            <w:r w:rsidRPr="007F621A">
              <w:t>27 de agosto de</w:t>
            </w:r>
            <w:r w:rsidR="007F621A">
              <w:t> </w:t>
            </w:r>
            <w:r w:rsidRPr="007F621A">
              <w:t>1983</w:t>
            </w:r>
          </w:p>
        </w:tc>
        <w:tc>
          <w:tcPr>
            <w:tcW w:w="1568" w:type="dxa"/>
            <w:shd w:val="clear" w:color="auto" w:fill="auto"/>
          </w:tcPr>
          <w:p w14:paraId="47D77E78" w14:textId="77777777" w:rsidR="000C706A" w:rsidRPr="007F621A" w:rsidRDefault="000C706A" w:rsidP="007F621A">
            <w:pPr>
              <w:keepNext/>
              <w:keepLines/>
              <w:spacing w:before="40" w:after="120"/>
            </w:pPr>
            <w:r w:rsidRPr="007F621A">
              <w:t>art. 11, párr. 2</w:t>
            </w:r>
          </w:p>
        </w:tc>
        <w:tc>
          <w:tcPr>
            <w:tcW w:w="1120" w:type="dxa"/>
            <w:shd w:val="clear" w:color="auto" w:fill="auto"/>
          </w:tcPr>
          <w:p w14:paraId="311BA83F" w14:textId="77777777" w:rsidR="000C706A" w:rsidRPr="007F621A" w:rsidRDefault="000C706A" w:rsidP="007F621A">
            <w:pPr>
              <w:keepNext/>
              <w:keepLines/>
              <w:spacing w:before="40" w:after="120"/>
            </w:pPr>
            <w:r w:rsidRPr="007F621A">
              <w:t>Sí</w:t>
            </w:r>
          </w:p>
        </w:tc>
        <w:tc>
          <w:tcPr>
            <w:tcW w:w="840" w:type="dxa"/>
            <w:shd w:val="clear" w:color="auto" w:fill="auto"/>
          </w:tcPr>
          <w:p w14:paraId="0D124CE3" w14:textId="28EEA092" w:rsidR="000C706A" w:rsidRPr="007F621A" w:rsidRDefault="00025EB9" w:rsidP="007F621A">
            <w:pPr>
              <w:keepNext/>
              <w:keepLines/>
              <w:spacing w:before="40" w:after="120"/>
            </w:pPr>
            <w:r>
              <w:t>–</w:t>
            </w:r>
          </w:p>
        </w:tc>
      </w:tr>
      <w:tr w:rsidR="007F621A" w:rsidRPr="007F621A" w14:paraId="78B9B72B" w14:textId="77777777" w:rsidTr="007F621A">
        <w:trPr>
          <w:trHeight w:val="240"/>
        </w:trPr>
        <w:tc>
          <w:tcPr>
            <w:tcW w:w="2925" w:type="dxa"/>
            <w:shd w:val="clear" w:color="auto" w:fill="auto"/>
          </w:tcPr>
          <w:p w14:paraId="619C8F70" w14:textId="77777777" w:rsidR="000C706A" w:rsidRPr="007F621A" w:rsidRDefault="000C706A" w:rsidP="007F621A">
            <w:pPr>
              <w:keepNext/>
              <w:keepLines/>
              <w:spacing w:before="40" w:after="120"/>
            </w:pPr>
            <w:r w:rsidRPr="007F621A">
              <w:t>Protocolo Facultativo de la Convención sobre la Eliminación de Todas las Formas de Discriminación contra la Mujer</w:t>
            </w:r>
          </w:p>
        </w:tc>
        <w:tc>
          <w:tcPr>
            <w:tcW w:w="1569" w:type="dxa"/>
            <w:shd w:val="clear" w:color="auto" w:fill="auto"/>
          </w:tcPr>
          <w:p w14:paraId="4E37B96B" w14:textId="4C7F4B72" w:rsidR="000C706A" w:rsidRPr="007F621A" w:rsidRDefault="00025EB9" w:rsidP="007F621A">
            <w:pPr>
              <w:keepNext/>
              <w:keepLines/>
              <w:spacing w:before="40" w:after="120"/>
            </w:pPr>
            <w:r>
              <w:t>–</w:t>
            </w:r>
          </w:p>
        </w:tc>
        <w:tc>
          <w:tcPr>
            <w:tcW w:w="1637" w:type="dxa"/>
            <w:shd w:val="clear" w:color="auto" w:fill="auto"/>
          </w:tcPr>
          <w:p w14:paraId="4AD10FC4" w14:textId="19D6FDDF" w:rsidR="000C706A" w:rsidRPr="007F621A" w:rsidRDefault="000C706A" w:rsidP="007F621A">
            <w:pPr>
              <w:keepNext/>
              <w:keepLines/>
              <w:spacing w:before="40" w:after="120"/>
            </w:pPr>
            <w:r w:rsidRPr="007F621A">
              <w:t>4 de diciembre de</w:t>
            </w:r>
            <w:r w:rsidR="00025EB9">
              <w:t> </w:t>
            </w:r>
            <w:r w:rsidRPr="007F621A">
              <w:t>2008 (adhesión)</w:t>
            </w:r>
          </w:p>
        </w:tc>
        <w:tc>
          <w:tcPr>
            <w:tcW w:w="1568" w:type="dxa"/>
            <w:shd w:val="clear" w:color="auto" w:fill="auto"/>
          </w:tcPr>
          <w:p w14:paraId="5156C07F" w14:textId="678770D9" w:rsidR="000C706A" w:rsidRPr="007F621A" w:rsidRDefault="00025EB9" w:rsidP="007F621A">
            <w:pPr>
              <w:keepNext/>
              <w:keepLines/>
              <w:spacing w:before="40" w:after="120"/>
            </w:pPr>
            <w:r>
              <w:t>–</w:t>
            </w:r>
          </w:p>
        </w:tc>
        <w:tc>
          <w:tcPr>
            <w:tcW w:w="1120" w:type="dxa"/>
            <w:shd w:val="clear" w:color="auto" w:fill="auto"/>
          </w:tcPr>
          <w:p w14:paraId="0823B05E" w14:textId="13736AE9" w:rsidR="000C706A" w:rsidRPr="007F621A" w:rsidRDefault="00025EB9" w:rsidP="007F621A">
            <w:pPr>
              <w:keepNext/>
              <w:keepLines/>
              <w:spacing w:before="40" w:after="120"/>
            </w:pPr>
            <w:r>
              <w:t>–</w:t>
            </w:r>
          </w:p>
        </w:tc>
        <w:tc>
          <w:tcPr>
            <w:tcW w:w="840" w:type="dxa"/>
            <w:shd w:val="clear" w:color="auto" w:fill="auto"/>
          </w:tcPr>
          <w:p w14:paraId="5C31ACA9" w14:textId="1E6FCE67" w:rsidR="000C706A" w:rsidRPr="007F621A" w:rsidRDefault="00025EB9" w:rsidP="007F621A">
            <w:pPr>
              <w:keepNext/>
              <w:keepLines/>
              <w:spacing w:before="40" w:after="120"/>
            </w:pPr>
            <w:r>
              <w:t>–</w:t>
            </w:r>
          </w:p>
        </w:tc>
      </w:tr>
      <w:tr w:rsidR="007F621A" w:rsidRPr="007F621A" w14:paraId="3E0EA0EB" w14:textId="77777777" w:rsidTr="007F621A">
        <w:trPr>
          <w:trHeight w:val="240"/>
        </w:trPr>
        <w:tc>
          <w:tcPr>
            <w:tcW w:w="2925" w:type="dxa"/>
            <w:shd w:val="clear" w:color="auto" w:fill="auto"/>
          </w:tcPr>
          <w:p w14:paraId="07B4DC6B" w14:textId="77777777" w:rsidR="000C706A" w:rsidRPr="007F621A" w:rsidRDefault="000C706A" w:rsidP="007F621A">
            <w:pPr>
              <w:spacing w:before="40" w:after="120"/>
            </w:pPr>
            <w:r w:rsidRPr="007F621A">
              <w:t>Convención Internacional sobre la Eliminación de Todas las Formas de Discriminación Racial</w:t>
            </w:r>
          </w:p>
        </w:tc>
        <w:tc>
          <w:tcPr>
            <w:tcW w:w="1569" w:type="dxa"/>
            <w:shd w:val="clear" w:color="auto" w:fill="auto"/>
          </w:tcPr>
          <w:p w14:paraId="4078A8A6" w14:textId="77777777" w:rsidR="000C706A" w:rsidRPr="007F621A" w:rsidRDefault="000C706A" w:rsidP="007F621A">
            <w:pPr>
              <w:spacing w:before="40" w:after="120"/>
            </w:pPr>
            <w:r w:rsidRPr="007F621A">
              <w:t>30 de septiembre de 1975</w:t>
            </w:r>
          </w:p>
        </w:tc>
        <w:tc>
          <w:tcPr>
            <w:tcW w:w="1637" w:type="dxa"/>
            <w:shd w:val="clear" w:color="auto" w:fill="auto"/>
          </w:tcPr>
          <w:p w14:paraId="6FEAAF7C" w14:textId="2596A63E" w:rsidR="000C706A" w:rsidRPr="007F621A" w:rsidRDefault="000C706A" w:rsidP="007F621A">
            <w:pPr>
              <w:spacing w:before="40" w:after="120"/>
            </w:pPr>
            <w:r w:rsidRPr="007F621A">
              <w:t>30 de octubre de</w:t>
            </w:r>
            <w:r w:rsidR="007F621A">
              <w:t> </w:t>
            </w:r>
            <w:r w:rsidRPr="007F621A">
              <w:t>1975</w:t>
            </w:r>
          </w:p>
        </w:tc>
        <w:tc>
          <w:tcPr>
            <w:tcW w:w="1568" w:type="dxa"/>
            <w:shd w:val="clear" w:color="auto" w:fill="auto"/>
          </w:tcPr>
          <w:p w14:paraId="195B1751" w14:textId="77777777" w:rsidR="000C706A" w:rsidRPr="007F621A" w:rsidRDefault="000C706A" w:rsidP="007F621A">
            <w:pPr>
              <w:spacing w:before="40" w:after="120"/>
            </w:pPr>
            <w:r w:rsidRPr="007F621A">
              <w:t>art. 4 a)</w:t>
            </w:r>
          </w:p>
        </w:tc>
        <w:tc>
          <w:tcPr>
            <w:tcW w:w="1120" w:type="dxa"/>
            <w:shd w:val="clear" w:color="auto" w:fill="auto"/>
          </w:tcPr>
          <w:p w14:paraId="569A4E39" w14:textId="77777777" w:rsidR="000C706A" w:rsidRPr="007F621A" w:rsidRDefault="000C706A" w:rsidP="007F621A">
            <w:pPr>
              <w:spacing w:before="40" w:after="120"/>
            </w:pPr>
            <w:r w:rsidRPr="007F621A">
              <w:t>Sí</w:t>
            </w:r>
          </w:p>
        </w:tc>
        <w:tc>
          <w:tcPr>
            <w:tcW w:w="840" w:type="dxa"/>
            <w:shd w:val="clear" w:color="auto" w:fill="auto"/>
          </w:tcPr>
          <w:p w14:paraId="78B7CBB4" w14:textId="43BCC197" w:rsidR="000C706A" w:rsidRPr="007F621A" w:rsidRDefault="00025EB9" w:rsidP="007F621A">
            <w:pPr>
              <w:spacing w:before="40" w:after="120"/>
            </w:pPr>
            <w:r>
              <w:t>–</w:t>
            </w:r>
          </w:p>
        </w:tc>
      </w:tr>
      <w:tr w:rsidR="007F621A" w:rsidRPr="007F621A" w14:paraId="28A6F156" w14:textId="77777777" w:rsidTr="007F621A">
        <w:trPr>
          <w:trHeight w:val="240"/>
        </w:trPr>
        <w:tc>
          <w:tcPr>
            <w:tcW w:w="2925" w:type="dxa"/>
            <w:shd w:val="clear" w:color="auto" w:fill="auto"/>
          </w:tcPr>
          <w:p w14:paraId="524019D5" w14:textId="77777777" w:rsidR="000C706A" w:rsidRPr="007F621A" w:rsidRDefault="000C706A" w:rsidP="007F621A">
            <w:pPr>
              <w:spacing w:before="40" w:after="120"/>
            </w:pPr>
            <w:r w:rsidRPr="007F621A">
              <w:t>Convención sobre los Derechos del Niño</w:t>
            </w:r>
          </w:p>
        </w:tc>
        <w:tc>
          <w:tcPr>
            <w:tcW w:w="1569" w:type="dxa"/>
            <w:shd w:val="clear" w:color="auto" w:fill="auto"/>
          </w:tcPr>
          <w:p w14:paraId="002BDEA5" w14:textId="77777777" w:rsidR="000C706A" w:rsidRPr="007F621A" w:rsidRDefault="000C706A" w:rsidP="007F621A">
            <w:pPr>
              <w:spacing w:before="40" w:after="120"/>
            </w:pPr>
            <w:r w:rsidRPr="007F621A">
              <w:t>17 de diciembre de 1990</w:t>
            </w:r>
          </w:p>
        </w:tc>
        <w:tc>
          <w:tcPr>
            <w:tcW w:w="1637" w:type="dxa"/>
            <w:shd w:val="clear" w:color="auto" w:fill="auto"/>
          </w:tcPr>
          <w:p w14:paraId="2E090063" w14:textId="64F434B0" w:rsidR="000C706A" w:rsidRPr="007F621A" w:rsidRDefault="000C706A" w:rsidP="007F621A">
            <w:pPr>
              <w:spacing w:before="40" w:after="120"/>
            </w:pPr>
            <w:r w:rsidRPr="007F621A">
              <w:t>16 de enero de</w:t>
            </w:r>
            <w:r w:rsidR="007F621A">
              <w:t> </w:t>
            </w:r>
            <w:r w:rsidRPr="007F621A">
              <w:t>1991</w:t>
            </w:r>
          </w:p>
        </w:tc>
        <w:tc>
          <w:tcPr>
            <w:tcW w:w="1568" w:type="dxa"/>
            <w:shd w:val="clear" w:color="auto" w:fill="auto"/>
          </w:tcPr>
          <w:p w14:paraId="2A60A265" w14:textId="77777777" w:rsidR="000C706A" w:rsidRPr="007F621A" w:rsidRDefault="000C706A" w:rsidP="007F621A">
            <w:pPr>
              <w:spacing w:before="40" w:after="120"/>
            </w:pPr>
            <w:r w:rsidRPr="007F621A">
              <w:t>art. 37 c)</w:t>
            </w:r>
          </w:p>
        </w:tc>
        <w:tc>
          <w:tcPr>
            <w:tcW w:w="1120" w:type="dxa"/>
            <w:shd w:val="clear" w:color="auto" w:fill="auto"/>
          </w:tcPr>
          <w:p w14:paraId="5842C90B" w14:textId="4164B587" w:rsidR="000C706A" w:rsidRPr="007F621A" w:rsidRDefault="00025EB9" w:rsidP="007F621A">
            <w:pPr>
              <w:spacing w:before="40" w:after="120"/>
            </w:pPr>
            <w:r>
              <w:t>–</w:t>
            </w:r>
          </w:p>
        </w:tc>
        <w:tc>
          <w:tcPr>
            <w:tcW w:w="840" w:type="dxa"/>
            <w:shd w:val="clear" w:color="auto" w:fill="auto"/>
          </w:tcPr>
          <w:p w14:paraId="1527885C" w14:textId="77777777" w:rsidR="000C706A" w:rsidRPr="007F621A" w:rsidRDefault="000C706A" w:rsidP="007F621A">
            <w:pPr>
              <w:spacing w:before="40" w:after="120"/>
            </w:pPr>
            <w:r w:rsidRPr="007F621A">
              <w:t>Sí</w:t>
            </w:r>
          </w:p>
        </w:tc>
      </w:tr>
      <w:tr w:rsidR="007F621A" w:rsidRPr="007F621A" w14:paraId="256E0F96" w14:textId="77777777" w:rsidTr="007F621A">
        <w:trPr>
          <w:trHeight w:val="240"/>
        </w:trPr>
        <w:tc>
          <w:tcPr>
            <w:tcW w:w="2925" w:type="dxa"/>
            <w:shd w:val="clear" w:color="auto" w:fill="auto"/>
          </w:tcPr>
          <w:p w14:paraId="278547C3" w14:textId="77777777" w:rsidR="000C706A" w:rsidRPr="007F621A" w:rsidRDefault="000C706A" w:rsidP="007F621A">
            <w:pPr>
              <w:spacing w:before="40" w:after="120"/>
            </w:pPr>
            <w:r w:rsidRPr="007F621A">
              <w:t>Protocolo Facultativo de la Convención sobre los Derechos del Niño relativo a la participación de niños en los conflictos armados</w:t>
            </w:r>
          </w:p>
        </w:tc>
        <w:tc>
          <w:tcPr>
            <w:tcW w:w="1569" w:type="dxa"/>
            <w:shd w:val="clear" w:color="auto" w:fill="auto"/>
          </w:tcPr>
          <w:p w14:paraId="3F1EBD4F" w14:textId="77777777" w:rsidR="000C706A" w:rsidRPr="007F621A" w:rsidRDefault="000C706A" w:rsidP="007F621A">
            <w:pPr>
              <w:spacing w:before="40" w:after="120"/>
            </w:pPr>
            <w:r w:rsidRPr="007F621A">
              <w:t>26 de septiembre de 2006</w:t>
            </w:r>
          </w:p>
        </w:tc>
        <w:tc>
          <w:tcPr>
            <w:tcW w:w="1637" w:type="dxa"/>
            <w:shd w:val="clear" w:color="auto" w:fill="auto"/>
          </w:tcPr>
          <w:p w14:paraId="195165C1" w14:textId="484973EB" w:rsidR="000C706A" w:rsidRPr="007F621A" w:rsidRDefault="000C706A" w:rsidP="007F621A">
            <w:pPr>
              <w:spacing w:before="40" w:after="120"/>
            </w:pPr>
            <w:r w:rsidRPr="007F621A">
              <w:t>26 de octubre de</w:t>
            </w:r>
            <w:r w:rsidR="007F621A">
              <w:t> </w:t>
            </w:r>
            <w:r w:rsidRPr="007F621A">
              <w:t>2006</w:t>
            </w:r>
          </w:p>
        </w:tc>
        <w:tc>
          <w:tcPr>
            <w:tcW w:w="1568" w:type="dxa"/>
            <w:shd w:val="clear" w:color="auto" w:fill="auto"/>
          </w:tcPr>
          <w:p w14:paraId="62B95FB9" w14:textId="1E33F5E0" w:rsidR="000C706A" w:rsidRPr="007F621A" w:rsidRDefault="00025EB9" w:rsidP="007F621A">
            <w:pPr>
              <w:spacing w:before="40" w:after="120"/>
            </w:pPr>
            <w:r>
              <w:t>–</w:t>
            </w:r>
          </w:p>
        </w:tc>
        <w:tc>
          <w:tcPr>
            <w:tcW w:w="1120" w:type="dxa"/>
            <w:shd w:val="clear" w:color="auto" w:fill="auto"/>
          </w:tcPr>
          <w:p w14:paraId="7C9A2866" w14:textId="77777777" w:rsidR="000C706A" w:rsidRPr="007F621A" w:rsidRDefault="000C706A" w:rsidP="007F621A">
            <w:pPr>
              <w:spacing w:before="40" w:after="120"/>
            </w:pPr>
            <w:r w:rsidRPr="007F621A">
              <w:t>Sí</w:t>
            </w:r>
          </w:p>
        </w:tc>
        <w:tc>
          <w:tcPr>
            <w:tcW w:w="840" w:type="dxa"/>
            <w:shd w:val="clear" w:color="auto" w:fill="auto"/>
          </w:tcPr>
          <w:p w14:paraId="410CDC59" w14:textId="3A752331" w:rsidR="000C706A" w:rsidRPr="007F621A" w:rsidRDefault="00025EB9" w:rsidP="007F621A">
            <w:pPr>
              <w:spacing w:before="40" w:after="120"/>
            </w:pPr>
            <w:r>
              <w:t>–</w:t>
            </w:r>
          </w:p>
        </w:tc>
      </w:tr>
      <w:tr w:rsidR="007F621A" w:rsidRPr="007F621A" w14:paraId="466095EF" w14:textId="77777777" w:rsidTr="007F621A">
        <w:trPr>
          <w:trHeight w:val="240"/>
        </w:trPr>
        <w:tc>
          <w:tcPr>
            <w:tcW w:w="2925" w:type="dxa"/>
            <w:shd w:val="clear" w:color="auto" w:fill="auto"/>
          </w:tcPr>
          <w:p w14:paraId="0A58AB63" w14:textId="77777777" w:rsidR="000C706A" w:rsidRPr="007F621A" w:rsidRDefault="000C706A" w:rsidP="007F621A">
            <w:pPr>
              <w:spacing w:before="40" w:after="120"/>
            </w:pPr>
            <w:r w:rsidRPr="007F621A">
              <w:t>Protocolo Facultativo de la Convención sobre los Derechos del Niño relativo a la venta de niños, la prostitución infantil y la utilización de niños en la pornografía</w:t>
            </w:r>
          </w:p>
        </w:tc>
        <w:tc>
          <w:tcPr>
            <w:tcW w:w="1569" w:type="dxa"/>
            <w:shd w:val="clear" w:color="auto" w:fill="auto"/>
          </w:tcPr>
          <w:p w14:paraId="06B3A9CB" w14:textId="0B95751F" w:rsidR="000C706A" w:rsidRPr="007F621A" w:rsidRDefault="000C706A" w:rsidP="007F621A">
            <w:pPr>
              <w:spacing w:before="40" w:after="120"/>
            </w:pPr>
            <w:r w:rsidRPr="007F621A">
              <w:t>8 de enero de</w:t>
            </w:r>
            <w:r w:rsidR="007F621A">
              <w:t> </w:t>
            </w:r>
            <w:r w:rsidRPr="007F621A">
              <w:t>2007</w:t>
            </w:r>
          </w:p>
        </w:tc>
        <w:tc>
          <w:tcPr>
            <w:tcW w:w="1637" w:type="dxa"/>
            <w:shd w:val="clear" w:color="auto" w:fill="auto"/>
          </w:tcPr>
          <w:p w14:paraId="35858665" w14:textId="5C4F1B82" w:rsidR="000C706A" w:rsidRPr="007F621A" w:rsidRDefault="000C706A" w:rsidP="007F621A">
            <w:pPr>
              <w:spacing w:before="40" w:after="120"/>
            </w:pPr>
            <w:r w:rsidRPr="007F621A">
              <w:t>8 de febrero de</w:t>
            </w:r>
            <w:r w:rsidR="007F621A">
              <w:t> </w:t>
            </w:r>
            <w:r w:rsidRPr="007F621A">
              <w:t>2007</w:t>
            </w:r>
          </w:p>
        </w:tc>
        <w:tc>
          <w:tcPr>
            <w:tcW w:w="1568" w:type="dxa"/>
            <w:shd w:val="clear" w:color="auto" w:fill="auto"/>
          </w:tcPr>
          <w:p w14:paraId="5E81ACA0" w14:textId="6BEA4BC5" w:rsidR="000C706A" w:rsidRPr="007F621A" w:rsidRDefault="00025EB9" w:rsidP="007F621A">
            <w:pPr>
              <w:spacing w:before="40" w:after="120"/>
            </w:pPr>
            <w:r>
              <w:t>–</w:t>
            </w:r>
          </w:p>
        </w:tc>
        <w:tc>
          <w:tcPr>
            <w:tcW w:w="1120" w:type="dxa"/>
            <w:shd w:val="clear" w:color="auto" w:fill="auto"/>
          </w:tcPr>
          <w:p w14:paraId="2FC87175" w14:textId="6EE2F706" w:rsidR="000C706A" w:rsidRPr="007F621A" w:rsidRDefault="00025EB9" w:rsidP="007F621A">
            <w:pPr>
              <w:spacing w:before="40" w:after="120"/>
            </w:pPr>
            <w:r>
              <w:t>–</w:t>
            </w:r>
          </w:p>
        </w:tc>
        <w:tc>
          <w:tcPr>
            <w:tcW w:w="840" w:type="dxa"/>
            <w:shd w:val="clear" w:color="auto" w:fill="auto"/>
          </w:tcPr>
          <w:p w14:paraId="37B56E98" w14:textId="65DB80CD" w:rsidR="000C706A" w:rsidRPr="007F621A" w:rsidRDefault="00025EB9" w:rsidP="007F621A">
            <w:pPr>
              <w:spacing w:before="40" w:after="120"/>
            </w:pPr>
            <w:r>
              <w:t>–</w:t>
            </w:r>
          </w:p>
        </w:tc>
      </w:tr>
      <w:tr w:rsidR="007F621A" w:rsidRPr="007F621A" w14:paraId="6B933F09" w14:textId="77777777" w:rsidTr="007F621A">
        <w:trPr>
          <w:trHeight w:val="240"/>
        </w:trPr>
        <w:tc>
          <w:tcPr>
            <w:tcW w:w="2925" w:type="dxa"/>
            <w:shd w:val="clear" w:color="auto" w:fill="auto"/>
          </w:tcPr>
          <w:p w14:paraId="0264CE11" w14:textId="77777777" w:rsidR="000C706A" w:rsidRPr="007F621A" w:rsidRDefault="000C706A" w:rsidP="007F621A">
            <w:pPr>
              <w:spacing w:before="40" w:after="120"/>
            </w:pPr>
            <w:r w:rsidRPr="007F621A">
              <w:t>Convención sobre los Derechos de las Personas con Discapacidad</w:t>
            </w:r>
          </w:p>
        </w:tc>
        <w:tc>
          <w:tcPr>
            <w:tcW w:w="1569" w:type="dxa"/>
            <w:shd w:val="clear" w:color="auto" w:fill="auto"/>
          </w:tcPr>
          <w:p w14:paraId="7042064A" w14:textId="3D658329" w:rsidR="000C706A" w:rsidRPr="007F621A" w:rsidRDefault="000C706A" w:rsidP="007F621A">
            <w:pPr>
              <w:spacing w:before="40" w:after="120"/>
            </w:pPr>
            <w:r w:rsidRPr="007F621A">
              <w:t>17 de julio de</w:t>
            </w:r>
            <w:r w:rsidR="007F621A">
              <w:t> </w:t>
            </w:r>
            <w:r w:rsidRPr="007F621A">
              <w:t>2008</w:t>
            </w:r>
          </w:p>
        </w:tc>
        <w:tc>
          <w:tcPr>
            <w:tcW w:w="1637" w:type="dxa"/>
            <w:shd w:val="clear" w:color="auto" w:fill="auto"/>
          </w:tcPr>
          <w:p w14:paraId="2FF833DB" w14:textId="785F135F" w:rsidR="000C706A" w:rsidRPr="007F621A" w:rsidRDefault="000C706A" w:rsidP="007F621A">
            <w:pPr>
              <w:spacing w:before="40" w:after="120"/>
            </w:pPr>
            <w:r w:rsidRPr="007F621A">
              <w:t>16 de agosto de</w:t>
            </w:r>
            <w:r w:rsidR="007F621A">
              <w:t> </w:t>
            </w:r>
            <w:r w:rsidRPr="007F621A">
              <w:t>2008</w:t>
            </w:r>
          </w:p>
        </w:tc>
        <w:tc>
          <w:tcPr>
            <w:tcW w:w="1568" w:type="dxa"/>
            <w:shd w:val="clear" w:color="auto" w:fill="auto"/>
          </w:tcPr>
          <w:p w14:paraId="5FEA2369" w14:textId="7C4A4C5F" w:rsidR="000C706A" w:rsidRPr="007F621A" w:rsidRDefault="00025EB9" w:rsidP="007F621A">
            <w:pPr>
              <w:spacing w:before="40" w:after="120"/>
            </w:pPr>
            <w:r>
              <w:t>–</w:t>
            </w:r>
          </w:p>
        </w:tc>
        <w:tc>
          <w:tcPr>
            <w:tcW w:w="1120" w:type="dxa"/>
            <w:shd w:val="clear" w:color="auto" w:fill="auto"/>
          </w:tcPr>
          <w:p w14:paraId="345D5E98" w14:textId="77777777" w:rsidR="000C706A" w:rsidRPr="007F621A" w:rsidRDefault="000C706A" w:rsidP="007F621A">
            <w:pPr>
              <w:spacing w:before="40" w:after="120"/>
            </w:pPr>
            <w:r w:rsidRPr="007F621A">
              <w:t xml:space="preserve">Sí </w:t>
            </w:r>
          </w:p>
        </w:tc>
        <w:tc>
          <w:tcPr>
            <w:tcW w:w="840" w:type="dxa"/>
            <w:shd w:val="clear" w:color="auto" w:fill="auto"/>
          </w:tcPr>
          <w:p w14:paraId="7D02B2D3" w14:textId="77777777" w:rsidR="000C706A" w:rsidRPr="007F621A" w:rsidRDefault="000C706A" w:rsidP="007F621A">
            <w:pPr>
              <w:spacing w:before="40" w:after="120"/>
            </w:pPr>
            <w:r w:rsidRPr="007F621A">
              <w:t>Sí</w:t>
            </w:r>
          </w:p>
        </w:tc>
      </w:tr>
      <w:tr w:rsidR="007F621A" w:rsidRPr="007F621A" w14:paraId="0061825B" w14:textId="77777777" w:rsidTr="007F621A">
        <w:trPr>
          <w:trHeight w:val="240"/>
        </w:trPr>
        <w:tc>
          <w:tcPr>
            <w:tcW w:w="2925" w:type="dxa"/>
            <w:tcBorders>
              <w:bottom w:val="single" w:sz="12" w:space="0" w:color="auto"/>
            </w:tcBorders>
            <w:shd w:val="clear" w:color="auto" w:fill="auto"/>
          </w:tcPr>
          <w:p w14:paraId="0AE63C2D" w14:textId="77777777" w:rsidR="000C706A" w:rsidRPr="007F621A" w:rsidRDefault="000C706A" w:rsidP="007F621A">
            <w:pPr>
              <w:spacing w:before="40" w:after="120"/>
            </w:pPr>
            <w:r w:rsidRPr="007F621A">
              <w:lastRenderedPageBreak/>
              <w:t>Protocolo Facultativo de la Convención sobre los Derechos de las Personas con Discapacidad</w:t>
            </w:r>
          </w:p>
        </w:tc>
        <w:tc>
          <w:tcPr>
            <w:tcW w:w="1569" w:type="dxa"/>
            <w:tcBorders>
              <w:bottom w:val="single" w:sz="12" w:space="0" w:color="auto"/>
            </w:tcBorders>
            <w:shd w:val="clear" w:color="auto" w:fill="auto"/>
          </w:tcPr>
          <w:p w14:paraId="3D9F4039" w14:textId="24388CB7" w:rsidR="000C706A" w:rsidRPr="007F621A" w:rsidRDefault="00025EB9" w:rsidP="007F621A">
            <w:pPr>
              <w:spacing w:before="40" w:after="120"/>
            </w:pPr>
            <w:r>
              <w:t>–</w:t>
            </w:r>
          </w:p>
        </w:tc>
        <w:tc>
          <w:tcPr>
            <w:tcW w:w="1637" w:type="dxa"/>
            <w:tcBorders>
              <w:bottom w:val="single" w:sz="12" w:space="0" w:color="auto"/>
            </w:tcBorders>
            <w:shd w:val="clear" w:color="auto" w:fill="auto"/>
          </w:tcPr>
          <w:p w14:paraId="216F9530" w14:textId="02400397" w:rsidR="000C706A" w:rsidRPr="007F621A" w:rsidRDefault="000C706A" w:rsidP="007F621A">
            <w:pPr>
              <w:spacing w:before="40" w:after="120"/>
            </w:pPr>
            <w:r w:rsidRPr="007F621A">
              <w:t>21 de agosto de</w:t>
            </w:r>
            <w:r w:rsidR="007F621A">
              <w:t> </w:t>
            </w:r>
            <w:r w:rsidRPr="007F621A">
              <w:t>2009 (adhesión)</w:t>
            </w:r>
          </w:p>
        </w:tc>
        <w:tc>
          <w:tcPr>
            <w:tcW w:w="1568" w:type="dxa"/>
            <w:tcBorders>
              <w:bottom w:val="single" w:sz="12" w:space="0" w:color="auto"/>
            </w:tcBorders>
            <w:shd w:val="clear" w:color="auto" w:fill="auto"/>
          </w:tcPr>
          <w:p w14:paraId="50BB1B0B" w14:textId="11F84DFB" w:rsidR="000C706A" w:rsidRPr="007F621A" w:rsidRDefault="00025EB9" w:rsidP="007F621A">
            <w:pPr>
              <w:spacing w:before="40" w:after="120"/>
            </w:pPr>
            <w:r>
              <w:t>–</w:t>
            </w:r>
          </w:p>
        </w:tc>
        <w:tc>
          <w:tcPr>
            <w:tcW w:w="1120" w:type="dxa"/>
            <w:tcBorders>
              <w:bottom w:val="single" w:sz="12" w:space="0" w:color="auto"/>
            </w:tcBorders>
            <w:shd w:val="clear" w:color="auto" w:fill="auto"/>
          </w:tcPr>
          <w:p w14:paraId="35094F36" w14:textId="53B60E98" w:rsidR="000C706A" w:rsidRPr="007F621A" w:rsidRDefault="00025EB9" w:rsidP="007F621A">
            <w:pPr>
              <w:spacing w:before="40" w:after="120"/>
            </w:pPr>
            <w:r>
              <w:t>–</w:t>
            </w:r>
          </w:p>
        </w:tc>
        <w:tc>
          <w:tcPr>
            <w:tcW w:w="840" w:type="dxa"/>
            <w:tcBorders>
              <w:bottom w:val="single" w:sz="12" w:space="0" w:color="auto"/>
            </w:tcBorders>
            <w:shd w:val="clear" w:color="auto" w:fill="auto"/>
          </w:tcPr>
          <w:p w14:paraId="413098C5" w14:textId="53BD9CAD" w:rsidR="000C706A" w:rsidRPr="007F621A" w:rsidRDefault="00025EB9" w:rsidP="007F621A">
            <w:pPr>
              <w:spacing w:before="40" w:after="120"/>
            </w:pPr>
            <w:r>
              <w:t>–</w:t>
            </w:r>
          </w:p>
        </w:tc>
      </w:tr>
    </w:tbl>
    <w:p w14:paraId="37D286CB" w14:textId="77777777" w:rsidR="000C706A" w:rsidRPr="00C52B38" w:rsidRDefault="000C706A" w:rsidP="00D56496">
      <w:pPr>
        <w:pStyle w:val="SingleTxtG"/>
        <w:spacing w:before="240"/>
      </w:pPr>
      <w:r w:rsidRPr="00C52B38">
        <w:t>132.</w:t>
      </w:r>
      <w:r w:rsidRPr="00C52B38">
        <w:tab/>
        <w:t>Las reservas de Australia son compatibles con los objetivos y la finalidad de esos tratados y con la Convención de Viena sobre el Derecho de los Tratados, y no ha habido objeciones formales a dichas reservas por parte de otros Estados partes.</w:t>
      </w:r>
    </w:p>
    <w:p w14:paraId="2289FA42" w14:textId="43BB7487" w:rsidR="000C706A" w:rsidRPr="00C52B38" w:rsidRDefault="000C706A" w:rsidP="002370A4">
      <w:pPr>
        <w:pStyle w:val="SingleTxtG"/>
      </w:pPr>
      <w:r w:rsidRPr="00C52B38">
        <w:t>133.</w:t>
      </w:r>
      <w:r w:rsidRPr="00C52B38">
        <w:tab/>
        <w:t xml:space="preserve">El 25 de octubre de 2018, Australia aprobó el Proyecto de Ley de Modificación de la Legislación sobre Derecho </w:t>
      </w:r>
      <w:r w:rsidR="00ED30FC">
        <w:t>C</w:t>
      </w:r>
      <w:r w:rsidRPr="00C52B38">
        <w:t>ivil y Justicia de 2018, por el que se derogó el artículo 43 de la Ley de Discriminación Sexual de 1984, que establecía excepciones a la discriminación contra las mujeres en relación con las funciones de combate. Esto permitió retirar una de las dos reservas a la Convención sobre la Eliminación de Todas las Formas de Discriminación contra la Mujer. Australia cumple ahora las obligaciones que le incumben en virtud del artículo 11, párr</w:t>
      </w:r>
      <w:r w:rsidR="00ED30FC">
        <w:t>afo</w:t>
      </w:r>
      <w:r w:rsidRPr="00C52B38">
        <w:t xml:space="preserve"> 1 b), y el artículo 11, párr</w:t>
      </w:r>
      <w:r w:rsidR="00ED30FC">
        <w:t>afo</w:t>
      </w:r>
      <w:r w:rsidRPr="00C52B38">
        <w:t xml:space="preserve"> 1 c).</w:t>
      </w:r>
    </w:p>
    <w:p w14:paraId="2252760B" w14:textId="77777777" w:rsidR="000C706A" w:rsidRDefault="000C706A" w:rsidP="002370A4">
      <w:pPr>
        <w:pStyle w:val="SingleTxtG"/>
      </w:pPr>
      <w:r w:rsidRPr="00C52B38">
        <w:t>134.</w:t>
      </w:r>
      <w:r w:rsidRPr="00C52B38">
        <w:tab/>
        <w:t>Por el momento, Australia no se plantea retirar el resto de sus reservas a otros tratados.</w:t>
      </w:r>
    </w:p>
    <w:p w14:paraId="50874316" w14:textId="0DBC67C5" w:rsidR="000C706A" w:rsidRPr="00DB209B" w:rsidRDefault="000C706A" w:rsidP="00DB209B">
      <w:pPr>
        <w:pStyle w:val="H1G"/>
      </w:pPr>
      <w:bookmarkStart w:id="29" w:name="_Toc147326779"/>
      <w:r w:rsidRPr="00DB209B">
        <w:tab/>
        <w:t>B.</w:t>
      </w:r>
      <w:r w:rsidRPr="00DB209B">
        <w:tab/>
        <w:t xml:space="preserve">Marco jurídico de protección de los derechos humanos </w:t>
      </w:r>
      <w:r w:rsidR="00DB209B">
        <w:br/>
      </w:r>
      <w:r w:rsidRPr="00DB209B">
        <w:t>a nivel nacional</w:t>
      </w:r>
      <w:bookmarkStart w:id="30" w:name="_Toc167980144"/>
      <w:bookmarkEnd w:id="29"/>
      <w:bookmarkEnd w:id="30"/>
    </w:p>
    <w:p w14:paraId="70257A95" w14:textId="77777777" w:rsidR="000C706A" w:rsidRPr="00C52B38" w:rsidRDefault="000C706A" w:rsidP="00DB209B">
      <w:pPr>
        <w:pStyle w:val="H23G"/>
      </w:pPr>
      <w:r w:rsidRPr="00DB209B">
        <w:tab/>
        <w:t>1.</w:t>
      </w:r>
      <w:r w:rsidRPr="00DB209B">
        <w:tab/>
        <w:t>Marcos jurídicos generales</w:t>
      </w:r>
    </w:p>
    <w:p w14:paraId="68DC8CEE" w14:textId="25D23EB5" w:rsidR="000C706A" w:rsidRPr="00C52B38" w:rsidRDefault="00DB209B" w:rsidP="00DB209B">
      <w:pPr>
        <w:pStyle w:val="H4G"/>
      </w:pPr>
      <w:r>
        <w:tab/>
      </w:r>
      <w:r>
        <w:tab/>
      </w:r>
      <w:r w:rsidR="000C706A">
        <w:tab/>
      </w:r>
      <w:r w:rsidR="000C706A" w:rsidRPr="00C52B38">
        <w:t>Garantías constitucionales</w:t>
      </w:r>
    </w:p>
    <w:p w14:paraId="70176864" w14:textId="77777777" w:rsidR="000C706A" w:rsidRPr="00C52B38" w:rsidRDefault="000C706A" w:rsidP="002370A4">
      <w:pPr>
        <w:pStyle w:val="SingleTxtG"/>
      </w:pPr>
      <w:r w:rsidRPr="00C52B38">
        <w:t>135.</w:t>
      </w:r>
      <w:r w:rsidRPr="00C52B38">
        <w:tab/>
        <w:t xml:space="preserve">Si bien Australia no cuenta con una declaración de derechos a escala nacional, la Constitución australiana prevé explícitamente una serie de garantías de derechos e inmunidades (y también derechos del </w:t>
      </w:r>
      <w:proofErr w:type="spellStart"/>
      <w:r w:rsidRPr="00C52B38">
        <w:rPr>
          <w:i/>
          <w:iCs/>
        </w:rPr>
        <w:t>common</w:t>
      </w:r>
      <w:proofErr w:type="spellEnd"/>
      <w:r w:rsidRPr="00C52B38">
        <w:rPr>
          <w:i/>
          <w:iCs/>
        </w:rPr>
        <w:t xml:space="preserve"> </w:t>
      </w:r>
      <w:proofErr w:type="spellStart"/>
      <w:r w:rsidRPr="00C52B38">
        <w:rPr>
          <w:i/>
          <w:iCs/>
        </w:rPr>
        <w:t>law</w:t>
      </w:r>
      <w:proofErr w:type="spellEnd"/>
      <w:r w:rsidRPr="00C52B38">
        <w:t>), como:</w:t>
      </w:r>
    </w:p>
    <w:p w14:paraId="4D0CADAD" w14:textId="7FEC76EF" w:rsidR="000C706A" w:rsidRPr="00C52B38" w:rsidRDefault="000C706A" w:rsidP="00DB209B">
      <w:pPr>
        <w:pStyle w:val="Bullet1G"/>
      </w:pPr>
      <w:r w:rsidRPr="00C52B38">
        <w:t xml:space="preserve">Toda propiedad adquirida por el Gobierno del Commonwealth debe obtenerse en condiciones justas (artículo 51 </w:t>
      </w:r>
      <w:proofErr w:type="spellStart"/>
      <w:r w:rsidRPr="00C52B38">
        <w:t>xxxi</w:t>
      </w:r>
      <w:proofErr w:type="spellEnd"/>
      <w:r w:rsidRPr="00C52B38">
        <w:t>))</w:t>
      </w:r>
      <w:r w:rsidR="00DB209B">
        <w:t>.</w:t>
      </w:r>
    </w:p>
    <w:p w14:paraId="7A6FAEAB" w14:textId="4668CA61" w:rsidR="000C706A" w:rsidRPr="00C52B38" w:rsidRDefault="000C706A" w:rsidP="00DB209B">
      <w:pPr>
        <w:pStyle w:val="Bullet1G"/>
      </w:pPr>
      <w:r w:rsidRPr="00C52B38">
        <w:t>El juicio por un delito tipificado en cualquier ley del Commonwealth se celebrará con la intervención de un jurado (artículo 80)</w:t>
      </w:r>
      <w:r w:rsidR="00DB209B">
        <w:t>.</w:t>
      </w:r>
    </w:p>
    <w:p w14:paraId="298CDABF" w14:textId="602BC14A" w:rsidR="000C706A" w:rsidRPr="00C52B38" w:rsidRDefault="000C706A" w:rsidP="00DB209B">
      <w:pPr>
        <w:pStyle w:val="Bullet1G"/>
      </w:pPr>
      <w:r w:rsidRPr="00C52B38">
        <w:t>El Gobierno del Commonwealth no podrá promulgar ninguna ley que instaure una religión o prohíba el libre ejercicio de una religión (artículo 116)</w:t>
      </w:r>
      <w:r w:rsidR="00DB209B">
        <w:t>.</w:t>
      </w:r>
    </w:p>
    <w:p w14:paraId="1BB09859" w14:textId="51EA4601" w:rsidR="000C706A" w:rsidRPr="00C52B38" w:rsidRDefault="000C706A" w:rsidP="00DB209B">
      <w:pPr>
        <w:pStyle w:val="Bullet1G"/>
      </w:pPr>
      <w:r w:rsidRPr="00C52B38">
        <w:t>No se podrá someter a los ciudadanos a discriminación alguna en ningún estado por el hecho de residir en otro estado (artículo 117)</w:t>
      </w:r>
      <w:r w:rsidR="00DB209B">
        <w:t>.</w:t>
      </w:r>
    </w:p>
    <w:p w14:paraId="60D14255" w14:textId="57264716" w:rsidR="000C706A" w:rsidRPr="00C52B38" w:rsidRDefault="000C706A" w:rsidP="00DB209B">
      <w:pPr>
        <w:pStyle w:val="Bullet1G"/>
      </w:pPr>
      <w:r w:rsidRPr="00C52B38">
        <w:t>Todo ciudadano tiene derecho a votar en las elecciones del Commonwealth, sin perjuicio de las restricciones impuestas a ese derecho por la legislación del Commonwealth (artículos 7 y 24).</w:t>
      </w:r>
    </w:p>
    <w:p w14:paraId="56EA92F7" w14:textId="77777777" w:rsidR="000C706A" w:rsidRPr="00C52B38" w:rsidRDefault="000C706A" w:rsidP="002370A4">
      <w:pPr>
        <w:pStyle w:val="SingleTxtG"/>
      </w:pPr>
      <w:r w:rsidRPr="00C52B38">
        <w:t>136.</w:t>
      </w:r>
      <w:r w:rsidRPr="00C52B38">
        <w:tab/>
        <w:t xml:space="preserve">Asimismo, el Tribunal Supremo de Australia ha indicado que algunos derechos son inherentes a la propia Constitución. Por ejemplo, en la causa </w:t>
      </w:r>
      <w:r w:rsidRPr="00C52B38">
        <w:rPr>
          <w:i/>
          <w:iCs/>
        </w:rPr>
        <w:t xml:space="preserve">Lange v. </w:t>
      </w:r>
      <w:proofErr w:type="spellStart"/>
      <w:r w:rsidRPr="00C52B38">
        <w:rPr>
          <w:i/>
          <w:iCs/>
        </w:rPr>
        <w:t>Australian</w:t>
      </w:r>
      <w:proofErr w:type="spellEnd"/>
      <w:r w:rsidRPr="00C52B38">
        <w:rPr>
          <w:i/>
          <w:iCs/>
        </w:rPr>
        <w:t xml:space="preserve"> </w:t>
      </w:r>
      <w:proofErr w:type="spellStart"/>
      <w:r w:rsidRPr="00C52B38">
        <w:rPr>
          <w:i/>
          <w:iCs/>
        </w:rPr>
        <w:t>Broadcasting</w:t>
      </w:r>
      <w:proofErr w:type="spellEnd"/>
      <w:r w:rsidRPr="00C52B38">
        <w:rPr>
          <w:i/>
          <w:iCs/>
        </w:rPr>
        <w:t xml:space="preserve"> </w:t>
      </w:r>
      <w:proofErr w:type="spellStart"/>
      <w:r w:rsidRPr="00C52B38">
        <w:rPr>
          <w:i/>
          <w:iCs/>
        </w:rPr>
        <w:t>Corporation</w:t>
      </w:r>
      <w:proofErr w:type="spellEnd"/>
      <w:r w:rsidRPr="00C52B38">
        <w:t xml:space="preserve"> (1997) 189 CLR 520, el Tribunal Supremo sostuvo que la Constitución se sustentaba en un sistema de “democracia representativa” y que, dado que la libre comunicación y el debate sobre cuestiones políticas e instituciones gubernamentales eran esenciales para ese sistema, la legislación que infringiera la libertad de comunicación sobre “cuestiones políticas” era inválida, a menos que fuera necesaria para proteger algún otro interés público.</w:t>
      </w:r>
    </w:p>
    <w:p w14:paraId="0014F0A4" w14:textId="238C74DF" w:rsidR="000C706A" w:rsidRPr="00C52B38" w:rsidRDefault="000C706A" w:rsidP="00DB209B">
      <w:pPr>
        <w:pStyle w:val="H4G"/>
      </w:pPr>
      <w:r>
        <w:tab/>
      </w:r>
      <w:r w:rsidR="00DB209B">
        <w:tab/>
      </w:r>
      <w:r w:rsidRPr="00C52B38">
        <w:t>Actividades parlamentarias</w:t>
      </w:r>
    </w:p>
    <w:p w14:paraId="3E606E10" w14:textId="77777777" w:rsidR="000C706A" w:rsidRPr="00C52B38" w:rsidRDefault="000C706A" w:rsidP="002370A4">
      <w:pPr>
        <w:pStyle w:val="SingleTxtG"/>
      </w:pPr>
      <w:r w:rsidRPr="00C52B38">
        <w:t>137.</w:t>
      </w:r>
      <w:r w:rsidRPr="00C52B38">
        <w:tab/>
        <w:t xml:space="preserve">El sistema democrático liberal de gobierno de cada una de las jurisdicciones australianas permite a cualquier persona interesada plantear sus preocupaciones en relación con los derechos humanos y las libertades fundamentales. Los ministros deben rendir cuentas </w:t>
      </w:r>
      <w:r w:rsidRPr="00C52B38">
        <w:lastRenderedPageBreak/>
        <w:t>ante el Parlamento, tanto por sus acciones como por las del gabinete, y deben responder a las preguntas que se les formulen en relación con los asuntos de su competencia.</w:t>
      </w:r>
    </w:p>
    <w:p w14:paraId="146B3548" w14:textId="77777777" w:rsidR="000C706A" w:rsidRPr="00C52B38" w:rsidRDefault="000C706A" w:rsidP="002370A4">
      <w:pPr>
        <w:pStyle w:val="SingleTxtG"/>
      </w:pPr>
      <w:r w:rsidRPr="00C52B38">
        <w:t>138.</w:t>
      </w:r>
      <w:r w:rsidRPr="00C52B38">
        <w:tab/>
        <w:t>El debate parlamentario durante el proceso de aprobación de leyes es el foro principal para examinar y evaluar el posible menoscabo de los derechos, las libertades y los privilegios fundamentales. Los comités parlamentarios de examen evalúan los proyectos de ley en función de una serie de normas de rendición de cuentas que se centran en las repercusiones de la ley propuesta sobre los derechos, las libertades y las obligaciones individuales. Entre esos comités se incluyen:</w:t>
      </w:r>
    </w:p>
    <w:p w14:paraId="6FE7C79F" w14:textId="22376737" w:rsidR="000C706A" w:rsidRPr="00C52B38" w:rsidRDefault="000C706A" w:rsidP="00DB209B">
      <w:pPr>
        <w:pStyle w:val="Bullet1G"/>
      </w:pPr>
      <w:r w:rsidRPr="00C52B38">
        <w:t>El Comité Permanente del Senado de Examen de los Proyectos de Ley, que examina las medidas legislativas propuestas y advierte al Senado “de la posibilidad de que se vulneren los derechos y las libertades de las personas o se menoscaben las facultades legislativas del Parlamento”.</w:t>
      </w:r>
    </w:p>
    <w:p w14:paraId="29E20F02" w14:textId="2B1085EB" w:rsidR="000C706A" w:rsidRPr="00C52B38" w:rsidRDefault="000C706A" w:rsidP="00DB209B">
      <w:pPr>
        <w:pStyle w:val="Bullet1G"/>
      </w:pPr>
      <w:r w:rsidRPr="00C52B38">
        <w:t>El Comité Permanente del Senado de Examen de la Legislación Delegada, que examina la legislación delegada o subordinada cuando “suprime, reduce, limita o condiciona los derechos y las libertades fundamentales tradicionalmente disfrutados en una sociedad libre y democrática”.</w:t>
      </w:r>
    </w:p>
    <w:p w14:paraId="60667719" w14:textId="1D02D439" w:rsidR="000C706A" w:rsidRPr="00C52B38" w:rsidRDefault="000C706A" w:rsidP="002370A4">
      <w:pPr>
        <w:pStyle w:val="SingleTxtG"/>
      </w:pPr>
      <w:r w:rsidRPr="00C52B38">
        <w:t>139.</w:t>
      </w:r>
      <w:r w:rsidRPr="00C52B38">
        <w:tab/>
        <w:t>El Comité Parlamentario Mixto de Derechos Humanos es el principal comité encargado de examinar los proyectos de ley y los instrumentos legislativos en relación con sus posibles repercusiones sobre los derechos humanos</w:t>
      </w:r>
      <w:r w:rsidR="0061602F">
        <w:t>:</w:t>
      </w:r>
    </w:p>
    <w:p w14:paraId="55F3DCD6" w14:textId="43198D9E" w:rsidR="000C706A" w:rsidRPr="00C52B38" w:rsidRDefault="000C706A" w:rsidP="00DB209B">
      <w:pPr>
        <w:pStyle w:val="Bullet1G"/>
      </w:pPr>
      <w:r w:rsidRPr="00C52B38">
        <w:t>En virtud de la Ley de Derechos Humanos (Control Parlamentario) de 2011, la principal función del Comité Parlamentario Mixto de Derechos Humanos es examinar todos los nuevos proyectos de ley e instrumentos legislativos que se presentan ante cualquiera de las dos cámaras del Parlamento para determinar su compatibilidad con los derechos humanos, con vistas a minimizar los riesgos de que puedan dar lugar a vulneraciones de los derechos humanos en la práctica. El Comité Parlamentario Mixto de Derechos Humanos informa al Parlamento sobre si un proyecto de ley o un instrumento legislativo es compatible con los derechos humanos y, en caso de que prevea limitaciones a los derechos humanos, si dichas limitaciones son admisibles. En la referida ley, los derechos humanos se definen como los derechos y las libertades contemplados en los siete tratados fundamentales de derechos humanos en los que Australia es parte.</w:t>
      </w:r>
    </w:p>
    <w:p w14:paraId="076BE705" w14:textId="20A7EBB1" w:rsidR="000C706A" w:rsidRPr="00C52B38" w:rsidRDefault="000C706A" w:rsidP="00DB209B">
      <w:pPr>
        <w:pStyle w:val="Bullet1G"/>
      </w:pPr>
      <w:r w:rsidRPr="00C52B38">
        <w:t>Los informes del Comité Parlamentario Mixto de Derechos Humanos se tienen en cuenta a la hora de elaborar y mejorar la legislación, pero no afectan a la validez de esta ni a la posibilidad de que un proyecto de ley sea aprobado por el Parlamento.</w:t>
      </w:r>
    </w:p>
    <w:p w14:paraId="518A6629" w14:textId="3D08B286" w:rsidR="000C706A" w:rsidRPr="00C52B38" w:rsidRDefault="000C706A" w:rsidP="00DB209B">
      <w:pPr>
        <w:pStyle w:val="Bullet1G"/>
      </w:pPr>
      <w:r w:rsidRPr="00C52B38">
        <w:t>El Comité Parlamentario Mixto de Derechos Humanos tiene también las siguientes funciones:</w:t>
      </w:r>
    </w:p>
    <w:p w14:paraId="457E0757" w14:textId="7F808E49" w:rsidR="000C706A" w:rsidRPr="00C52B38" w:rsidRDefault="000C706A" w:rsidP="0061602F">
      <w:pPr>
        <w:pStyle w:val="Bullet2G"/>
      </w:pPr>
      <w:r w:rsidRPr="00C52B38">
        <w:t>Examinar las leyes vigentes para comprobar su compatibilidad con los derechos humanos, e informar a ambas cámaras del Parlamento al respecto.</w:t>
      </w:r>
    </w:p>
    <w:p w14:paraId="0EEC6349" w14:textId="76DB9D67" w:rsidR="000C706A" w:rsidRPr="00CF1809" w:rsidRDefault="000C706A" w:rsidP="0061602F">
      <w:pPr>
        <w:pStyle w:val="Bullet2G"/>
        <w:rPr>
          <w:spacing w:val="-1"/>
        </w:rPr>
      </w:pPr>
      <w:r w:rsidRPr="00CF1809">
        <w:rPr>
          <w:spacing w:val="-1"/>
        </w:rPr>
        <w:t>Investigar cualquier asunto relacionado con los derechos humanos que le remita el Fiscal General, e informar a ambas cámaras del Parlamento sobre ello.</w:t>
      </w:r>
    </w:p>
    <w:p w14:paraId="1DA9905C" w14:textId="77777777" w:rsidR="000C706A" w:rsidRPr="00C52B38" w:rsidRDefault="000C706A" w:rsidP="002370A4">
      <w:pPr>
        <w:pStyle w:val="SingleTxtG"/>
      </w:pPr>
      <w:r w:rsidRPr="00C52B38">
        <w:t>140.</w:t>
      </w:r>
      <w:r w:rsidRPr="00C52B38">
        <w:tab/>
        <w:t>El Gobierno puede pedir a otros comités del Senado que investiguen cuestiones de derechos humanos cuando sea pertinente.</w:t>
      </w:r>
    </w:p>
    <w:p w14:paraId="0D13CCAD" w14:textId="7A5FCB2E" w:rsidR="000C706A" w:rsidRPr="00C52B38" w:rsidRDefault="000C706A" w:rsidP="00DB209B">
      <w:pPr>
        <w:pStyle w:val="Bullet1G"/>
      </w:pPr>
      <w:r w:rsidRPr="00C52B38">
        <w:t>El Comité Permanente del Senado de Asuntos Jurídicos y Constitucionales puede investigar asuntos que dependen de las carteras de la Fiscalía General y el Ministerio del Interior, y ha llevado a cabo investigaciones sobre las disposiciones legislativas que eximen a los centros educativos confesionales de cumplir la normativa general contra la discriminación de estudiantes, docentes y demás personal por motivos de orientación sexual e identidad de género, así como sobre las denuncias de malos tratos a personas privadas de libertad por motivos relacionados con la migración.</w:t>
      </w:r>
    </w:p>
    <w:p w14:paraId="4B9FC59D" w14:textId="29D5687B" w:rsidR="000C706A" w:rsidRPr="00C52B38" w:rsidRDefault="000C706A" w:rsidP="00DB209B">
      <w:pPr>
        <w:pStyle w:val="Bullet1G"/>
      </w:pPr>
      <w:r w:rsidRPr="00C52B38">
        <w:t xml:space="preserve">El Comité Permanente del Senado de Asuntos Comunitarios puede examinar asuntos relacionados con la salud y los servicios sociales, y ha llevado a cabo investigaciones sobre violencia, malos tratos y descuido contra personas con discapacidad en establecimientos de servicios y centros de atención residencial. </w:t>
      </w:r>
    </w:p>
    <w:p w14:paraId="4B6CFDCA" w14:textId="77777777" w:rsidR="000C706A" w:rsidRPr="00C52B38" w:rsidRDefault="000C706A" w:rsidP="002370A4">
      <w:pPr>
        <w:pStyle w:val="SingleTxtG"/>
      </w:pPr>
      <w:r w:rsidRPr="00C52B38">
        <w:lastRenderedPageBreak/>
        <w:t>141.</w:t>
      </w:r>
      <w:r w:rsidRPr="00C52B38">
        <w:tab/>
        <w:t>Asimismo, el Gobierno de Australia y los Gobiernos de los estados y de los territorios pueden establecer comisiones reales, que son la instancia más elevada de investigación de asuntos de interés público. En los últimos años, las comisiones reales del Gobierno de Australia han investigado una serie de asuntos significativos, entre ellos cuestiones de derechos humanos. Algunas de esas comisiones reales son:</w:t>
      </w:r>
    </w:p>
    <w:p w14:paraId="2F50FB7C" w14:textId="37333B11" w:rsidR="000C706A" w:rsidRPr="00C52B38" w:rsidRDefault="000C706A" w:rsidP="00DB209B">
      <w:pPr>
        <w:pStyle w:val="Bullet1G"/>
      </w:pPr>
      <w:r w:rsidRPr="00C52B38">
        <w:tab/>
        <w:t xml:space="preserve">Comisión Real sobre el Plan </w:t>
      </w:r>
      <w:proofErr w:type="spellStart"/>
      <w:r w:rsidRPr="00C52B38">
        <w:t>Robodeuda</w:t>
      </w:r>
      <w:proofErr w:type="spellEnd"/>
      <w:r w:rsidRPr="00C52B38">
        <w:t>.</w:t>
      </w:r>
    </w:p>
    <w:p w14:paraId="50CC9A5D" w14:textId="436DCB80" w:rsidR="000C706A" w:rsidRPr="00C52B38" w:rsidRDefault="000C706A" w:rsidP="00DB209B">
      <w:pPr>
        <w:pStyle w:val="Bullet1G"/>
      </w:pPr>
      <w:r w:rsidRPr="00C52B38">
        <w:tab/>
        <w:t>Comisión Real sobre Defensa y Suicidio de Veteranos.</w:t>
      </w:r>
    </w:p>
    <w:p w14:paraId="544AC537" w14:textId="2A6238E7" w:rsidR="000C706A" w:rsidRPr="00C52B38" w:rsidRDefault="000C706A" w:rsidP="00DB209B">
      <w:pPr>
        <w:pStyle w:val="Bullet1G"/>
      </w:pPr>
      <w:r w:rsidRPr="00C52B38">
        <w:t>Comisión Real sobre la Violencia, el Abuso, el Descuido y la Explotación de las Personas con Discapacidad.</w:t>
      </w:r>
    </w:p>
    <w:p w14:paraId="537CAA3E" w14:textId="29C94DC6" w:rsidR="000C706A" w:rsidRPr="00C52B38" w:rsidRDefault="000C706A" w:rsidP="00DB209B">
      <w:pPr>
        <w:pStyle w:val="Bullet1G"/>
      </w:pPr>
      <w:r w:rsidRPr="00C52B38">
        <w:t>Comisión Real sobre la Calidad y la Seguridad de la Atención a las Personas de Edad.</w:t>
      </w:r>
    </w:p>
    <w:p w14:paraId="709BEF80" w14:textId="27445421" w:rsidR="000C706A" w:rsidRPr="00C52B38" w:rsidRDefault="000C706A" w:rsidP="00DB209B">
      <w:pPr>
        <w:pStyle w:val="Bullet1G"/>
      </w:pPr>
      <w:r w:rsidRPr="00C52B38">
        <w:t xml:space="preserve">Comisión Real sobre las Respuestas Institucionales al Abuso Sexual Infantil. </w:t>
      </w:r>
    </w:p>
    <w:p w14:paraId="293FFFAE" w14:textId="07722990" w:rsidR="000C706A" w:rsidRPr="00C52B38" w:rsidRDefault="000C706A" w:rsidP="00DB209B">
      <w:pPr>
        <w:pStyle w:val="Bullet1G"/>
      </w:pPr>
      <w:r w:rsidRPr="00C52B38">
        <w:t>Comisión Real sobre la Protección y Detención de Niños en el Territorio del Norte.</w:t>
      </w:r>
    </w:p>
    <w:p w14:paraId="17408B8F" w14:textId="41B12838" w:rsidR="000C706A" w:rsidRPr="00C52B38" w:rsidRDefault="000C706A" w:rsidP="00DB209B">
      <w:pPr>
        <w:pStyle w:val="H4G"/>
      </w:pPr>
      <w:r>
        <w:tab/>
      </w:r>
      <w:r w:rsidR="00DB209B">
        <w:tab/>
      </w:r>
      <w:r w:rsidRPr="00C52B38">
        <w:t>Poder judicial</w:t>
      </w:r>
    </w:p>
    <w:p w14:paraId="22369C28" w14:textId="6F245572" w:rsidR="000C706A" w:rsidRPr="00C52B38" w:rsidRDefault="000C706A" w:rsidP="002370A4">
      <w:pPr>
        <w:pStyle w:val="SingleTxtG"/>
      </w:pPr>
      <w:bookmarkStart w:id="31" w:name="_Ref66794073"/>
      <w:r w:rsidRPr="00C52B38">
        <w:t>142.</w:t>
      </w:r>
      <w:r w:rsidRPr="00C52B38">
        <w:tab/>
        <w:t xml:space="preserve">Australia tiene un sistema jurídico de </w:t>
      </w:r>
      <w:proofErr w:type="spellStart"/>
      <w:r w:rsidRPr="00C52B38">
        <w:rPr>
          <w:i/>
          <w:iCs/>
        </w:rPr>
        <w:t>common</w:t>
      </w:r>
      <w:proofErr w:type="spellEnd"/>
      <w:r w:rsidRPr="00C52B38">
        <w:rPr>
          <w:i/>
          <w:iCs/>
        </w:rPr>
        <w:t xml:space="preserve"> </w:t>
      </w:r>
      <w:proofErr w:type="spellStart"/>
      <w:r w:rsidRPr="00C52B38">
        <w:rPr>
          <w:i/>
          <w:iCs/>
        </w:rPr>
        <w:t>law</w:t>
      </w:r>
      <w:proofErr w:type="spellEnd"/>
      <w:r w:rsidRPr="00C52B38">
        <w:t xml:space="preserve">, lo que significa que el reconocimiento y la protección de un gran número de derechos y libertades fundamentales se basa en la enunciación de esos derechos y libertades a lo largo de los siglos por los jueces y su incorporación en el </w:t>
      </w:r>
      <w:proofErr w:type="spellStart"/>
      <w:r w:rsidRPr="00C52B38">
        <w:rPr>
          <w:i/>
          <w:iCs/>
        </w:rPr>
        <w:t>common</w:t>
      </w:r>
      <w:proofErr w:type="spellEnd"/>
      <w:r w:rsidRPr="00C52B38">
        <w:rPr>
          <w:i/>
          <w:iCs/>
        </w:rPr>
        <w:t xml:space="preserve"> </w:t>
      </w:r>
      <w:proofErr w:type="spellStart"/>
      <w:r w:rsidRPr="00C52B38">
        <w:rPr>
          <w:i/>
          <w:iCs/>
        </w:rPr>
        <w:t>law</w:t>
      </w:r>
      <w:proofErr w:type="spellEnd"/>
      <w:r w:rsidRPr="00C52B38">
        <w:t xml:space="preserve">. Los derechos, las libertades y los privilegios tradicionales reconocidos en el </w:t>
      </w:r>
      <w:proofErr w:type="spellStart"/>
      <w:r w:rsidRPr="00C52B38">
        <w:rPr>
          <w:i/>
          <w:iCs/>
        </w:rPr>
        <w:t>common</w:t>
      </w:r>
      <w:proofErr w:type="spellEnd"/>
      <w:r w:rsidRPr="00C52B38">
        <w:rPr>
          <w:i/>
          <w:iCs/>
        </w:rPr>
        <w:t xml:space="preserve"> </w:t>
      </w:r>
      <w:proofErr w:type="spellStart"/>
      <w:r w:rsidRPr="00C52B38">
        <w:rPr>
          <w:i/>
          <w:iCs/>
        </w:rPr>
        <w:t>law</w:t>
      </w:r>
      <w:proofErr w:type="spellEnd"/>
      <w:r w:rsidRPr="00C52B38">
        <w:rPr>
          <w:i/>
          <w:iCs/>
        </w:rPr>
        <w:t xml:space="preserve"> </w:t>
      </w:r>
      <w:r w:rsidRPr="00C52B38">
        <w:t xml:space="preserve">se examinan en el informe de 2015 de la Comisión de Reforma Legislativa de Australia sobre derechos y libertades tradicionales (Informe 129), disponible en </w:t>
      </w:r>
      <w:hyperlink r:id="rId22" w:history="1">
        <w:proofErr w:type="spellStart"/>
        <w:r w:rsidR="00F25A8E" w:rsidRPr="00AD2474">
          <w:rPr>
            <w:rStyle w:val="Hipervnculo"/>
          </w:rPr>
          <w:t>www.alrc.gov.au</w:t>
        </w:r>
        <w:proofErr w:type="spellEnd"/>
        <w:r w:rsidR="00F25A8E" w:rsidRPr="00AD2474">
          <w:rPr>
            <w:rStyle w:val="Hipervnculo"/>
          </w:rPr>
          <w:t>/</w:t>
        </w:r>
        <w:proofErr w:type="spellStart"/>
        <w:r w:rsidR="00F25A8E" w:rsidRPr="00AD2474">
          <w:rPr>
            <w:rStyle w:val="Hipervnculo"/>
          </w:rPr>
          <w:t>publications</w:t>
        </w:r>
        <w:proofErr w:type="spellEnd"/>
      </w:hyperlink>
      <w:r w:rsidRPr="00C52B38">
        <w:t>.</w:t>
      </w:r>
      <w:bookmarkEnd w:id="31"/>
      <w:r w:rsidR="00F25A8E">
        <w:t xml:space="preserve"> </w:t>
      </w:r>
    </w:p>
    <w:p w14:paraId="24116EA5" w14:textId="71E06952" w:rsidR="000C706A" w:rsidRPr="00C52B38" w:rsidRDefault="000C706A" w:rsidP="002370A4">
      <w:pPr>
        <w:pStyle w:val="SingleTxtG"/>
      </w:pPr>
      <w:bookmarkStart w:id="32" w:name="_Ref66794084"/>
      <w:r w:rsidRPr="00C52B38">
        <w:t>143.</w:t>
      </w:r>
      <w:r w:rsidRPr="00C52B38">
        <w:tab/>
        <w:t xml:space="preserve">El poder judicial desempeña una importante función en la protección de determinados derechos y libertades fundamentales reconocidos, entre otras cosas mediante la elaboración de normas de interpretación de las leyes que reduzcan el grado de restricción legislativa no intencionada de esos derechos y libertades. El principio de legalidad protege los derechos fundamentales del </w:t>
      </w:r>
      <w:proofErr w:type="spellStart"/>
      <w:r w:rsidRPr="00C52B38">
        <w:rPr>
          <w:i/>
          <w:iCs/>
        </w:rPr>
        <w:t>common</w:t>
      </w:r>
      <w:proofErr w:type="spellEnd"/>
      <w:r w:rsidRPr="00C52B38">
        <w:rPr>
          <w:i/>
          <w:iCs/>
        </w:rPr>
        <w:t xml:space="preserve"> </w:t>
      </w:r>
      <w:proofErr w:type="spellStart"/>
      <w:r w:rsidRPr="00C52B38">
        <w:rPr>
          <w:i/>
          <w:iCs/>
        </w:rPr>
        <w:t>law</w:t>
      </w:r>
      <w:proofErr w:type="spellEnd"/>
      <w:r w:rsidRPr="00C52B38">
        <w:t xml:space="preserve"> para que no se vean menoscabados en el proceso de interpretación de la legislación. Los jueces parten de la base de que, por lo general, el Parlamento no tiene la intención de suprimir derechos fundamentales del </w:t>
      </w:r>
      <w:proofErr w:type="spellStart"/>
      <w:r w:rsidRPr="00C52B38">
        <w:rPr>
          <w:i/>
          <w:iCs/>
        </w:rPr>
        <w:t>common</w:t>
      </w:r>
      <w:proofErr w:type="spellEnd"/>
      <w:r w:rsidRPr="00C52B38">
        <w:rPr>
          <w:i/>
          <w:iCs/>
        </w:rPr>
        <w:t xml:space="preserve"> </w:t>
      </w:r>
      <w:proofErr w:type="spellStart"/>
      <w:r w:rsidRPr="00C52B38">
        <w:rPr>
          <w:i/>
          <w:iCs/>
        </w:rPr>
        <w:t>law</w:t>
      </w:r>
      <w:proofErr w:type="spellEnd"/>
      <w:r w:rsidRPr="00C52B38">
        <w:t>. Por consiguiente, solo se adoptará una interpretación que anule derechos fundamentales si el Parlamento lo determina expresamente o si implícitamente se requiere.</w:t>
      </w:r>
      <w:bookmarkEnd w:id="32"/>
    </w:p>
    <w:p w14:paraId="4BCE67B0" w14:textId="4460BAF2" w:rsidR="000C706A" w:rsidRPr="00C52B38" w:rsidRDefault="000C706A" w:rsidP="00DB209B">
      <w:pPr>
        <w:pStyle w:val="H4G"/>
      </w:pPr>
      <w:r>
        <w:tab/>
      </w:r>
      <w:r w:rsidR="00DB209B">
        <w:tab/>
      </w:r>
      <w:r w:rsidRPr="00C52B38">
        <w:t>Derecho administrativo</w:t>
      </w:r>
    </w:p>
    <w:p w14:paraId="486CAA2C" w14:textId="285339C3" w:rsidR="000C706A" w:rsidRPr="00C52B38" w:rsidRDefault="000C706A" w:rsidP="002370A4">
      <w:pPr>
        <w:pStyle w:val="SingleTxtG"/>
      </w:pPr>
      <w:r w:rsidRPr="00C52B38">
        <w:t>144.</w:t>
      </w:r>
      <w:r w:rsidRPr="00C52B38">
        <w:tab/>
        <w:t>El sistema de derecho administrativo de Australia ofrece mecanismos de rendición de cuentas que se aplican a la toma de decisiones gubernamentales sobre asuntos que repercuten en los derechos o intereses de las personas. Esos mecanismos permiten a los ciudadanos impugnar decisiones tomadas en virtud de leyes federales y obtener explicaciones sobre determinadas decisiones</w:t>
      </w:r>
      <w:r w:rsidR="008C525F">
        <w:t>:</w:t>
      </w:r>
    </w:p>
    <w:p w14:paraId="0BC92EA8" w14:textId="66AC1596" w:rsidR="000C706A" w:rsidRPr="00C52B38" w:rsidRDefault="000C706A" w:rsidP="00DB209B">
      <w:pPr>
        <w:pStyle w:val="Bullet1G"/>
      </w:pPr>
      <w:r w:rsidRPr="00C52B38">
        <w:t>En virtud de la Ley del Tribunal Administrativo de Apelación de 1975, se crea el Tribunal Administrativo de Apelación, órgano independiente cuya función es revisar las decisiones adoptadas por los ministros, las autoridades y los funcionarios del Commonwealth con arreglo a más de 400 leyes del Parlamento. El Tribunal puede confirmar o modificar una decisión, anularla y sustituirla por su propia decisión, o remitir la decisión a la instancia que la tomó para que la reconsidere según sus instrucciones y recomendaciones. El Tribunal lleva a cabo un examen del fondo de la cuestión en los ámbitos en los que tiene competencia, incluidos la seguridad social; la ciudadanía australiana, los pasaportes, las aduanas, los visados y las decisiones relacionadas con los visados; la regulación de las empresas y los servicios financieros; y la libertad de información.</w:t>
      </w:r>
    </w:p>
    <w:p w14:paraId="400FA03F" w14:textId="588E1B22" w:rsidR="000C706A" w:rsidRPr="00C52B38" w:rsidRDefault="000C706A" w:rsidP="00DB209B">
      <w:pPr>
        <w:pStyle w:val="Bullet1G"/>
      </w:pPr>
      <w:r w:rsidRPr="00C52B38">
        <w:t xml:space="preserve">La Ley de Decisiones Administrativas (Revisión Judicial) de 1977 prevé la revisión judicial de las medidas administrativas adoptadas en virtud de la legislación del Commonwealth por el Tribunal Federal de Australia. El Tribunal está facultado para revisar la legalidad de una decisión, incluido el proceso seguido para adoptarla, cuando una persona agraviada solicita una orden de revisión. En una revisión judicial, </w:t>
      </w:r>
      <w:r w:rsidRPr="00C52B38">
        <w:lastRenderedPageBreak/>
        <w:t xml:space="preserve">el </w:t>
      </w:r>
      <w:r w:rsidR="008C525F">
        <w:t>T</w:t>
      </w:r>
      <w:r w:rsidRPr="00C52B38">
        <w:t>ribunal no puede reformular la decisión. El recurso típico consiste en remitir la decisión a la instancia que la adoptó para que la modifique con arreglo a la ley.</w:t>
      </w:r>
    </w:p>
    <w:p w14:paraId="32837A16" w14:textId="77777777" w:rsidR="000C706A" w:rsidRPr="00C52B38" w:rsidRDefault="000C706A" w:rsidP="002370A4">
      <w:pPr>
        <w:pStyle w:val="SingleTxtG"/>
      </w:pPr>
      <w:r w:rsidRPr="00C52B38">
        <w:t>145.</w:t>
      </w:r>
      <w:r w:rsidRPr="00C52B38">
        <w:tab/>
        <w:t>Todos los estados y territorios australianos cuentan con mecanismos de derecho administrativo para desempeñar funciones similares a las realizadas a escala del Commonwealth.</w:t>
      </w:r>
    </w:p>
    <w:p w14:paraId="78EF78BA" w14:textId="77777777" w:rsidR="000C706A" w:rsidRPr="00C52B38" w:rsidRDefault="000C706A" w:rsidP="00DB209B">
      <w:pPr>
        <w:pStyle w:val="H23G"/>
      </w:pPr>
      <w:r w:rsidRPr="00C52B38">
        <w:tab/>
        <w:t>2.</w:t>
      </w:r>
      <w:r w:rsidRPr="00C52B38">
        <w:tab/>
        <w:t xml:space="preserve">Marcos jurídicos de derechos humanos y lucha contra la discriminación </w:t>
      </w:r>
    </w:p>
    <w:p w14:paraId="15F77680" w14:textId="77777777" w:rsidR="000C706A" w:rsidRPr="00C52B38" w:rsidRDefault="000C706A" w:rsidP="002370A4">
      <w:pPr>
        <w:pStyle w:val="SingleTxtG"/>
      </w:pPr>
      <w:r w:rsidRPr="00C52B38">
        <w:t>146.</w:t>
      </w:r>
      <w:r w:rsidRPr="00C52B38">
        <w:tab/>
        <w:t>Australia tiene un sistema jurídico dual, lo que significa que los tratados internacionales, incluidos los instrumentos de derechos humanos, no son directamente aplicables y requieren ser incorporados en la legislación nacional para surtir efecto en el ordenamiento jurídico australiano. Antes de que Australia adquiera las obligaciones de un tratado, el Gobierno australiano se asegura de que dispone de la legislación necesaria en vigor para aplicarlo.</w:t>
      </w:r>
    </w:p>
    <w:p w14:paraId="5189DAF3" w14:textId="16230998" w:rsidR="000C706A" w:rsidRPr="00C52B38" w:rsidRDefault="000C706A" w:rsidP="00DB209B">
      <w:pPr>
        <w:pStyle w:val="H4G"/>
      </w:pPr>
      <w:r>
        <w:tab/>
      </w:r>
      <w:r w:rsidR="00DB209B">
        <w:tab/>
      </w:r>
      <w:r w:rsidRPr="00C52B38">
        <w:t>Legislación federal sobre derechos humanos</w:t>
      </w:r>
    </w:p>
    <w:p w14:paraId="30A17CF0" w14:textId="77777777" w:rsidR="000C706A" w:rsidRPr="00C52B38" w:rsidRDefault="000C706A" w:rsidP="002370A4">
      <w:pPr>
        <w:pStyle w:val="SingleTxtG"/>
      </w:pPr>
      <w:r w:rsidRPr="00C52B38">
        <w:t>147.</w:t>
      </w:r>
      <w:r w:rsidRPr="00C52B38">
        <w:tab/>
        <w:t>Las leyes federales de Australia de lucha contra la discriminación son las siguientes:</w:t>
      </w:r>
    </w:p>
    <w:p w14:paraId="3E42C2CD" w14:textId="257805D9" w:rsidR="000C706A" w:rsidRPr="00C52B38" w:rsidRDefault="000C706A" w:rsidP="00DB209B">
      <w:pPr>
        <w:pStyle w:val="Bullet1G"/>
      </w:pPr>
      <w:r w:rsidRPr="00C52B38">
        <w:t>La Ley de Lucha contra la Discriminación Racial de 1975 (Commonwealth de Australia), que prohíbe discriminar a las personas en todas las esferas de la vida pública por motivos de raza, color, ascendencia, origen nacional o étnico o situación migratoria.</w:t>
      </w:r>
    </w:p>
    <w:p w14:paraId="2238147B" w14:textId="787FCB48" w:rsidR="000C706A" w:rsidRPr="00C52B38" w:rsidRDefault="000C706A" w:rsidP="008C525F">
      <w:pPr>
        <w:pStyle w:val="Bullet2G"/>
      </w:pPr>
      <w:r w:rsidRPr="00C52B38">
        <w:t>Esta ley es el medio para cumplir a escala nacional las obligaciones contraídas por Australia en virtud de la Convención Internacional sobre la Eliminación de todas las Formas de Discriminación Racial.</w:t>
      </w:r>
    </w:p>
    <w:p w14:paraId="5C767CA3" w14:textId="657D39C1" w:rsidR="000C706A" w:rsidRPr="00C52B38" w:rsidRDefault="000C706A" w:rsidP="00DB209B">
      <w:pPr>
        <w:pStyle w:val="Bullet1G"/>
      </w:pPr>
      <w:r w:rsidRPr="00C52B38">
        <w:t>La Ley de Discriminación Sexual de 1984 (Commonwealth de Australia), que prohíbe discriminar a las personas en esferas importantes de la vida pública por motivos de sexo, orientación sexual, identidad de género, intersexualidad, estado civil o relación de pareja, embarazo o posible embarazo, lactancia o responsabilidades familiares.</w:t>
      </w:r>
    </w:p>
    <w:p w14:paraId="48985DC5" w14:textId="5A2D2455" w:rsidR="000C706A" w:rsidRPr="00C52B38" w:rsidRDefault="000C706A" w:rsidP="008C525F">
      <w:pPr>
        <w:pStyle w:val="Bullet2G"/>
      </w:pPr>
      <w:r w:rsidRPr="00C52B38">
        <w:t>Esta ley permite cumplir a escala nacional las obligaciones contraídas por Australia en virtud de la Convención sobre la Eliminación de Todas las Formas de Discriminación contra la Mujer.</w:t>
      </w:r>
    </w:p>
    <w:p w14:paraId="18521F44" w14:textId="3D837D98" w:rsidR="000C706A" w:rsidRPr="00C52B38" w:rsidRDefault="000C706A" w:rsidP="00DB209B">
      <w:pPr>
        <w:pStyle w:val="Bullet1G"/>
      </w:pPr>
      <w:r w:rsidRPr="00C52B38">
        <w:t>La Ley contra la Discriminación por Discapacidad de 1992 (Commonwealth de Australia), que prohíbe discriminar a las personas por motivos de discapacidad en esferas clave de la vida pública.</w:t>
      </w:r>
    </w:p>
    <w:p w14:paraId="21863F3C" w14:textId="780E68C2" w:rsidR="000C706A" w:rsidRPr="00C52B38" w:rsidRDefault="000C706A" w:rsidP="008C525F">
      <w:pPr>
        <w:pStyle w:val="Bullet2G"/>
      </w:pPr>
      <w:r w:rsidRPr="00C52B38">
        <w:t>Esta ley es el medio para cumplir a escala nacional las obligaciones contraídas por Australia en virtud de la Convención sobre los Derechos de las Personas con Discapacidad.</w:t>
      </w:r>
    </w:p>
    <w:p w14:paraId="363497DF" w14:textId="375B29B7" w:rsidR="000C706A" w:rsidRPr="00C52B38" w:rsidRDefault="000C706A" w:rsidP="00DB209B">
      <w:pPr>
        <w:pStyle w:val="Bullet1G"/>
      </w:pPr>
      <w:r w:rsidRPr="00C52B38">
        <w:t>La Ley de Lucha contra la Discriminación por Edad de 2004 (Commonwealth de Australia), que prohíbe discriminar a las personas por motivos de edad en esferas clave de la vida pública.</w:t>
      </w:r>
    </w:p>
    <w:p w14:paraId="1AB30CE6" w14:textId="77777777" w:rsidR="000C706A" w:rsidRPr="00C52B38" w:rsidRDefault="000C706A" w:rsidP="002370A4">
      <w:pPr>
        <w:pStyle w:val="SingleTxtG"/>
      </w:pPr>
      <w:r w:rsidRPr="00C52B38">
        <w:t>148.</w:t>
      </w:r>
      <w:r w:rsidRPr="00C52B38">
        <w:tab/>
        <w:t>Entre otras leyes federales sobre derechos humanos figuran las siguientes:</w:t>
      </w:r>
    </w:p>
    <w:p w14:paraId="62028096" w14:textId="3F4F4CB0" w:rsidR="000C706A" w:rsidRPr="00C52B38" w:rsidRDefault="000C706A" w:rsidP="00DB209B">
      <w:pPr>
        <w:pStyle w:val="Bullet1G"/>
      </w:pPr>
      <w:r w:rsidRPr="00C52B38">
        <w:t>La Ley de la Comisión de Derechos Humanos de Australia de 1986 (Commonwealth de Australia), en virtud de la que se establece la Comisión de Derechos Humanos de Australia como órgano independiente de derecho público con funciones que incluyen la educación y la concienciación, la investigación y la conciliación en casos de denuncias de discriminación contraria a derecho y violación de los derechos humanos, así como la investigación de cuestiones relacionadas con los derechos humanos a escala nacional y la presentación de informes al respecto (véanse los párrafos 151 a</w:t>
      </w:r>
      <w:r w:rsidR="00DB209B">
        <w:t> </w:t>
      </w:r>
      <w:r w:rsidRPr="00C52B38">
        <w:t>155 para obtener más información sobre la Comisión de Derechos Humanos de Australia).</w:t>
      </w:r>
    </w:p>
    <w:p w14:paraId="150BDAB4" w14:textId="3D92B83C" w:rsidR="000C706A" w:rsidRPr="00C52B38" w:rsidRDefault="000C706A" w:rsidP="00DB209B">
      <w:pPr>
        <w:pStyle w:val="Bullet1G"/>
      </w:pPr>
      <w:r w:rsidRPr="00C52B38">
        <w:t xml:space="preserve">La Ley de Relaciones Laborales Justas de 2009 (Commonwealth de Australia), que incluye disposiciones destinadas a prevenir y eliminar la discriminación en el lugar de trabajo mediante la prohibición de la discriminación en el empleo por motivos de raza, color, sexo, orientación sexual, lactancia, identidad de género, intersexualidad, edad, </w:t>
      </w:r>
      <w:r w:rsidRPr="00C52B38">
        <w:lastRenderedPageBreak/>
        <w:t>discapacidad física o mental, estado civil, responsabilidades familiares o de cuidado, embarazo, religión, opiniones políticas, ascendencia nacional u origen social.</w:t>
      </w:r>
    </w:p>
    <w:p w14:paraId="02D1E790" w14:textId="22003247" w:rsidR="000C706A" w:rsidRPr="00C52B38" w:rsidRDefault="000C706A" w:rsidP="00DB209B">
      <w:pPr>
        <w:pStyle w:val="Bullet1G"/>
      </w:pPr>
      <w:r w:rsidRPr="00C52B38">
        <w:t>La Ley de Protección de la Vida Privada de 1988 (Commonwealth de Australia), que hace efectivo el derecho a la privacidad reconocido en el Pacto Internacional de Derechos Civiles y Políticos (artículo 17), con respecto a la protección de la información personal obtenida y conservada por entidades reguladas, como los organismos gubernamentales australianos y determinadas organizaciones del sector privado.</w:t>
      </w:r>
    </w:p>
    <w:p w14:paraId="49AD2D51" w14:textId="7C958D2E" w:rsidR="000C706A" w:rsidRPr="00C52B38" w:rsidRDefault="000C706A" w:rsidP="00DB209B">
      <w:pPr>
        <w:pStyle w:val="H4G"/>
      </w:pPr>
      <w:r>
        <w:tab/>
      </w:r>
      <w:r w:rsidR="00DB209B">
        <w:tab/>
      </w:r>
      <w:r w:rsidRPr="00C52B38">
        <w:t>Legislación de los estados y territorios</w:t>
      </w:r>
    </w:p>
    <w:p w14:paraId="13B06A80" w14:textId="3FCB330C" w:rsidR="000C706A" w:rsidRPr="00C52B38" w:rsidRDefault="000C706A" w:rsidP="002370A4">
      <w:pPr>
        <w:pStyle w:val="SingleTxtG"/>
      </w:pPr>
      <w:r w:rsidRPr="00C52B38">
        <w:t>149.</w:t>
      </w:r>
      <w:r w:rsidRPr="00C52B38">
        <w:tab/>
        <w:t>En tres jurisdicciones se han promulgado instrumentos legislativos de derechos humanos que reconocen una serie de derechos y libertades fundamentales, basados en el Pacto Internacional de Derechos Civiles y Políticos. Esos instrumentos legislativos exigen que el poder ejecutivo actúe y tome decisiones y que el poder judicial interprete la legislación, ambos de conformidad con los derechos humanos</w:t>
      </w:r>
      <w:r w:rsidR="004C6866">
        <w:t>:</w:t>
      </w:r>
    </w:p>
    <w:p w14:paraId="71F27475" w14:textId="723285FD" w:rsidR="000C706A" w:rsidRPr="00C52B38" w:rsidRDefault="000C706A" w:rsidP="00DB209B">
      <w:pPr>
        <w:pStyle w:val="Bullet1G"/>
      </w:pPr>
      <w:r w:rsidRPr="00C52B38">
        <w:t>La Ley de Derechos Humanos de 2004 del Territorio de la Capital de Australia establece los derechos que están protegidos y las circunstancias bajo las que pueden restringirse, y explica cómo se incorporan los derechos humanos en la legislación del Territorio de la Capital de Australia. Asimismo, la Ley de Derechos Humanos del Territorio de la Capital de Australia establece un mecanismo de control de los proyectos de ley presentados a la Asamblea Legislativa, determina las obligaciones de las autoridades públicas en relación con los derechos humanos y prevé el derecho de los ciudadanos a entablar una acción directa ante el Tribunal Supremo por presuntas violaciones de los derechos humanos por parte de las autoridades públicas.</w:t>
      </w:r>
    </w:p>
    <w:p w14:paraId="7D6AA309" w14:textId="3BC5DDAE" w:rsidR="000C706A" w:rsidRPr="00C52B38" w:rsidRDefault="000C706A" w:rsidP="00DB209B">
      <w:pPr>
        <w:pStyle w:val="Bullet1G"/>
      </w:pPr>
      <w:r w:rsidRPr="00C52B38">
        <w:t>La Ley de la Carta de Derechos Humanos y Responsabilidades de Victoria de 2006 refleja fielmente la Ley de Derechos Humanos del Territorio de la Capital de Australia en muchas de sus disposiciones, entre ellas las relativas a la posibilidad de declarar la incompatibilidad de las leyes con los derechos humanos y el establecimiento de un mecanismo de examen de los proyectos de ley. La Ley de la Carta de Derechos Humanos y Responsabilidades de Victoria tiene por objeto proteger y promover determinados derechos civiles y políticos, incluidos un igual reconocimiento ante la ley y el derecho a la vida. Asimismo, reconoce que los aborígenes son titulares de derechos culturales propios.</w:t>
      </w:r>
    </w:p>
    <w:p w14:paraId="7EFD9E41" w14:textId="23DECE2A" w:rsidR="000C706A" w:rsidRPr="00C52B38" w:rsidRDefault="000C706A" w:rsidP="00DB209B">
      <w:pPr>
        <w:pStyle w:val="Bullet1G"/>
      </w:pPr>
      <w:r w:rsidRPr="00C52B38">
        <w:t xml:space="preserve">La Ley de Derechos Humanos de Queensland de 2019 protege 23 derechos humanos y exige a las entidades públicas que adopten sus decisiones y actúen de manera compatible con los derechos humanos y al Parlamento que tenga en cuenta los derechos humanos a la hora de aprobar nuevas leyes o modificar las vigentes. Además de los derechos previstos en el Pacto Internacional de Derechos Civiles y Políticos, la Ley de Derechos Humanos de Queensland protege dos derechos establecidos en el Pacto Internacional de Derechos Económicos, Sociales y Culturales (el derecho a la educación y el derecho a servicios médicos) y uno contemplado en la Declaración Universal de Derechos Humanos (el derecho a la propiedad). Asimismo, la Ley de Derechos Humanos de Queensland reconoce y protege los derechos culturales propios de los pueblos aborígenes e isleños del estrecho de Torres. </w:t>
      </w:r>
    </w:p>
    <w:p w14:paraId="62AD2BE8" w14:textId="77777777" w:rsidR="000C706A" w:rsidRPr="00C52B38" w:rsidRDefault="000C706A" w:rsidP="002370A4">
      <w:pPr>
        <w:pStyle w:val="SingleTxtG"/>
      </w:pPr>
      <w:r w:rsidRPr="00C52B38">
        <w:t>150.</w:t>
      </w:r>
      <w:r w:rsidRPr="00C52B38">
        <w:tab/>
        <w:t>Todos los estados y territorios cuentan con legislación contra la discriminación y un consejo o comisión que supervisa la situación de los derechos humanos y la lucha contra la discriminación. Si bien las funciones de cada organismo varían, entre ellas figuran la substanciación o resolución mediante conciliación de casos de denuncia de discriminación presentados en virtud de la legislación vigente en la jurisdicción en cuestión, así como la educación y concienciación en materia de derechos humanos.</w:t>
      </w:r>
    </w:p>
    <w:p w14:paraId="287A4CB5" w14:textId="6DBEDA66" w:rsidR="000C706A" w:rsidRPr="00C52B38" w:rsidRDefault="000C706A" w:rsidP="00DB209B">
      <w:pPr>
        <w:pStyle w:val="H1G"/>
      </w:pPr>
      <w:bookmarkStart w:id="33" w:name="_Toc147326780"/>
      <w:r w:rsidRPr="00C52B38">
        <w:lastRenderedPageBreak/>
        <w:tab/>
        <w:t>C.</w:t>
      </w:r>
      <w:r w:rsidRPr="00C52B38">
        <w:tab/>
        <w:t>Marco de promoción de los derechos humanos a nivel nacional</w:t>
      </w:r>
      <w:bookmarkStart w:id="34" w:name="_Toc167980145"/>
      <w:bookmarkEnd w:id="33"/>
      <w:bookmarkEnd w:id="34"/>
    </w:p>
    <w:p w14:paraId="76DD8508" w14:textId="77777777" w:rsidR="000C706A" w:rsidRPr="00C52B38" w:rsidRDefault="000C706A" w:rsidP="00DB209B">
      <w:pPr>
        <w:pStyle w:val="H23G"/>
      </w:pPr>
      <w:r w:rsidRPr="00C52B38">
        <w:tab/>
        <w:t>1.</w:t>
      </w:r>
      <w:r w:rsidRPr="00C52B38">
        <w:tab/>
        <w:t>Realización y promoción de los derechos humanos en Australia</w:t>
      </w:r>
    </w:p>
    <w:p w14:paraId="2B457679" w14:textId="53E91BBB" w:rsidR="000C706A" w:rsidRPr="00C52B38" w:rsidRDefault="000C706A" w:rsidP="00DB209B">
      <w:pPr>
        <w:pStyle w:val="H4G"/>
      </w:pPr>
      <w:r>
        <w:tab/>
      </w:r>
      <w:r w:rsidR="00DB209B">
        <w:tab/>
      </w:r>
      <w:r w:rsidRPr="00C52B38">
        <w:t>Institución nacional de derechos humanos</w:t>
      </w:r>
    </w:p>
    <w:p w14:paraId="22DECF75" w14:textId="7F0C434B" w:rsidR="000C706A" w:rsidRPr="00C52B38" w:rsidRDefault="000C706A" w:rsidP="002370A4">
      <w:pPr>
        <w:pStyle w:val="SingleTxtG"/>
      </w:pPr>
      <w:bookmarkStart w:id="35" w:name="_Ref64892778"/>
      <w:r w:rsidRPr="00C52B38">
        <w:t>151.</w:t>
      </w:r>
      <w:r w:rsidRPr="00C52B38">
        <w:tab/>
        <w:t xml:space="preserve">La Comisión de Derechos Humanos de Australia es la institución nacional de derechos humanos de Australia. Desde 1999, está acreditada como institución nacional de derechos humanos de categoría A de conformidad con los principios relativos al estatuto de las instituciones nacionales de promoción y protección de los derechos humanos (Principios de París). </w:t>
      </w:r>
      <w:bookmarkEnd w:id="35"/>
    </w:p>
    <w:p w14:paraId="58C98AA1" w14:textId="77777777" w:rsidR="000C706A" w:rsidRPr="00C52B38" w:rsidRDefault="000C706A" w:rsidP="002370A4">
      <w:pPr>
        <w:pStyle w:val="SingleTxtG"/>
      </w:pPr>
      <w:r w:rsidRPr="00C52B38">
        <w:t>152.</w:t>
      </w:r>
      <w:r w:rsidRPr="00C52B38">
        <w:tab/>
        <w:t>La Comisión de Derechos Humanos de Australia es un organismo independiente de derecho público, con funciones que incluyen:</w:t>
      </w:r>
    </w:p>
    <w:p w14:paraId="46D81522" w14:textId="44F4C6EC" w:rsidR="000C706A" w:rsidRPr="00C52B38" w:rsidRDefault="000C706A" w:rsidP="00DB209B">
      <w:pPr>
        <w:pStyle w:val="Bullet1G"/>
      </w:pPr>
      <w:r w:rsidRPr="00C52B38">
        <w:t>La educación y la concienciación</w:t>
      </w:r>
      <w:r w:rsidR="004C6866">
        <w:t>.</w:t>
      </w:r>
    </w:p>
    <w:p w14:paraId="6AAFA09A" w14:textId="38DAC251" w:rsidR="000C706A" w:rsidRPr="00C52B38" w:rsidRDefault="000C706A" w:rsidP="00DB209B">
      <w:pPr>
        <w:pStyle w:val="Bullet1G"/>
      </w:pPr>
      <w:r w:rsidRPr="00C52B38">
        <w:t>La investigación y la conciliación en casos de denuncias de discriminación contraria a derecho y violación de los derechos humanos</w:t>
      </w:r>
      <w:r w:rsidR="004C6866">
        <w:t>.</w:t>
      </w:r>
    </w:p>
    <w:p w14:paraId="6EB11952" w14:textId="17CCA658" w:rsidR="000C706A" w:rsidRPr="00C52B38" w:rsidRDefault="000C706A" w:rsidP="00DB209B">
      <w:pPr>
        <w:pStyle w:val="Bullet1G"/>
      </w:pPr>
      <w:r w:rsidRPr="00C52B38">
        <w:t>La investigación de cuestiones relacionadas con los derechos humanos a escala nacional y la presentación de informes al respecto.</w:t>
      </w:r>
    </w:p>
    <w:p w14:paraId="1B2555C7" w14:textId="77777777" w:rsidR="000C706A" w:rsidRPr="00C52B38" w:rsidRDefault="000C706A" w:rsidP="002370A4">
      <w:pPr>
        <w:pStyle w:val="SingleTxtG"/>
      </w:pPr>
      <w:r w:rsidRPr="00C52B38">
        <w:t>153.</w:t>
      </w:r>
      <w:r w:rsidRPr="00C52B38">
        <w:tab/>
        <w:t>La Comisión de Derechos Humanos de Australia informa al Parlamento Federal a través del Fiscal General del Gobierno australiano. En 2023-2024, se prevé que el Gobierno de Australia aporte 26,7 millones de dólares a la Comisión para su funcionamiento y para la ejecución de programas y servicios. En la actualidad, la Comisión de Derechos Humanos de Australia está compuesta por una presidencia y los siguientes siete comisionados con fines específicos:</w:t>
      </w:r>
    </w:p>
    <w:p w14:paraId="025877DB" w14:textId="091A5B62" w:rsidR="000C706A" w:rsidRPr="00C52B38" w:rsidRDefault="000C706A" w:rsidP="00DB209B">
      <w:pPr>
        <w:pStyle w:val="Bullet1G"/>
      </w:pPr>
      <w:r w:rsidRPr="00C52B38">
        <w:t>Comisionada de Derechos Humanos</w:t>
      </w:r>
      <w:r w:rsidR="004C6866">
        <w:t>.</w:t>
      </w:r>
    </w:p>
    <w:p w14:paraId="16FAC7C1" w14:textId="041100E4" w:rsidR="000C706A" w:rsidRPr="00C52B38" w:rsidRDefault="000C706A" w:rsidP="00DB209B">
      <w:pPr>
        <w:pStyle w:val="Bullet1G"/>
      </w:pPr>
      <w:r w:rsidRPr="00C52B38">
        <w:t>Comisionada de Justicia Social para los Aborígenes y los Isleños del Estrecho de Torres</w:t>
      </w:r>
      <w:r w:rsidR="004C6866">
        <w:t>.</w:t>
      </w:r>
    </w:p>
    <w:p w14:paraId="2DCDFDA0" w14:textId="2E04ACAA" w:rsidR="000C706A" w:rsidRPr="00C52B38" w:rsidRDefault="000C706A" w:rsidP="00DB209B">
      <w:pPr>
        <w:pStyle w:val="Bullet1G"/>
      </w:pPr>
      <w:r w:rsidRPr="00C52B38">
        <w:t>Comisionado Encargado de la Lucha contra la Discriminación por Edad</w:t>
      </w:r>
      <w:r w:rsidR="004C6866">
        <w:t>.</w:t>
      </w:r>
    </w:p>
    <w:p w14:paraId="5287AAAE" w14:textId="10343BD4" w:rsidR="000C706A" w:rsidRPr="00C52B38" w:rsidRDefault="000C706A" w:rsidP="00DB209B">
      <w:pPr>
        <w:pStyle w:val="Bullet1G"/>
      </w:pPr>
      <w:r w:rsidRPr="00C52B38">
        <w:t>Comisionada para la Lucha contra la Discriminación por Discapacidad</w:t>
      </w:r>
      <w:r w:rsidR="004C6866">
        <w:t>.</w:t>
      </w:r>
    </w:p>
    <w:p w14:paraId="39ABC0F5" w14:textId="614CA295" w:rsidR="000C706A" w:rsidRPr="00C52B38" w:rsidRDefault="000C706A" w:rsidP="00DB209B">
      <w:pPr>
        <w:pStyle w:val="Bullet1G"/>
      </w:pPr>
      <w:r w:rsidRPr="00C52B38">
        <w:t>Comisionado para la Lucha contra la Discriminación Racial</w:t>
      </w:r>
      <w:r w:rsidR="004C6866">
        <w:t>.</w:t>
      </w:r>
    </w:p>
    <w:p w14:paraId="0D16587D" w14:textId="08DF2A94" w:rsidR="000C706A" w:rsidRPr="00C52B38" w:rsidRDefault="000C706A" w:rsidP="00DB209B">
      <w:pPr>
        <w:pStyle w:val="Bullet1G"/>
      </w:pPr>
      <w:r w:rsidRPr="00C52B38">
        <w:t>Comisionada para la Lucha contra la Discriminación Sexual</w:t>
      </w:r>
      <w:r w:rsidR="004C6866">
        <w:t>.</w:t>
      </w:r>
    </w:p>
    <w:p w14:paraId="2D4D72F3" w14:textId="747112C1" w:rsidR="000C706A" w:rsidRPr="00C52B38" w:rsidRDefault="000C706A" w:rsidP="00DB209B">
      <w:pPr>
        <w:pStyle w:val="Bullet1G"/>
      </w:pPr>
      <w:r w:rsidRPr="00C52B38">
        <w:t>Comisionada Nacional para la Infancia</w:t>
      </w:r>
      <w:r w:rsidR="004C6866">
        <w:t>.</w:t>
      </w:r>
    </w:p>
    <w:p w14:paraId="0F3FAF52" w14:textId="677CFF1B" w:rsidR="000C706A" w:rsidRPr="00C52B38" w:rsidRDefault="000C706A" w:rsidP="002370A4">
      <w:pPr>
        <w:pStyle w:val="SingleTxtG"/>
      </w:pPr>
      <w:bookmarkStart w:id="36" w:name="_Ref64892794"/>
      <w:r w:rsidRPr="00C52B38">
        <w:t>154.</w:t>
      </w:r>
      <w:r w:rsidRPr="00C52B38">
        <w:tab/>
        <w:t xml:space="preserve">Las investigaciones públicas llevadas a cabo por la Comisión de Derechos Humanos de Australia sitúan en la agenda política y pública las principales cuestiones de derechos humanos en Australia. Entre sus investigaciones destacan las relativas a la separación de los niños aborígenes e isleños del estrecho de Torres de sus familias (1997), los niños privados de libertad por motivos relacionados con la migración (2014), la discriminación laboral de los australianos de edad y los australianos con discapacidad (2016), el acoso sexual en los lugares de trabajo australianos (2020) y las mujeres y niñas aborígenes e isleñas del estrecho de Torres (2020). Puede consultarse más información en </w:t>
      </w:r>
      <w:hyperlink r:id="rId23" w:history="1">
        <w:proofErr w:type="spellStart"/>
        <w:r w:rsidR="00F25A8E" w:rsidRPr="00AD2474">
          <w:rPr>
            <w:rStyle w:val="Hipervnculo"/>
          </w:rPr>
          <w:t>www.humanrights.gov.au</w:t>
        </w:r>
        <w:proofErr w:type="spellEnd"/>
      </w:hyperlink>
      <w:r w:rsidRPr="00C52B38">
        <w:t>.</w:t>
      </w:r>
      <w:bookmarkEnd w:id="36"/>
      <w:r w:rsidR="00F25A8E">
        <w:t xml:space="preserve"> </w:t>
      </w:r>
    </w:p>
    <w:p w14:paraId="19358481" w14:textId="77777777" w:rsidR="000C706A" w:rsidRPr="00C52B38" w:rsidRDefault="000C706A" w:rsidP="002370A4">
      <w:pPr>
        <w:pStyle w:val="SingleTxtG"/>
      </w:pPr>
      <w:r w:rsidRPr="00C52B38">
        <w:t>155.</w:t>
      </w:r>
      <w:r w:rsidRPr="00C52B38">
        <w:tab/>
        <w:t>Entre los proyectos más importantes llevados a cabo por la Comisión de Derechos Humanos de Australia se incluyen los siguientes:</w:t>
      </w:r>
    </w:p>
    <w:p w14:paraId="352906AE" w14:textId="57AE0B37" w:rsidR="000C706A" w:rsidRPr="00C52B38" w:rsidRDefault="000C706A" w:rsidP="00DB209B">
      <w:pPr>
        <w:pStyle w:val="Bullet1G"/>
      </w:pPr>
      <w:r w:rsidRPr="00C52B38">
        <w:t>En 2022, el Comisionado para la Lucha contra la Discriminación Racial relanzó la campaña “</w:t>
      </w:r>
      <w:r w:rsidR="00F25A8E" w:rsidRPr="00C52B38">
        <w:t>Racismo</w:t>
      </w:r>
      <w:r w:rsidRPr="00C52B38">
        <w:t xml:space="preserve">. </w:t>
      </w:r>
      <w:r w:rsidR="00F25A8E" w:rsidRPr="00C52B38">
        <w:t>Ti</w:t>
      </w:r>
      <w:r w:rsidRPr="00C52B38">
        <w:t xml:space="preserve"> </w:t>
      </w:r>
      <w:proofErr w:type="spellStart"/>
      <w:r w:rsidRPr="00C52B38">
        <w:t>Stops</w:t>
      </w:r>
      <w:proofErr w:type="spellEnd"/>
      <w:r w:rsidRPr="00C52B38">
        <w:t xml:space="preserve"> </w:t>
      </w:r>
      <w:proofErr w:type="spellStart"/>
      <w:r w:rsidRPr="00C52B38">
        <w:t>with</w:t>
      </w:r>
      <w:proofErr w:type="spellEnd"/>
      <w:r w:rsidRPr="00C52B38">
        <w:t xml:space="preserve"> Me” [“El racismo se termina conmigo”] para promover las asociaciones y la investigación y obtener datos con el fin de luchar contra el racismo en Australia. También se ha puesto en marcha un marco nacional contra el racismo para desarrollar un punto de referencia central y duradero que oriente las acciones de lucha contra el racismo del Gobierno, las ONG, las empresas, los docentes, los profesionales de la salud, la policía, otras autoridades judiciales, la sociedad civil y la comunidad.</w:t>
      </w:r>
    </w:p>
    <w:p w14:paraId="01F2156F" w14:textId="091F8165" w:rsidR="000C706A" w:rsidRPr="00C52B38" w:rsidRDefault="000C706A" w:rsidP="00DB209B">
      <w:pPr>
        <w:pStyle w:val="Bullet1G"/>
      </w:pPr>
      <w:r w:rsidRPr="00C52B38">
        <w:lastRenderedPageBreak/>
        <w:t xml:space="preserve">En 2022, la Comisionada de Justicia Social para los Aborígenes y los Isleños del Estrecho de Torres publicó </w:t>
      </w:r>
      <w:r w:rsidR="00F25A8E" w:rsidRPr="00C52B38">
        <w:rPr>
          <w:i/>
          <w:iCs/>
        </w:rPr>
        <w:t>Wii</w:t>
      </w:r>
      <w:r w:rsidRPr="00C52B38">
        <w:rPr>
          <w:i/>
          <w:iCs/>
        </w:rPr>
        <w:t xml:space="preserve"> Yani U </w:t>
      </w:r>
      <w:proofErr w:type="spellStart"/>
      <w:r w:rsidRPr="00C52B38">
        <w:rPr>
          <w:i/>
          <w:iCs/>
        </w:rPr>
        <w:t>Thangani</w:t>
      </w:r>
      <w:proofErr w:type="spellEnd"/>
      <w:r w:rsidRPr="00C52B38">
        <w:rPr>
          <w:i/>
          <w:iCs/>
        </w:rPr>
        <w:t xml:space="preserve"> (</w:t>
      </w:r>
      <w:proofErr w:type="spellStart"/>
      <w:r w:rsidRPr="00C52B38">
        <w:rPr>
          <w:i/>
          <w:iCs/>
        </w:rPr>
        <w:t>Women</w:t>
      </w:r>
      <w:r w:rsidR="00F25A8E">
        <w:rPr>
          <w:i/>
          <w:iCs/>
        </w:rPr>
        <w:t>’</w:t>
      </w:r>
      <w:r w:rsidRPr="00C52B38">
        <w:rPr>
          <w:i/>
          <w:iCs/>
        </w:rPr>
        <w:t>s</w:t>
      </w:r>
      <w:proofErr w:type="spellEnd"/>
      <w:r w:rsidRPr="00C52B38">
        <w:rPr>
          <w:i/>
          <w:iCs/>
        </w:rPr>
        <w:t xml:space="preserve"> </w:t>
      </w:r>
      <w:r w:rsidR="00F25A8E" w:rsidRPr="00C52B38">
        <w:rPr>
          <w:i/>
          <w:iCs/>
        </w:rPr>
        <w:t>Voces</w:t>
      </w:r>
      <w:r w:rsidRPr="00C52B38">
        <w:rPr>
          <w:i/>
          <w:iCs/>
        </w:rPr>
        <w:t>)</w:t>
      </w:r>
      <w:r w:rsidRPr="00C52B38">
        <w:t>, un marco de aplicación de un enfoque nacional para promover los derechos de las mujeres y las niñas aborígenes e isleñas del estrecho de Torres.</w:t>
      </w:r>
    </w:p>
    <w:p w14:paraId="3F2CFD18" w14:textId="34617026" w:rsidR="000C706A" w:rsidRPr="00C52B38" w:rsidRDefault="000C706A" w:rsidP="00DB209B">
      <w:pPr>
        <w:pStyle w:val="Bullet1G"/>
      </w:pPr>
      <w:r w:rsidRPr="00C52B38">
        <w:t xml:space="preserve">En 2021, la Comisionada para la Lucha contra la Discriminación por Discapacidad puso en marcha </w:t>
      </w:r>
      <w:proofErr w:type="spellStart"/>
      <w:r w:rsidRPr="00C52B38">
        <w:rPr>
          <w:i/>
          <w:iCs/>
        </w:rPr>
        <w:t>IncludeAbility</w:t>
      </w:r>
      <w:proofErr w:type="spellEnd"/>
      <w:r w:rsidRPr="00C52B38">
        <w:t>, una iniciativa para aumentar las oportunidades de empleo de las personas con discapacidad.</w:t>
      </w:r>
    </w:p>
    <w:p w14:paraId="3BF65D49" w14:textId="4EC0FCA0" w:rsidR="000C706A" w:rsidRPr="00C52B38" w:rsidRDefault="000C706A" w:rsidP="00DB209B">
      <w:pPr>
        <w:pStyle w:val="Bullet1G"/>
      </w:pPr>
      <w:r w:rsidRPr="00C52B38">
        <w:t>La Comisionada Nacional para la Infancia contribuyó a la adopción en 2021 de la Estrategia Seguridad y apoyo: Marco Nacional de Protección de los Niños de Australia (2021-2031), que proporciona un marco nacional para reformar los sistemas con el fin de mejorar el bienestar de los niños y garantizar que las voces de los niños y las familias sean tenidas en cuenta en el diseño de las políticas destinadas a prestarles ayuda, incluidas las relacionadas con la violencia doméstica y familiar, la discapacidad, el abuso sexual de niños y el desarrollo de los aborígenes e isleños del estrecho de Torres en la primera infancia.</w:t>
      </w:r>
    </w:p>
    <w:p w14:paraId="756582A6" w14:textId="43D7E87F" w:rsidR="000C706A" w:rsidRPr="00C52B38" w:rsidRDefault="000C706A" w:rsidP="00DB209B">
      <w:pPr>
        <w:pStyle w:val="Bullet1G"/>
      </w:pPr>
      <w:r w:rsidRPr="00C52B38">
        <w:t xml:space="preserve">En 2018, la entonces Comisionada para la Lucha contra la Discriminación Sexual inició una investigación sobre el acoso sexual en los lugares de trabajo en Australia, que dio lugar a la publicación </w:t>
      </w:r>
      <w:proofErr w:type="spellStart"/>
      <w:r w:rsidRPr="00C52B38">
        <w:rPr>
          <w:i/>
          <w:iCs/>
        </w:rPr>
        <w:t>Respect@Work</w:t>
      </w:r>
      <w:proofErr w:type="spellEnd"/>
      <w:r w:rsidRPr="00C52B38">
        <w:rPr>
          <w:i/>
          <w:iCs/>
        </w:rPr>
        <w:t xml:space="preserve">: Sexual </w:t>
      </w:r>
      <w:proofErr w:type="spellStart"/>
      <w:r w:rsidRPr="00C52B38">
        <w:rPr>
          <w:i/>
          <w:iCs/>
        </w:rPr>
        <w:t>Harassment</w:t>
      </w:r>
      <w:proofErr w:type="spellEnd"/>
      <w:r w:rsidRPr="00C52B38">
        <w:rPr>
          <w:i/>
          <w:iCs/>
        </w:rPr>
        <w:t xml:space="preserve"> </w:t>
      </w:r>
      <w:proofErr w:type="spellStart"/>
      <w:r w:rsidRPr="00C52B38">
        <w:rPr>
          <w:i/>
          <w:iCs/>
        </w:rPr>
        <w:t>National</w:t>
      </w:r>
      <w:proofErr w:type="spellEnd"/>
      <w:r w:rsidRPr="00C52B38">
        <w:rPr>
          <w:i/>
          <w:iCs/>
        </w:rPr>
        <w:t xml:space="preserve"> </w:t>
      </w:r>
      <w:proofErr w:type="spellStart"/>
      <w:r w:rsidRPr="00C52B38">
        <w:rPr>
          <w:i/>
          <w:iCs/>
        </w:rPr>
        <w:t>Inquiry</w:t>
      </w:r>
      <w:proofErr w:type="spellEnd"/>
      <w:r w:rsidRPr="00C52B38">
        <w:rPr>
          <w:i/>
          <w:iCs/>
        </w:rPr>
        <w:t xml:space="preserve"> Report</w:t>
      </w:r>
      <w:r w:rsidRPr="00C52B38">
        <w:t xml:space="preserve"> (2020) [“Respeto en el trabajo: Informe de investigación nacional sobre el acoso sexual”], en la que se recomendaba una reforma significativa para garantizar que el acoso sexual se previniera y abordara de manera más eficaz a través de la educación, la investigación, los servicios de apoyo y los marcos legislativos y regulatorios.</w:t>
      </w:r>
    </w:p>
    <w:p w14:paraId="5251FEEF" w14:textId="72AF9C5D" w:rsidR="000C706A" w:rsidRPr="00C52B38" w:rsidRDefault="000C706A" w:rsidP="00DB209B">
      <w:pPr>
        <w:pStyle w:val="Bullet1G"/>
      </w:pPr>
      <w:r w:rsidRPr="00C52B38">
        <w:t>En 2021, la entonces Comisionada para la Lucha contra la Discriminación Sexual dirigió una investigación sobre los lugares de trabajo parlamentarios del Commonwealth que condujo a la formulación de recomendaciones para garantizar que dichos lugares sean seguros y respetuosos y que el Parlamento de la nación adopte las mejores prácticas en materia de prevención y respuesta al acoso, el acoso sexual y las agresiones sexuales.</w:t>
      </w:r>
    </w:p>
    <w:p w14:paraId="2EADEE91" w14:textId="560E82BC" w:rsidR="000C706A" w:rsidRPr="00C52B38" w:rsidRDefault="000C706A" w:rsidP="00DB209B">
      <w:pPr>
        <w:pStyle w:val="H4G"/>
      </w:pPr>
      <w:r>
        <w:tab/>
      </w:r>
      <w:r w:rsidR="00DB209B">
        <w:tab/>
      </w:r>
      <w:r w:rsidRPr="00C52B38">
        <w:t>Otras instituciones y autoridades nacionales</w:t>
      </w:r>
    </w:p>
    <w:p w14:paraId="61A5FF0D" w14:textId="61766A16" w:rsidR="000C706A" w:rsidRPr="00C52B38" w:rsidRDefault="000C706A" w:rsidP="002370A4">
      <w:pPr>
        <w:pStyle w:val="SingleTxtG"/>
      </w:pPr>
      <w:r w:rsidRPr="00C52B38">
        <w:t>156.</w:t>
      </w:r>
      <w:r w:rsidRPr="00C52B38">
        <w:tab/>
        <w:t xml:space="preserve">La Ley del Ombudsman de 1976 (Commonwealth de Australia) establece la Oficina del Ombudsman del Commonwealth, que supervisa los departamentos y organismos del Gobierno del Commonwealth, incluidas la tramitación de reclamaciones y las investigaciones de casos de trato injusto. También puede realizar investigaciones de oficio. Asimismo, la Oficina del Ombudsman del Commonwealth coordina los mecanismos nacionales de prevención y actúa como mecanismo nacional de prevención en los lugares de detención bajo la jurisdicción del Commonwealth, en virtud del Protocolo Facultativo de la Convención contra la Tortura y Otros Tratos o Penas Crueles, Inhumanos o Degradantes. Puede consultarse más información en </w:t>
      </w:r>
      <w:hyperlink r:id="rId24" w:history="1">
        <w:proofErr w:type="spellStart"/>
        <w:r w:rsidRPr="002F7567">
          <w:rPr>
            <w:rStyle w:val="Hipervnculo"/>
          </w:rPr>
          <w:t>www.ombudsman.gov.au</w:t>
        </w:r>
        <w:proofErr w:type="spellEnd"/>
      </w:hyperlink>
      <w:r w:rsidRPr="00C52B38">
        <w:t>.</w:t>
      </w:r>
    </w:p>
    <w:p w14:paraId="38366F6A" w14:textId="6ABB312D" w:rsidR="000C706A" w:rsidRPr="00C52B38" w:rsidRDefault="000C706A" w:rsidP="002370A4">
      <w:pPr>
        <w:pStyle w:val="SingleTxtG"/>
      </w:pPr>
      <w:r w:rsidRPr="00C52B38">
        <w:t>157.</w:t>
      </w:r>
      <w:r w:rsidRPr="00C52B38">
        <w:tab/>
        <w:t xml:space="preserve">La Ley de Libertad de Información de 1982 (Commonwealth de Australia) otorga a la ciudadanía el derecho a acceder a los documentos gubernamentales, sujeto a algunas exenciones, e impone a las Administraciones una serie de obligaciones para garantizar el ejercicio de ese derecho. La Oficina del Comisionado de Información de Australia es un organismo independiente de derecho público con funciones relacionadas con la privacidad, la libertad de información y la gestión de la información gubernamental en virtud de la Ley de Protección de la Vida Privada de 1988 (Commonwealth de Australia), la Ley de Libertad de Información de 1982 (Commonwealth de Australia) y la Ley del Comisionado de Información de Australia de 2010 (Commonwealth de Australia). Puede obtenerse más información en </w:t>
      </w:r>
      <w:hyperlink r:id="rId25" w:history="1">
        <w:proofErr w:type="spellStart"/>
        <w:r w:rsidR="00F25A8E" w:rsidRPr="00AD2474">
          <w:rPr>
            <w:rStyle w:val="Hipervnculo"/>
          </w:rPr>
          <w:t>www.oaic.gov.au</w:t>
        </w:r>
        <w:proofErr w:type="spellEnd"/>
      </w:hyperlink>
      <w:r w:rsidRPr="00C52B38">
        <w:t>.</w:t>
      </w:r>
      <w:r w:rsidR="00F25A8E">
        <w:t xml:space="preserve"> </w:t>
      </w:r>
    </w:p>
    <w:p w14:paraId="1B5CF93F" w14:textId="5B19DE80" w:rsidR="000C706A" w:rsidRPr="00C52B38" w:rsidRDefault="000C706A" w:rsidP="002370A4">
      <w:pPr>
        <w:pStyle w:val="SingleTxtG"/>
      </w:pPr>
      <w:r w:rsidRPr="00C52B38">
        <w:t>158.</w:t>
      </w:r>
      <w:r w:rsidRPr="00C52B38">
        <w:tab/>
        <w:t>Hay dos autoridades nacionales independientes que actúan en relación con los derechos en el lugar de trabajo</w:t>
      </w:r>
      <w:r w:rsidR="002F7567">
        <w:t>:</w:t>
      </w:r>
    </w:p>
    <w:p w14:paraId="58D2A127" w14:textId="5374CA33" w:rsidR="000C706A" w:rsidRPr="00C52B38" w:rsidRDefault="000C706A" w:rsidP="00DB209B">
      <w:pPr>
        <w:pStyle w:val="Bullet1G"/>
      </w:pPr>
      <w:r w:rsidRPr="00C52B38">
        <w:t xml:space="preserve">El Ombudsman para las Relaciones Laborales Justas, como regulador de las relaciones laborales a escala nacional, presta servicios de educación, asistencia y asesoramiento sobre la legislación laboral australiana, según lo dispuesto en la Ley de </w:t>
      </w:r>
      <w:r w:rsidRPr="00C52B38">
        <w:lastRenderedPageBreak/>
        <w:t>Relaciones Laborales Justas de 2009 (Commonwealth de Australia) y, en su caso, hace cumplir dicha legislación de manera imparcial.</w:t>
      </w:r>
    </w:p>
    <w:p w14:paraId="237D4902" w14:textId="728842A5" w:rsidR="000C706A" w:rsidRPr="00C52B38" w:rsidRDefault="000C706A" w:rsidP="00DB209B">
      <w:pPr>
        <w:pStyle w:val="Bullet1G"/>
      </w:pPr>
      <w:r w:rsidRPr="00C52B38">
        <w:t>La Comisión de Relaciones Laborales Justas actúa como tribunal nacional australiano de relaciones laborales y como órgano regulador independiente de las organizaciones registradas. La Comisión ejerce sus funciones y competencias de conformidad con la Ley de Relaciones Laborales Justas de 2009 y tiene responsabilidades en relación con el registro, el reconocimiento y la rendición de cuentas de las organizaciones registradas en virtud de la Ley de Relaciones Laborales Justas (Organizaciones Registradas) de 2009. La Comisión apoya unas relaciones laborales sencillas, justas y flexibles para empleados y empleadores mediante sus competencias para fijar y modificar los salarios mínimos y nuevas primas, facilitar la negociación colectiva, aprobar convenios, resolver conflictos y promover la transparencia financiera y la gobernanza eficaz de las organizaciones de empleados y empleadores registradas.</w:t>
      </w:r>
    </w:p>
    <w:p w14:paraId="1866A486" w14:textId="2CC5831F" w:rsidR="000C706A" w:rsidRPr="00C52B38" w:rsidRDefault="000C706A" w:rsidP="002370A4">
      <w:pPr>
        <w:pStyle w:val="SingleTxtG"/>
      </w:pPr>
      <w:r w:rsidRPr="00C52B38">
        <w:t>159.</w:t>
      </w:r>
      <w:r w:rsidRPr="00C52B38">
        <w:tab/>
        <w:t xml:space="preserve">La Comisión de Reforma Legislativa de Australia es un órgano independiente de derecho público que actúa en virtud de la Ley de la Comisión de Reforma Legislativa de Australia de 1996 (Commonwealth de Australia). Lleva a cabo investigaciones sobre los casos que le remite el Fiscal General y formula recomendaciones para modernizar o actualizar la legislación, subsanar sus deficiencias, simplificarla y mejorar el acceso a la justicia. Sus informes se presentan ante el Parlamento. El Gobierno de Australia decidirá si aplica alguna de las recomendaciones recibidas. La Comisión de Reforma Legislativa de Australia supervisa la aplicación de las recomendaciones. En recientes investigaciones se han examinado cuestiones de derechos humanos en relación con: el derecho de familia; el maltrato de las personas mayores; el encarcelamiento de aborígenes e isleños del estrecho de Torres; la igualdad, la capacidad y la discapacidad en las leyes del Commonwealth; el menoscabo de los derechos y las libertades tradicionales por las leyes del Commonwealth; y la libertad de religión o de creencias. Véase más información en </w:t>
      </w:r>
      <w:hyperlink r:id="rId26" w:history="1">
        <w:proofErr w:type="spellStart"/>
        <w:r w:rsidR="00F25A8E" w:rsidRPr="00AD2474">
          <w:rPr>
            <w:rStyle w:val="Hipervnculo"/>
          </w:rPr>
          <w:t>www.alrc.gov.au</w:t>
        </w:r>
        <w:proofErr w:type="spellEnd"/>
      </w:hyperlink>
      <w:r w:rsidRPr="00C52B38">
        <w:t>.</w:t>
      </w:r>
      <w:r w:rsidR="00F25A8E">
        <w:t xml:space="preserve"> </w:t>
      </w:r>
    </w:p>
    <w:p w14:paraId="34C27781" w14:textId="77777777" w:rsidR="000C706A" w:rsidRPr="00C52B38" w:rsidRDefault="000C706A" w:rsidP="002370A4">
      <w:pPr>
        <w:pStyle w:val="SingleTxtG"/>
      </w:pPr>
      <w:r w:rsidRPr="00C52B38">
        <w:t>160.</w:t>
      </w:r>
      <w:r w:rsidRPr="00C52B38">
        <w:tab/>
        <w:t>En julio de 2023, el Gobierno de Australia estableció la Comisión Nacional de Lucha contra la Corrupción, en virtud de la Ley de la Comisión Nacional de Lucha contra la Corrupción de 2022. Se trata de un organismo independiente del Commonwealth encargado de detectar conductas corruptas graves o sistémicas en el sector público del Commonwealth, investigarlas e informar al respecto. También se ocupa de educar a la Administración y a la población sobre los riesgos de corrupción y su prevención.</w:t>
      </w:r>
    </w:p>
    <w:p w14:paraId="236F6D00" w14:textId="3B5A6143" w:rsidR="000C706A" w:rsidRPr="00C52B38" w:rsidRDefault="000C706A" w:rsidP="002370A4">
      <w:pPr>
        <w:pStyle w:val="SingleTxtG"/>
      </w:pPr>
      <w:r w:rsidRPr="00C52B38">
        <w:t>161.</w:t>
      </w:r>
      <w:r w:rsidRPr="00C52B38">
        <w:tab/>
        <w:t xml:space="preserve">El punto de contacto nacional australiano sobre conducta empresarial responsable promueve normas de conducta empresarial responsable con arreglo a las Líneas Directrices de la OCDE para Empresas Multinacionales sobre Conducta Empresarial Responsable y la Guía de diligencia debida conexa de la OCDE. También ofrece un mecanismo de reclamación extrajudicial para ayudar a resolver las denuncias contra empresas multinacionales en relación con la aplicación de las Líneas Directrices de la OCDE para Empresas Multinacionales sobre Conducta Empresarial Responsable. Puede obtenerse información acerca del punto de contacto nacional australiano sobre conducta empresarial responsable y las denuncias en </w:t>
      </w:r>
      <w:hyperlink r:id="rId27" w:history="1">
        <w:r w:rsidRPr="00DB209B">
          <w:rPr>
            <w:rStyle w:val="Hipervnculo"/>
          </w:rPr>
          <w:t>https://</w:t>
        </w:r>
        <w:proofErr w:type="spellStart"/>
        <w:r w:rsidRPr="00DB209B">
          <w:rPr>
            <w:rStyle w:val="Hipervnculo"/>
          </w:rPr>
          <w:t>ausncp.gov.au</w:t>
        </w:r>
        <w:proofErr w:type="spellEnd"/>
        <w:r w:rsidRPr="00DB209B">
          <w:rPr>
            <w:rStyle w:val="Hipervnculo"/>
          </w:rPr>
          <w:t>/</w:t>
        </w:r>
      </w:hyperlink>
      <w:r w:rsidR="00B33FC4">
        <w:t>:</w:t>
      </w:r>
    </w:p>
    <w:p w14:paraId="04B56A60" w14:textId="1B4C1A65" w:rsidR="000C706A" w:rsidRPr="00C52B38" w:rsidRDefault="000C706A" w:rsidP="00DB209B">
      <w:pPr>
        <w:pStyle w:val="Bullet1G"/>
      </w:pPr>
      <w:r w:rsidRPr="00C52B38">
        <w:t>Las Líneas Directrices de la OCDE para Empresas Multinacionales sobre Conducta Empresarial Responsable son un conjunto exhaustivo de normas de conducta empresarial responsable reconocidas internacionalmente que abarcan la divulgación de información, los derechos humanos, el soborno y la extorsión, el empleo y las relaciones laborales, el medio ambiente, los intereses de los consumidores, la ciencia y la tecnología, la competencia y la fiscalidad, son coherentes con los Principios Rectores de las Naciones Unidas sobre las Empresas y los Derechos Humanos y proporcionan marcos que se refuerzan mutuamente.</w:t>
      </w:r>
    </w:p>
    <w:p w14:paraId="3EBEA264" w14:textId="5AE43D4E" w:rsidR="000C706A" w:rsidRPr="00C52B38" w:rsidRDefault="000C706A" w:rsidP="00DB209B">
      <w:pPr>
        <w:pStyle w:val="H4G"/>
      </w:pPr>
      <w:r>
        <w:tab/>
      </w:r>
      <w:r w:rsidR="00DB209B">
        <w:tab/>
      </w:r>
      <w:r w:rsidR="00DB209B">
        <w:tab/>
      </w:r>
      <w:r w:rsidRPr="00C52B38">
        <w:t>Organizaciones no gubernamentales y de la sociedad civil</w:t>
      </w:r>
    </w:p>
    <w:p w14:paraId="3268B50A" w14:textId="77777777" w:rsidR="000C706A" w:rsidRPr="00C52B38" w:rsidRDefault="000C706A" w:rsidP="002370A4">
      <w:pPr>
        <w:pStyle w:val="SingleTxtG"/>
      </w:pPr>
      <w:r w:rsidRPr="00C52B38">
        <w:t>162.</w:t>
      </w:r>
      <w:r w:rsidRPr="00C52B38">
        <w:tab/>
        <w:t xml:space="preserve">Las ONG proporcionan información esencial al Gobierno de Australia sobre cuestiones de derechos humanos que afectan a las personas a nivel comunitario. Asimismo, informan a la ciudadanía de los programas de derechos humanos y los mecanismos de protección que tienen a su disposición. Australia se esfuerza activamente por que la sociedad civil y las ONG participen en la elaboración de todos los informes sobre tratados de derechos </w:t>
      </w:r>
      <w:r w:rsidRPr="00C52B38">
        <w:lastRenderedPageBreak/>
        <w:t xml:space="preserve">humanos y valora el papel que juegan a la hora de garantizar la transparencia y la rendición de cuentas en el proceso. </w:t>
      </w:r>
    </w:p>
    <w:p w14:paraId="75F60AE2" w14:textId="0110C7C9" w:rsidR="000C706A" w:rsidRPr="00C52B38" w:rsidRDefault="000C706A" w:rsidP="00DB209B">
      <w:pPr>
        <w:pStyle w:val="H4G"/>
      </w:pPr>
      <w:r>
        <w:tab/>
      </w:r>
      <w:r w:rsidR="00DB209B">
        <w:tab/>
      </w:r>
      <w:r w:rsidRPr="00C52B38">
        <w:t>Centros educativos</w:t>
      </w:r>
    </w:p>
    <w:p w14:paraId="7B0C8086" w14:textId="77777777" w:rsidR="000C706A" w:rsidRPr="00C52B38" w:rsidRDefault="000C706A" w:rsidP="002370A4">
      <w:pPr>
        <w:pStyle w:val="SingleTxtG"/>
      </w:pPr>
      <w:r w:rsidRPr="00C52B38">
        <w:t>163.</w:t>
      </w:r>
      <w:r w:rsidRPr="00C52B38">
        <w:tab/>
        <w:t>El plan de estudios en Australia incluye la educación en derechos humanos como parte de la enseñanza sobre el sistema legal y judicial, las libertades y responsabilidades de los ciudadanos australianos y las funciones y responsabilidades del Gobierno de Australia en el plano nacional e internacional.</w:t>
      </w:r>
    </w:p>
    <w:p w14:paraId="29ABA1C5" w14:textId="77777777" w:rsidR="000C706A" w:rsidRPr="00C52B38" w:rsidRDefault="000C706A" w:rsidP="002370A4">
      <w:pPr>
        <w:pStyle w:val="SingleTxtG"/>
      </w:pPr>
      <w:r w:rsidRPr="00C52B38">
        <w:t>164.</w:t>
      </w:r>
      <w:r w:rsidRPr="00C52B38">
        <w:tab/>
        <w:t>El Colegio Judicial Nacional de Australia, el Instituto Australiano de Administración Judicial y las organizaciones judiciales de cada jurisdicción imparten formación a los miembros de la judicatura y la abogacía sobre cuestiones relacionadas con el trabajo de la judicatura, incluida la igualdad ante la ley. Los abogados de cada estado y territorio deben realizar anualmente cursos de formación jurídica continua, incluida la formación obligatoria sobre deontología jurídica, y los funcionarios encargados de hacer cumplir la ley reciben educación y formación sobre diversidad.</w:t>
      </w:r>
    </w:p>
    <w:p w14:paraId="3869DD9B" w14:textId="7BCD1374" w:rsidR="000C706A" w:rsidRPr="00C52B38" w:rsidRDefault="000C706A" w:rsidP="00DB209B">
      <w:pPr>
        <w:pStyle w:val="H4G"/>
      </w:pPr>
      <w:r>
        <w:tab/>
      </w:r>
      <w:r w:rsidR="00DB209B">
        <w:tab/>
      </w:r>
      <w:r w:rsidRPr="00C52B38">
        <w:t>Difusión de los instrumentos de derechos humanos</w:t>
      </w:r>
    </w:p>
    <w:p w14:paraId="50675162" w14:textId="77777777" w:rsidR="000C706A" w:rsidRPr="00C52B38" w:rsidRDefault="000C706A" w:rsidP="002370A4">
      <w:pPr>
        <w:pStyle w:val="SingleTxtG"/>
      </w:pPr>
      <w:r w:rsidRPr="00C52B38">
        <w:t>165.</w:t>
      </w:r>
      <w:r w:rsidRPr="00C52B38">
        <w:tab/>
        <w:t>El Departamento de Asuntos Exteriores y Comercio mantiene la base de datos australiana sobre tratados, un recurso en línea para consultar los tratados de los que Australia es signataria o sobre los que ha adoptado otras medidas.</w:t>
      </w:r>
    </w:p>
    <w:p w14:paraId="26AA00C8" w14:textId="77777777" w:rsidR="000C706A" w:rsidRPr="00C52B38" w:rsidRDefault="000C706A" w:rsidP="002370A4">
      <w:pPr>
        <w:pStyle w:val="SingleTxtG"/>
      </w:pPr>
      <w:r w:rsidRPr="00C52B38">
        <w:t>166.</w:t>
      </w:r>
      <w:r w:rsidRPr="00C52B38">
        <w:tab/>
        <w:t>En el sitio web de la Comisión de Derechos Humanos de Australia puede encontrarse bastante información sobre la legislación en materia de derechos humanos y lucha contra la discriminación, por ejemplo, información destinada a la juventud australiana, recursos para aborígenes e isleños del estrecho de Torres e información sobre cómo presentar quejas en materia de derechos humanos en 24 idiomas diferentes.</w:t>
      </w:r>
    </w:p>
    <w:p w14:paraId="62ECCCE0" w14:textId="3C8D16C8" w:rsidR="000C706A" w:rsidRPr="00C52B38" w:rsidRDefault="000C706A" w:rsidP="00DB209B">
      <w:pPr>
        <w:pStyle w:val="H23G"/>
      </w:pPr>
      <w:r w:rsidRPr="00C52B38">
        <w:tab/>
        <w:t>2.</w:t>
      </w:r>
      <w:r w:rsidRPr="00C52B38">
        <w:tab/>
        <w:t>Promoción de los derechos humanos en el plano internacional</w:t>
      </w:r>
    </w:p>
    <w:p w14:paraId="317C8D82" w14:textId="77777777" w:rsidR="000C706A" w:rsidRPr="00C52B38" w:rsidRDefault="000C706A" w:rsidP="002370A4">
      <w:pPr>
        <w:pStyle w:val="SingleTxtG"/>
      </w:pPr>
      <w:r w:rsidRPr="00C52B38">
        <w:t>167.</w:t>
      </w:r>
      <w:r w:rsidRPr="00C52B38">
        <w:tab/>
        <w:t>Los derechos humanos son una parte inseparable del enfoque general de la política exterior de Australia, dado que el trato a las personas es una cuestión que preocupa a los australianos y que la promoción y protección de los derechos humanos sustenta los intereses generales de Australia en materia de seguridad y economía.</w:t>
      </w:r>
    </w:p>
    <w:p w14:paraId="124D8FCB" w14:textId="77777777" w:rsidR="000C706A" w:rsidRPr="00C52B38" w:rsidRDefault="000C706A" w:rsidP="002370A4">
      <w:pPr>
        <w:pStyle w:val="SingleTxtG"/>
      </w:pPr>
      <w:r w:rsidRPr="00C52B38">
        <w:t>168.</w:t>
      </w:r>
      <w:r w:rsidRPr="00C52B38">
        <w:tab/>
        <w:t>Las políticas de derechos humanos de Australia están claramente orientadas a lograr resultados en la práctica que mejoren los derechos de las personas. El Gobierno de Australia considera que el compromiso constructivo, junto con la asistencia técnica, la creación de capacidad y el desarrollo de instituciones que protejan los derechos humanos, constituyen la manera más eficaz de promover los derechos humanos.</w:t>
      </w:r>
    </w:p>
    <w:p w14:paraId="449210E0" w14:textId="0BAFB7FF" w:rsidR="000C706A" w:rsidRPr="00C52B38" w:rsidRDefault="000C706A" w:rsidP="00DB209B">
      <w:pPr>
        <w:pStyle w:val="H4G"/>
      </w:pPr>
      <w:r>
        <w:tab/>
      </w:r>
      <w:r w:rsidR="00DB209B">
        <w:tab/>
      </w:r>
      <w:r w:rsidRPr="00C52B38">
        <w:t>Compromiso y colaboración en el plano internacional</w:t>
      </w:r>
    </w:p>
    <w:p w14:paraId="329E28B5" w14:textId="77777777" w:rsidR="000C706A" w:rsidRPr="00C52B38" w:rsidRDefault="000C706A" w:rsidP="002370A4">
      <w:pPr>
        <w:pStyle w:val="SingleTxtG"/>
      </w:pPr>
      <w:r w:rsidRPr="00C52B38">
        <w:t>169.</w:t>
      </w:r>
      <w:r w:rsidRPr="00C52B38">
        <w:tab/>
        <w:t xml:space="preserve">Australia ha sido durante mucho tiempo un defensor activo, colaborador y práctico de los derechos humanos en la escena internacional y ha desempeñado un papel fundamental en el establecimiento de muchos de los principales tratados de derechos humanos que existen en la actualidad. Australia fue elegida miembro del Consejo de Derechos Humanos de las Naciones Unidas por primera vez para el período 2018-2020. La candidatura de Australia se basaba en cinco pilares: igualdad de género, buena gobernanza, libertad de expresión, derechos de los pueblos indígenas e instituciones nacionales de derechos humanos sólidas y creación de capacidades. </w:t>
      </w:r>
    </w:p>
    <w:p w14:paraId="788C7E98" w14:textId="77777777" w:rsidR="000C706A" w:rsidRPr="00C52B38" w:rsidRDefault="000C706A" w:rsidP="002370A4">
      <w:pPr>
        <w:pStyle w:val="SingleTxtG"/>
      </w:pPr>
      <w:r w:rsidRPr="00C52B38">
        <w:t>170.</w:t>
      </w:r>
      <w:r w:rsidRPr="00C52B38">
        <w:tab/>
        <w:t>Australia participa activamente en el proceso del examen periódico universal del Consejo de Derechos Humanos, que conlleva un examen cada cinco años de la situación de los derechos humanos en todos los Estados miembros de las Naciones Unidas. El informe nacional de Australia para el tercer ciclo del examen periódico universal se presentó a las Naciones Unidas en 2021 y da respuesta a las recomendaciones que recibió Australia durante el segundo ciclo, en 2015.</w:t>
      </w:r>
    </w:p>
    <w:p w14:paraId="40E17B10" w14:textId="77777777" w:rsidR="000C706A" w:rsidRPr="00C52B38" w:rsidRDefault="000C706A" w:rsidP="002370A4">
      <w:pPr>
        <w:pStyle w:val="SingleTxtG"/>
      </w:pPr>
      <w:r w:rsidRPr="00C52B38">
        <w:t>171.</w:t>
      </w:r>
      <w:r w:rsidRPr="00C52B38">
        <w:tab/>
        <w:t xml:space="preserve">En 2023, Australia nombró por primera vez una Embajadora para los Derechos Humanos con el fin de mejorar el liderazgo de Australia en materia de derechos humanos a escala mundial. El establecimiento de ese cargo obedece al compromiso de Australia de </w:t>
      </w:r>
      <w:r w:rsidRPr="00C52B38">
        <w:lastRenderedPageBreak/>
        <w:t>emplear todas las estrategias a su alcance para defender los derechos humanos, en consonancia con los valores e intereses del país. Contribuirá a reforzar el apoyo de Australia al sistema de derechos humanos de las Naciones Unidas y al derecho internacional.</w:t>
      </w:r>
    </w:p>
    <w:p w14:paraId="253AF9BE" w14:textId="77777777" w:rsidR="000C706A" w:rsidRPr="00C52B38" w:rsidRDefault="000C706A" w:rsidP="002370A4">
      <w:pPr>
        <w:pStyle w:val="SingleTxtG"/>
      </w:pPr>
      <w:r w:rsidRPr="00C52B38">
        <w:t>172.</w:t>
      </w:r>
      <w:r w:rsidRPr="00C52B38">
        <w:tab/>
        <w:t>El nombramiento del primer Embajador para los Pueblos de las Primeras Naciones de Australia contribuirá a incorporar la visión de las Primeras Naciones a la política exterior y la diplomacia australianas, así como a promover los derechos de los pueblos indígenas en todo el mundo. La Embajadora para la Igualdad de Género es la principal defensora de la labor de Australia en materia de igualdad de género y derechos humanos de las mujeres y las niñas. Australia ha intensificado su labor de defensa de los derechos humanos y lucha contra la esclavitud contemporánea, dirigida por la Embajadora para la Lucha contra la Esclavitud contemporánea, el Tráfico de Personas y la Trata de Personas.</w:t>
      </w:r>
    </w:p>
    <w:p w14:paraId="628BBB33" w14:textId="77777777" w:rsidR="000C706A" w:rsidRPr="00C52B38" w:rsidRDefault="000C706A" w:rsidP="002370A4">
      <w:pPr>
        <w:pStyle w:val="SingleTxtG"/>
      </w:pPr>
      <w:r w:rsidRPr="00C52B38">
        <w:t>173.</w:t>
      </w:r>
      <w:r w:rsidRPr="00C52B38">
        <w:tab/>
        <w:t xml:space="preserve">Australia valora la cooperación multilateral como una herramienta eficaz para la protección y promoción de los derechos humanos en todo el mundo. Por consiguiente, sigue participando en intercambios constructivos sobre cuestiones de derechos humanos con otros países en el marco de diálogos bilaterales y ofreciendo iniciativas de creación de capacidades que contribuyan a lograr mejoras tangibles a largo plazo en materia de derechos humanos. Asimismo, mantiene diálogos formales sobre derechos humanos con </w:t>
      </w:r>
      <w:proofErr w:type="spellStart"/>
      <w:r w:rsidRPr="00C52B38">
        <w:t>Viet</w:t>
      </w:r>
      <w:proofErr w:type="spellEnd"/>
      <w:r w:rsidRPr="00C52B38">
        <w:t xml:space="preserve"> </w:t>
      </w:r>
      <w:proofErr w:type="spellStart"/>
      <w:r w:rsidRPr="00C52B38">
        <w:t>Nam</w:t>
      </w:r>
      <w:proofErr w:type="spellEnd"/>
      <w:r w:rsidRPr="00C52B38">
        <w:t xml:space="preserve"> y la República Democrática Popular Lao, y sigue planteando a otros Gobiernos casos concretos que suscitan preocupación y cuestiones sobre determinados temas.</w:t>
      </w:r>
    </w:p>
    <w:p w14:paraId="259970D1" w14:textId="77777777" w:rsidR="000C706A" w:rsidRPr="00C52B38" w:rsidRDefault="000C706A" w:rsidP="002370A4">
      <w:pPr>
        <w:pStyle w:val="SingleTxtG"/>
      </w:pPr>
      <w:r w:rsidRPr="00C52B38">
        <w:t>174.</w:t>
      </w:r>
      <w:r w:rsidRPr="00C52B38">
        <w:tab/>
        <w:t>Las obligaciones de Australia en materia de derechos humanos se inscriben en los marcos que rigen la prestación de asistencia a otros países en materia de cooperación contra la delincuencia, incluida la asistencia entre cuerpos policiales y entre organismos, la extradición y la asistencia judicial recíproca.</w:t>
      </w:r>
    </w:p>
    <w:p w14:paraId="0A89BAE0" w14:textId="77777777" w:rsidR="000C706A" w:rsidRPr="00C52B38" w:rsidRDefault="000C706A" w:rsidP="002370A4">
      <w:pPr>
        <w:pStyle w:val="SingleTxtG"/>
      </w:pPr>
      <w:r w:rsidRPr="00C52B38">
        <w:t>175.</w:t>
      </w:r>
      <w:r w:rsidRPr="00C52B38">
        <w:tab/>
        <w:t>La Policía Federal Australiana dispone de directrices que regulan la prestación de asistencia internacional entre cuerpos policiales en casos de pena de muerte. Esas directrices se elaboran teniendo en cuenta las diversas circunstancias en las que puede prestarse asistencia. En particular, esas directrices restringen la capacidad de la Policía Federal Australiana de prestar asistencia en los casos en que se hayan presentado cargos en el país extranjero y los delitos se castiguen con la pena de muerte, a menos que, teniendo en cuenta todas las circunstancias del caso, el Fiscal General autorice la prestación de asistencia. La asistencia entre cuerpos policiales no incluye el uso de poderes coercitivos por parte de la policía de un país en nombre de otro país.</w:t>
      </w:r>
    </w:p>
    <w:p w14:paraId="60D2D8A6" w14:textId="77777777" w:rsidR="000C706A" w:rsidRPr="00C52B38" w:rsidRDefault="000C706A" w:rsidP="002370A4">
      <w:pPr>
        <w:pStyle w:val="SingleTxtG"/>
      </w:pPr>
      <w:r w:rsidRPr="00C52B38">
        <w:t>176.</w:t>
      </w:r>
      <w:r w:rsidRPr="00C52B38">
        <w:tab/>
        <w:t>La extradición es el procedimiento por el que un país detiene a una persona y la entrega a otro país para que sea enjuiciada penalmente o se le imponga o cumpla una pena de prisión. El régimen de extradición de Australia se rige por la Ley de Extradición de 1988, que prevé una serie de protecciones y salvaguardias básicas en materia de derechos humanos. Por ejemplo, la Ley de Extradición establece que cuando el delito sea castigado con la pena de muerte, la persona solo podrá ser entregada si el país requirente garantiza que la persona no será juzgada por el delito, o que, si es juzgada por el delito, no será condenada a muerte, o que, si es condenada a muerte, no será ejecutada. Asimismo, la Ley de Extradición establece salvaguardias conforme a las obligaciones internacionales de Australia, incluidas razones imperativas de denegación cuando, entre otras cosas, haya motivos fundados para creer que la persona correría peligro de ser sometida a tortura en caso de ser entregada, cuando la solicitud se haya realizado con fines de discriminación por atributos protegidos (como la raza, el sexo, la orientación sexual, la religión, la nacionalidad y las opiniones políticas), o en casos de doble incriminación.</w:t>
      </w:r>
    </w:p>
    <w:p w14:paraId="13CE37C4" w14:textId="77777777" w:rsidR="000C706A" w:rsidRPr="00C52B38" w:rsidRDefault="000C706A" w:rsidP="002370A4">
      <w:pPr>
        <w:pStyle w:val="SingleTxtG"/>
      </w:pPr>
      <w:r w:rsidRPr="00C52B38">
        <w:t>177.</w:t>
      </w:r>
      <w:r w:rsidRPr="00C52B38">
        <w:tab/>
        <w:t xml:space="preserve">La asistencia recíproca es el procedimiento formal que utilizan los países para obtener ayuda entre Gobiernos en investigaciones y enjuiciamientos penales y para recuperar el producto del delito. Dicho procedimiento es necesario cuando una solicitud entraña el uso de poderes coercitivos en nombre de otro país. La Ley de Asistencia Recíproca en Asuntos Penales de 1987 de Australia establece una serie de protecciones y salvaguardias básicas en materia de derechos humanos. Por ejemplo, cuando otro país solicita asistencia para investigar un delito castigado con la pena de muerte, la legislación australiana otorga discrecionalidad para denegarla. Cuando otro país solicite asistencia en relación con el cumplimiento de la pena, la investigación o el enjuiciamiento de una persona detenida o privada de libertad como sospechosa, acusada o condenada por un delito castigado con la </w:t>
      </w:r>
      <w:r w:rsidRPr="00C52B38">
        <w:lastRenderedPageBreak/>
        <w:t>pena de muerte, la referida ley establece que la solicitud debe denegarse a menos que la Fiscalía General considere que, habida cuenta de las circunstancias especiales del caso, deberá prestarse dicha asistencia (por ejemplo, cuando las pruebas puedan ayudar a la defensa o cuando se garantice que no se impondrá ni ejecutará la pena de muerte).</w:t>
      </w:r>
    </w:p>
    <w:p w14:paraId="693E1D69" w14:textId="77777777" w:rsidR="000C706A" w:rsidRPr="00C52B38" w:rsidRDefault="000C706A" w:rsidP="002370A4">
      <w:pPr>
        <w:pStyle w:val="SingleTxtG"/>
      </w:pPr>
      <w:r w:rsidRPr="00C52B38">
        <w:t>178.</w:t>
      </w:r>
      <w:r w:rsidRPr="00C52B38">
        <w:tab/>
        <w:t>Otros ejemplos de salvaguardias en la Ley de Asistencia Recíproca en Asuntos Penales incluyen razones imperativas de denegación cuando haya motivos fundados para creer que la persona correría peligro de ser sometida a tortura, o cuando la solicitud se haya realizado con fines de discriminación por atributos protegidos (como la raza, el sexo, la orientación sexual, la religión, la nacionalidad y las opiniones políticas).</w:t>
      </w:r>
    </w:p>
    <w:p w14:paraId="0EFB42BA" w14:textId="6F327418" w:rsidR="000C706A" w:rsidRPr="00C52B38" w:rsidRDefault="000C706A" w:rsidP="00DB209B">
      <w:pPr>
        <w:pStyle w:val="H4G"/>
      </w:pPr>
      <w:r>
        <w:tab/>
      </w:r>
      <w:r w:rsidR="00DB209B">
        <w:tab/>
      </w:r>
      <w:r w:rsidRPr="00C52B38">
        <w:t>Ayuda internacional</w:t>
      </w:r>
    </w:p>
    <w:p w14:paraId="583B9D87" w14:textId="26AC3765" w:rsidR="000C706A" w:rsidRPr="00C52B38" w:rsidRDefault="000C706A" w:rsidP="002370A4">
      <w:pPr>
        <w:pStyle w:val="SingleTxtG"/>
      </w:pPr>
      <w:r w:rsidRPr="00C52B38">
        <w:t>179.</w:t>
      </w:r>
      <w:r w:rsidRPr="00C52B38">
        <w:tab/>
        <w:t>El programa de desarrollo de Australia contribuye a la promoción de los derechos humanos a través de su enfoque en la reducción de la pobreza y el desarrollo sostenible mediante asociaciones eficaces con países en desarrollo. Los Planes de Asociación para el Desarrollo se elaboran conjuntamente con los principales países asociados y constituyen la base de la asistencia que presta Australia. Australia ha asignado 4.768 millones de dólares a asistencia oficial para el desarrollo en 2023-2024, lo que representa aproximadamente el 0,19</w:t>
      </w:r>
      <w:r w:rsidR="00AC0528">
        <w:t> </w:t>
      </w:r>
      <w:r w:rsidRPr="00C52B38">
        <w:t xml:space="preserve">% del </w:t>
      </w:r>
      <w:proofErr w:type="spellStart"/>
      <w:r w:rsidRPr="00C52B38">
        <w:t>INB</w:t>
      </w:r>
      <w:proofErr w:type="spellEnd"/>
      <w:r w:rsidRPr="00C52B38">
        <w:t xml:space="preserve"> y el 0,70 % del gasto público australiano en ese período</w:t>
      </w:r>
      <w:r w:rsidRPr="00C52B38">
        <w:rPr>
          <w:rStyle w:val="Refdenotaalpie"/>
        </w:rPr>
        <w:footnoteReference w:id="114"/>
      </w:r>
      <w:r w:rsidRPr="00C52B38">
        <w:t xml:space="preserve">. Puede obtenerse más información sobre las actividades y el presupuesto para el desarrollo de Australia en </w:t>
      </w:r>
      <w:hyperlink r:id="rId28" w:history="1">
        <w:r w:rsidRPr="00AC0528">
          <w:rPr>
            <w:rStyle w:val="Hipervnculo"/>
          </w:rPr>
          <w:t>https://www.dfat.gov.au/development/australias-development-program</w:t>
        </w:r>
      </w:hyperlink>
      <w:r w:rsidRPr="00C52B38">
        <w:t>.</w:t>
      </w:r>
    </w:p>
    <w:p w14:paraId="02173A95" w14:textId="5377A53B" w:rsidR="000C706A" w:rsidRPr="00C52B38" w:rsidRDefault="000C706A" w:rsidP="00DB209B">
      <w:pPr>
        <w:pStyle w:val="H1G"/>
      </w:pPr>
      <w:bookmarkStart w:id="37" w:name="_Toc147326781"/>
      <w:r w:rsidRPr="00C52B38">
        <w:tab/>
        <w:t>D.</w:t>
      </w:r>
      <w:r w:rsidRPr="00C52B38">
        <w:tab/>
        <w:t>Proceso de presentación de informes a nivel nacional</w:t>
      </w:r>
      <w:bookmarkStart w:id="38" w:name="_Toc167980146"/>
      <w:bookmarkEnd w:id="37"/>
      <w:bookmarkEnd w:id="38"/>
    </w:p>
    <w:p w14:paraId="502F273E" w14:textId="77777777" w:rsidR="000C706A" w:rsidRPr="00C52B38" w:rsidRDefault="000C706A" w:rsidP="002370A4">
      <w:pPr>
        <w:pStyle w:val="SingleTxtG"/>
      </w:pPr>
      <w:r w:rsidRPr="00C52B38">
        <w:t>180.</w:t>
      </w:r>
      <w:r w:rsidRPr="00C52B38">
        <w:tab/>
        <w:t>Con objeto de elaborar informes exhaustivos relativos a la aplicación de los instrumentos de derechos humanos de las Naciones Unidas, se reúne información procedente de los organismos competentes de las ocho jurisdicciones australianas y del Commonwealth.</w:t>
      </w:r>
    </w:p>
    <w:p w14:paraId="3C014972" w14:textId="77777777" w:rsidR="000C706A" w:rsidRPr="00C52B38" w:rsidRDefault="000C706A" w:rsidP="002370A4">
      <w:pPr>
        <w:pStyle w:val="SingleTxtG"/>
      </w:pPr>
      <w:r w:rsidRPr="00C52B38">
        <w:t>181.</w:t>
      </w:r>
      <w:r w:rsidRPr="00C52B38">
        <w:tab/>
        <w:t>En 2016 se creó el mecanismo nacional permanente de derechos humanos del Gobierno de Australia, que mejora la coordinación entre el Gobierno federal y los Gobiernos de los estados y de los territorios, con el fin de reforzar la presentación de informes y el compromiso de Australia con las Naciones Unidas en materia de derechos humanos. Incluye:</w:t>
      </w:r>
    </w:p>
    <w:p w14:paraId="186B75AE" w14:textId="21B4DC90" w:rsidR="000C706A" w:rsidRPr="00C52B38" w:rsidRDefault="000C706A" w:rsidP="00DB209B">
      <w:pPr>
        <w:pStyle w:val="Bullet1G"/>
      </w:pPr>
      <w:r w:rsidRPr="00C52B38">
        <w:t>Un comité interdepartamental del Gobierno de Australia que contribuye con un enfoque coordinado, coherente y eficaz a la presentación de informes sobre derechos humanos ante las Naciones Unidas</w:t>
      </w:r>
      <w:r w:rsidR="00AC0528">
        <w:t>.</w:t>
      </w:r>
    </w:p>
    <w:p w14:paraId="6D8E50D3" w14:textId="3363E6B4" w:rsidR="000C706A" w:rsidRPr="00C52B38" w:rsidRDefault="000C706A" w:rsidP="00DB209B">
      <w:pPr>
        <w:pStyle w:val="Bullet1G"/>
      </w:pPr>
      <w:r w:rsidRPr="00C52B38">
        <w:t>El Comité Mixto Permanente sobre Tratados del Commonwealth, los estados y los territorios, compuesto por representantes de los Departamentos del Primer Ministro de cada estado o el Departamento del Ministro Principal de cada territorio, que facilita las consultas y la colaboración entre los Gobiernos</w:t>
      </w:r>
      <w:r w:rsidR="00AC0528">
        <w:t>.</w:t>
      </w:r>
    </w:p>
    <w:p w14:paraId="07BFACD6" w14:textId="527E1AF8" w:rsidR="000C706A" w:rsidRPr="00C52B38" w:rsidRDefault="000C706A" w:rsidP="00DB209B">
      <w:pPr>
        <w:pStyle w:val="Bullet1G"/>
      </w:pPr>
      <w:r w:rsidRPr="00C52B38">
        <w:t>Un mecanismo de consulta con la Comisión de Derechos Humanos de Australia y las</w:t>
      </w:r>
      <w:r w:rsidR="00AC0528">
        <w:t> </w:t>
      </w:r>
      <w:r w:rsidRPr="00C52B38">
        <w:t>ONG</w:t>
      </w:r>
      <w:r w:rsidR="00AC0528">
        <w:t>.</w:t>
      </w:r>
    </w:p>
    <w:p w14:paraId="5F563CB8" w14:textId="6AFB859C" w:rsidR="000C706A" w:rsidRPr="00C52B38" w:rsidRDefault="000C706A" w:rsidP="00DB209B">
      <w:pPr>
        <w:pStyle w:val="Bullet1G"/>
      </w:pPr>
      <w:r w:rsidRPr="00C52B38">
        <w:t>Información de dominio público sobre el proceso de presentación de informes relativos a los derechos humanos en Australia</w:t>
      </w:r>
      <w:r w:rsidRPr="00C52B38">
        <w:rPr>
          <w:rStyle w:val="Refdenotaalpie"/>
        </w:rPr>
        <w:footnoteReference w:id="115"/>
      </w:r>
      <w:r w:rsidRPr="00C52B38">
        <w:t>.</w:t>
      </w:r>
    </w:p>
    <w:p w14:paraId="0A645AC7" w14:textId="77777777" w:rsidR="000C706A" w:rsidRPr="00C52B38" w:rsidRDefault="000C706A" w:rsidP="002370A4">
      <w:pPr>
        <w:pStyle w:val="SingleTxtG"/>
      </w:pPr>
      <w:r w:rsidRPr="00C52B38">
        <w:t>182.</w:t>
      </w:r>
      <w:r w:rsidRPr="00C52B38">
        <w:tab/>
        <w:t>La elaboración de los informes ofrece a cada jurisdicción la oportunidad de evaluar las medidas que ha adoptado para garantizar el cumplimiento de las obligaciones internacionales de Australia.</w:t>
      </w:r>
    </w:p>
    <w:p w14:paraId="46FB4867" w14:textId="77777777" w:rsidR="000C706A" w:rsidRPr="00C52B38" w:rsidRDefault="000C706A" w:rsidP="002370A4">
      <w:pPr>
        <w:pStyle w:val="SingleTxtG"/>
      </w:pPr>
      <w:r w:rsidRPr="00C52B38">
        <w:t>183.</w:t>
      </w:r>
      <w:r w:rsidRPr="00C52B38">
        <w:tab/>
        <w:t>La elaboración de los informes es competencia de tres organismos, según se indica a continuación.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4364"/>
        <w:gridCol w:w="3006"/>
      </w:tblGrid>
      <w:tr w:rsidR="000C706A" w:rsidRPr="00B71D0F" w14:paraId="0C33C777" w14:textId="77777777" w:rsidTr="00B71D0F">
        <w:trPr>
          <w:trHeight w:val="240"/>
          <w:tblHeader/>
        </w:trPr>
        <w:tc>
          <w:tcPr>
            <w:tcW w:w="4364" w:type="dxa"/>
            <w:tcBorders>
              <w:top w:val="single" w:sz="4" w:space="0" w:color="auto"/>
              <w:bottom w:val="single" w:sz="12" w:space="0" w:color="auto"/>
            </w:tcBorders>
            <w:shd w:val="clear" w:color="auto" w:fill="auto"/>
            <w:vAlign w:val="bottom"/>
          </w:tcPr>
          <w:p w14:paraId="31157587" w14:textId="77777777" w:rsidR="000C706A" w:rsidRPr="00B71D0F" w:rsidRDefault="000C706A" w:rsidP="00B71D0F">
            <w:pPr>
              <w:spacing w:before="80" w:after="80" w:line="200" w:lineRule="exact"/>
              <w:rPr>
                <w:i/>
                <w:sz w:val="16"/>
              </w:rPr>
            </w:pPr>
            <w:r w:rsidRPr="00B71D0F">
              <w:rPr>
                <w:i/>
                <w:iCs/>
                <w:sz w:val="16"/>
              </w:rPr>
              <w:lastRenderedPageBreak/>
              <w:t>Tratado</w:t>
            </w:r>
          </w:p>
        </w:tc>
        <w:tc>
          <w:tcPr>
            <w:tcW w:w="3006" w:type="dxa"/>
            <w:tcBorders>
              <w:top w:val="single" w:sz="4" w:space="0" w:color="auto"/>
              <w:bottom w:val="single" w:sz="12" w:space="0" w:color="auto"/>
            </w:tcBorders>
            <w:shd w:val="clear" w:color="auto" w:fill="auto"/>
            <w:vAlign w:val="bottom"/>
          </w:tcPr>
          <w:p w14:paraId="1F4A9B47" w14:textId="77777777" w:rsidR="000C706A" w:rsidRPr="00B71D0F" w:rsidRDefault="000C706A" w:rsidP="00B71D0F">
            <w:pPr>
              <w:spacing w:before="80" w:after="80" w:line="200" w:lineRule="exact"/>
              <w:rPr>
                <w:i/>
                <w:sz w:val="16"/>
              </w:rPr>
            </w:pPr>
            <w:r w:rsidRPr="00B71D0F">
              <w:rPr>
                <w:i/>
                <w:iCs/>
                <w:sz w:val="16"/>
              </w:rPr>
              <w:t>Organismo responsable</w:t>
            </w:r>
          </w:p>
        </w:tc>
      </w:tr>
      <w:tr w:rsidR="000C706A" w:rsidRPr="00B71D0F" w14:paraId="69032CC5" w14:textId="77777777" w:rsidTr="00B71D0F">
        <w:trPr>
          <w:trHeight w:hRule="exact" w:val="113"/>
          <w:tblHeader/>
        </w:trPr>
        <w:tc>
          <w:tcPr>
            <w:tcW w:w="4364" w:type="dxa"/>
            <w:tcBorders>
              <w:top w:val="single" w:sz="12" w:space="0" w:color="auto"/>
            </w:tcBorders>
            <w:shd w:val="clear" w:color="auto" w:fill="auto"/>
          </w:tcPr>
          <w:p w14:paraId="3977DD73" w14:textId="77777777" w:rsidR="000C706A" w:rsidRPr="00B71D0F" w:rsidRDefault="000C706A" w:rsidP="00B71D0F">
            <w:pPr>
              <w:spacing w:before="40" w:after="120"/>
            </w:pPr>
          </w:p>
        </w:tc>
        <w:tc>
          <w:tcPr>
            <w:tcW w:w="3006" w:type="dxa"/>
            <w:tcBorders>
              <w:top w:val="single" w:sz="12" w:space="0" w:color="auto"/>
            </w:tcBorders>
            <w:shd w:val="clear" w:color="auto" w:fill="auto"/>
          </w:tcPr>
          <w:p w14:paraId="4677479D" w14:textId="77777777" w:rsidR="000C706A" w:rsidRPr="00B71D0F" w:rsidRDefault="000C706A" w:rsidP="00B71D0F">
            <w:pPr>
              <w:spacing w:before="40" w:after="120"/>
            </w:pPr>
          </w:p>
        </w:tc>
      </w:tr>
      <w:tr w:rsidR="000C706A" w:rsidRPr="00B71D0F" w14:paraId="2EB7D969" w14:textId="77777777" w:rsidTr="00B71D0F">
        <w:trPr>
          <w:trHeight w:val="240"/>
        </w:trPr>
        <w:tc>
          <w:tcPr>
            <w:tcW w:w="4364" w:type="dxa"/>
            <w:shd w:val="clear" w:color="auto" w:fill="auto"/>
          </w:tcPr>
          <w:p w14:paraId="39D9807F" w14:textId="77777777" w:rsidR="000C706A" w:rsidRPr="00B71D0F" w:rsidRDefault="000C706A" w:rsidP="00B71D0F">
            <w:pPr>
              <w:spacing w:before="40" w:after="120"/>
            </w:pPr>
            <w:r w:rsidRPr="00B71D0F">
              <w:t>Pacto Internacional de Derechos Civiles y Políticos</w:t>
            </w:r>
          </w:p>
        </w:tc>
        <w:tc>
          <w:tcPr>
            <w:tcW w:w="3006" w:type="dxa"/>
            <w:shd w:val="clear" w:color="auto" w:fill="auto"/>
          </w:tcPr>
          <w:p w14:paraId="6823566F" w14:textId="77777777" w:rsidR="000C706A" w:rsidRPr="00B71D0F" w:rsidRDefault="000C706A" w:rsidP="00B71D0F">
            <w:pPr>
              <w:spacing w:before="40" w:after="120"/>
            </w:pPr>
            <w:r w:rsidRPr="00B71D0F">
              <w:t xml:space="preserve">Fiscalía General </w:t>
            </w:r>
          </w:p>
        </w:tc>
      </w:tr>
      <w:tr w:rsidR="000C706A" w:rsidRPr="00B71D0F" w14:paraId="112152FA" w14:textId="77777777" w:rsidTr="00B71D0F">
        <w:trPr>
          <w:trHeight w:val="240"/>
        </w:trPr>
        <w:tc>
          <w:tcPr>
            <w:tcW w:w="4364" w:type="dxa"/>
            <w:shd w:val="clear" w:color="auto" w:fill="auto"/>
          </w:tcPr>
          <w:p w14:paraId="5E1C5900" w14:textId="77777777" w:rsidR="000C706A" w:rsidRPr="00B71D0F" w:rsidRDefault="000C706A" w:rsidP="00B71D0F">
            <w:pPr>
              <w:spacing w:before="40" w:after="120"/>
            </w:pPr>
            <w:r w:rsidRPr="00B71D0F">
              <w:t>Pacto Internacional de Derechos Económicos, Sociales y Culturales</w:t>
            </w:r>
          </w:p>
        </w:tc>
        <w:tc>
          <w:tcPr>
            <w:tcW w:w="3006" w:type="dxa"/>
            <w:shd w:val="clear" w:color="auto" w:fill="auto"/>
          </w:tcPr>
          <w:p w14:paraId="008F3643" w14:textId="77777777" w:rsidR="000C706A" w:rsidRPr="00B71D0F" w:rsidRDefault="000C706A" w:rsidP="00B71D0F">
            <w:pPr>
              <w:spacing w:before="40" w:after="120"/>
            </w:pPr>
            <w:r w:rsidRPr="00B71D0F">
              <w:t>Departamento de Asuntos Exteriores y Comercio</w:t>
            </w:r>
          </w:p>
        </w:tc>
      </w:tr>
      <w:tr w:rsidR="000C706A" w:rsidRPr="00B71D0F" w14:paraId="315E92F1" w14:textId="77777777" w:rsidTr="00B71D0F">
        <w:trPr>
          <w:trHeight w:val="240"/>
        </w:trPr>
        <w:tc>
          <w:tcPr>
            <w:tcW w:w="4364" w:type="dxa"/>
            <w:shd w:val="clear" w:color="auto" w:fill="auto"/>
          </w:tcPr>
          <w:p w14:paraId="467901DC" w14:textId="77777777" w:rsidR="000C706A" w:rsidRPr="00B71D0F" w:rsidRDefault="000C706A" w:rsidP="00B71D0F">
            <w:pPr>
              <w:spacing w:before="40" w:after="120"/>
            </w:pPr>
            <w:r w:rsidRPr="00B71D0F">
              <w:t>Convención Internacional sobre la Eliminación de Todas las Formas de Discriminación Racial</w:t>
            </w:r>
          </w:p>
        </w:tc>
        <w:tc>
          <w:tcPr>
            <w:tcW w:w="3006" w:type="dxa"/>
            <w:shd w:val="clear" w:color="auto" w:fill="auto"/>
          </w:tcPr>
          <w:p w14:paraId="2B492D60" w14:textId="77777777" w:rsidR="000C706A" w:rsidRPr="00B71D0F" w:rsidRDefault="000C706A" w:rsidP="00B71D0F">
            <w:pPr>
              <w:spacing w:before="40" w:after="120"/>
            </w:pPr>
            <w:r w:rsidRPr="00B71D0F">
              <w:t>Departamento de Asuntos Exteriores y Comercio</w:t>
            </w:r>
          </w:p>
        </w:tc>
      </w:tr>
      <w:tr w:rsidR="000C706A" w:rsidRPr="00B71D0F" w14:paraId="31CA88AC" w14:textId="77777777" w:rsidTr="00B71D0F">
        <w:trPr>
          <w:trHeight w:val="240"/>
        </w:trPr>
        <w:tc>
          <w:tcPr>
            <w:tcW w:w="4364" w:type="dxa"/>
            <w:shd w:val="clear" w:color="auto" w:fill="auto"/>
          </w:tcPr>
          <w:p w14:paraId="143803F1" w14:textId="60668338" w:rsidR="000C706A" w:rsidRPr="00B71D0F" w:rsidRDefault="00AC0528" w:rsidP="00B71D0F">
            <w:pPr>
              <w:spacing w:before="40" w:after="120"/>
            </w:pPr>
            <w:r>
              <w:t>C</w:t>
            </w:r>
            <w:r w:rsidRPr="00AC0528">
              <w:t>onvención sobre la Eliminación de Todas las Formas de Discriminación contra la Mujer</w:t>
            </w:r>
          </w:p>
        </w:tc>
        <w:tc>
          <w:tcPr>
            <w:tcW w:w="3006" w:type="dxa"/>
            <w:shd w:val="clear" w:color="auto" w:fill="auto"/>
          </w:tcPr>
          <w:p w14:paraId="43FBE69A" w14:textId="77777777" w:rsidR="000C706A" w:rsidRPr="00B71D0F" w:rsidRDefault="000C706A" w:rsidP="00B71D0F">
            <w:pPr>
              <w:spacing w:before="40" w:after="120"/>
            </w:pPr>
            <w:r w:rsidRPr="00B71D0F">
              <w:t>Departamento del Primer Ministro y el Gabinete (Oficina de la Mujer)</w:t>
            </w:r>
          </w:p>
        </w:tc>
      </w:tr>
      <w:tr w:rsidR="000C706A" w:rsidRPr="00B71D0F" w14:paraId="29C79167" w14:textId="77777777" w:rsidTr="00B71D0F">
        <w:trPr>
          <w:trHeight w:val="240"/>
        </w:trPr>
        <w:tc>
          <w:tcPr>
            <w:tcW w:w="4364" w:type="dxa"/>
            <w:shd w:val="clear" w:color="auto" w:fill="auto"/>
          </w:tcPr>
          <w:p w14:paraId="41EA0973" w14:textId="35727AE7" w:rsidR="000C706A" w:rsidRPr="00B71D0F" w:rsidRDefault="000C706A" w:rsidP="00B71D0F">
            <w:pPr>
              <w:spacing w:before="40" w:after="120"/>
            </w:pPr>
            <w:r w:rsidRPr="00B71D0F">
              <w:t>Convención contra la Tortura y Otros Tratos o Penas</w:t>
            </w:r>
            <w:r w:rsidR="00AC0528">
              <w:t> </w:t>
            </w:r>
            <w:r w:rsidRPr="00B71D0F">
              <w:t>Crueles, Inhumanos o Degradantes</w:t>
            </w:r>
          </w:p>
        </w:tc>
        <w:tc>
          <w:tcPr>
            <w:tcW w:w="3006" w:type="dxa"/>
            <w:shd w:val="clear" w:color="auto" w:fill="auto"/>
          </w:tcPr>
          <w:p w14:paraId="4A7947E2" w14:textId="77777777" w:rsidR="000C706A" w:rsidRPr="00B71D0F" w:rsidRDefault="000C706A" w:rsidP="00B71D0F">
            <w:pPr>
              <w:spacing w:before="40" w:after="120"/>
            </w:pPr>
            <w:r w:rsidRPr="00B71D0F">
              <w:t>Fiscalía General</w:t>
            </w:r>
          </w:p>
        </w:tc>
      </w:tr>
      <w:tr w:rsidR="000C706A" w:rsidRPr="00B71D0F" w14:paraId="3A8A8971" w14:textId="77777777" w:rsidTr="00B71D0F">
        <w:trPr>
          <w:trHeight w:val="240"/>
        </w:trPr>
        <w:tc>
          <w:tcPr>
            <w:tcW w:w="4364" w:type="dxa"/>
            <w:shd w:val="clear" w:color="auto" w:fill="auto"/>
          </w:tcPr>
          <w:p w14:paraId="6821F043" w14:textId="77777777" w:rsidR="000C706A" w:rsidRPr="00B71D0F" w:rsidRDefault="000C706A" w:rsidP="00B71D0F">
            <w:pPr>
              <w:spacing w:before="40" w:after="120"/>
            </w:pPr>
            <w:r w:rsidRPr="00B71D0F">
              <w:t>Convención sobre los Derechos del Niño</w:t>
            </w:r>
          </w:p>
        </w:tc>
        <w:tc>
          <w:tcPr>
            <w:tcW w:w="3006" w:type="dxa"/>
            <w:shd w:val="clear" w:color="auto" w:fill="auto"/>
          </w:tcPr>
          <w:p w14:paraId="790B1DFE" w14:textId="77777777" w:rsidR="000C706A" w:rsidRPr="00B71D0F" w:rsidRDefault="000C706A" w:rsidP="00B71D0F">
            <w:pPr>
              <w:spacing w:before="40" w:after="120"/>
            </w:pPr>
            <w:r w:rsidRPr="00B71D0F">
              <w:t>Fiscalía General</w:t>
            </w:r>
          </w:p>
        </w:tc>
      </w:tr>
      <w:tr w:rsidR="000C706A" w:rsidRPr="00B71D0F" w14:paraId="26D2E97C" w14:textId="77777777" w:rsidTr="00B71D0F">
        <w:trPr>
          <w:trHeight w:val="240"/>
        </w:trPr>
        <w:tc>
          <w:tcPr>
            <w:tcW w:w="4364" w:type="dxa"/>
            <w:tcBorders>
              <w:bottom w:val="single" w:sz="12" w:space="0" w:color="auto"/>
            </w:tcBorders>
            <w:shd w:val="clear" w:color="auto" w:fill="auto"/>
          </w:tcPr>
          <w:p w14:paraId="6FC78ABD" w14:textId="05DE01FC" w:rsidR="000C706A" w:rsidRPr="00B71D0F" w:rsidRDefault="000C706A" w:rsidP="00B71D0F">
            <w:pPr>
              <w:spacing w:before="40" w:after="120"/>
            </w:pPr>
            <w:r w:rsidRPr="00B71D0F">
              <w:t>Convención sobre los Derechos de las Personas con</w:t>
            </w:r>
            <w:r w:rsidR="00AC0528">
              <w:t> </w:t>
            </w:r>
            <w:r w:rsidRPr="00B71D0F">
              <w:t>Discapacidad</w:t>
            </w:r>
          </w:p>
        </w:tc>
        <w:tc>
          <w:tcPr>
            <w:tcW w:w="3006" w:type="dxa"/>
            <w:tcBorders>
              <w:bottom w:val="single" w:sz="12" w:space="0" w:color="auto"/>
            </w:tcBorders>
            <w:shd w:val="clear" w:color="auto" w:fill="auto"/>
          </w:tcPr>
          <w:p w14:paraId="55227AEE" w14:textId="77777777" w:rsidR="000C706A" w:rsidRPr="00B71D0F" w:rsidRDefault="000C706A" w:rsidP="00B71D0F">
            <w:pPr>
              <w:spacing w:before="40" w:after="120"/>
            </w:pPr>
            <w:r w:rsidRPr="00B71D0F">
              <w:t>Fiscalía General</w:t>
            </w:r>
          </w:p>
        </w:tc>
      </w:tr>
    </w:tbl>
    <w:p w14:paraId="0453F88B" w14:textId="77777777" w:rsidR="000C706A" w:rsidRPr="00C52B38" w:rsidRDefault="000C706A" w:rsidP="00B71D0F">
      <w:pPr>
        <w:pStyle w:val="SingleTxtG"/>
        <w:spacing w:before="240"/>
      </w:pPr>
      <w:r w:rsidRPr="00C52B38">
        <w:t>184.</w:t>
      </w:r>
      <w:r w:rsidRPr="00C52B38">
        <w:tab/>
        <w:t>Australia examina y considera cuidadosamente y de buena fe las recomendaciones recibidas de todos los mecanismos de derechos humanos, incluidas las observaciones finales de los comités y los titulares de mandatos de los procedimientos especiales. Las recomendaciones se transmiten a los departamentos, ministerios o jurisdicciones responsables de las políticas y los programas pertinentes para que las examinen y las apliquen, según corresponda.</w:t>
      </w:r>
    </w:p>
    <w:p w14:paraId="24728C58" w14:textId="77777777" w:rsidR="000C706A" w:rsidRPr="00C52B38" w:rsidRDefault="000C706A" w:rsidP="002370A4">
      <w:pPr>
        <w:pStyle w:val="SingleTxtG"/>
      </w:pPr>
      <w:r w:rsidRPr="00C52B38">
        <w:t>185.</w:t>
      </w:r>
      <w:r w:rsidRPr="00C52B38">
        <w:tab/>
        <w:t>Además, la información sobre las recomendaciones se difunde a la población a través de ONG y sitios web gubernamentales.</w:t>
      </w:r>
    </w:p>
    <w:p w14:paraId="597EC703" w14:textId="77777777" w:rsidR="000C706A" w:rsidRPr="00C52B38" w:rsidRDefault="000C706A" w:rsidP="002370A4">
      <w:pPr>
        <w:pStyle w:val="SingleTxtG"/>
        <w:rPr>
          <w:b/>
        </w:rPr>
      </w:pPr>
      <w:r w:rsidRPr="00C52B38">
        <w:t>186.</w:t>
      </w:r>
      <w:r w:rsidRPr="00C52B38">
        <w:tab/>
        <w:t>Asimismo, el Gobierno de Australia ha establecido un proceso de seguimiento del examen periódico universal, incluido un sitio web que sirve de plataforma central para todo el trabajo de presentación de informes</w:t>
      </w:r>
      <w:r w:rsidRPr="00C52B38">
        <w:rPr>
          <w:rStyle w:val="Refdenotaalpie"/>
        </w:rPr>
        <w:footnoteReference w:id="116"/>
      </w:r>
      <w:r w:rsidRPr="00C52B38">
        <w:t>.</w:t>
      </w:r>
      <w:bookmarkStart w:id="40" w:name="_Toc147326782"/>
    </w:p>
    <w:p w14:paraId="6FA59D05" w14:textId="5CB80791" w:rsidR="000C706A" w:rsidRPr="00C52B38" w:rsidRDefault="000C706A" w:rsidP="00B71D0F">
      <w:pPr>
        <w:pStyle w:val="HChG"/>
      </w:pPr>
      <w:r w:rsidRPr="00C52B38">
        <w:tab/>
        <w:t>III.</w:t>
      </w:r>
      <w:r w:rsidRPr="00C52B38">
        <w:tab/>
        <w:t>Información sobre no discriminación, igualdad y</w:t>
      </w:r>
      <w:r w:rsidR="00AC0528">
        <w:t> </w:t>
      </w:r>
      <w:r w:rsidRPr="00C52B38">
        <w:t>recursos</w:t>
      </w:r>
      <w:r w:rsidR="00AC0528">
        <w:t> </w:t>
      </w:r>
      <w:r w:rsidRPr="00C52B38">
        <w:t>efectivos</w:t>
      </w:r>
      <w:bookmarkStart w:id="41" w:name="_Toc167980147"/>
      <w:bookmarkEnd w:id="40"/>
      <w:bookmarkEnd w:id="41"/>
    </w:p>
    <w:p w14:paraId="3F85CE57" w14:textId="77777777" w:rsidR="000C706A" w:rsidRPr="00C52B38" w:rsidRDefault="000C706A" w:rsidP="00B71D0F">
      <w:pPr>
        <w:pStyle w:val="H1G"/>
      </w:pPr>
      <w:bookmarkStart w:id="42" w:name="_Toc147326783"/>
      <w:bookmarkStart w:id="43" w:name="OLE_LINK3"/>
      <w:r w:rsidRPr="00C52B38">
        <w:tab/>
        <w:t>A.</w:t>
      </w:r>
      <w:r w:rsidRPr="00C52B38">
        <w:tab/>
        <w:t>No discriminación e igualdad</w:t>
      </w:r>
      <w:bookmarkStart w:id="44" w:name="_Toc167980148"/>
      <w:bookmarkEnd w:id="42"/>
      <w:bookmarkEnd w:id="44"/>
    </w:p>
    <w:bookmarkEnd w:id="43"/>
    <w:p w14:paraId="0B49AD76" w14:textId="77777777" w:rsidR="000C706A" w:rsidRPr="00C52B38" w:rsidRDefault="000C706A" w:rsidP="00AC0528">
      <w:pPr>
        <w:pStyle w:val="H23G"/>
      </w:pPr>
      <w:r w:rsidRPr="00C52B38">
        <w:tab/>
        <w:t>1.</w:t>
      </w:r>
      <w:r w:rsidRPr="00C52B38">
        <w:tab/>
        <w:t>Información general</w:t>
      </w:r>
    </w:p>
    <w:p w14:paraId="249030C8" w14:textId="6B9DD530" w:rsidR="000C706A" w:rsidRPr="00C52B38" w:rsidRDefault="000C706A" w:rsidP="00B71D0F">
      <w:pPr>
        <w:pStyle w:val="H4G"/>
      </w:pPr>
      <w:r>
        <w:tab/>
      </w:r>
      <w:r w:rsidR="00B71D0F">
        <w:tab/>
      </w:r>
      <w:r w:rsidRPr="00C52B38">
        <w:t>Forma jurídica</w:t>
      </w:r>
    </w:p>
    <w:p w14:paraId="4AAC22E0" w14:textId="77777777" w:rsidR="000C706A" w:rsidRPr="00C52B38" w:rsidRDefault="000C706A" w:rsidP="002370A4">
      <w:pPr>
        <w:pStyle w:val="SingleTxtG"/>
      </w:pPr>
      <w:r w:rsidRPr="00C52B38">
        <w:t>187.</w:t>
      </w:r>
      <w:r w:rsidRPr="00C52B38">
        <w:tab/>
        <w:t>El enfoque general adoptado en Australia con respecto a los tratados de derechos humanos consiste en garantizar que la legislación, las políticas y las prácticas nacionales son compatibles con un tratado antes de ratificarlo. Los marcos jurídicos australianos se ajustan y dan efecto a las obligaciones contraídas en virtud de los instrumentos de derechos humanos en los que Australia es parte. Entre esas obligaciones se incluyen las de cumplir los principios de no discriminación, igualdad ante la ley e igual protección de la ley para todas las personas (véanse las secciones A y B de la parte II).</w:t>
      </w:r>
    </w:p>
    <w:p w14:paraId="48C2CA62" w14:textId="77777777" w:rsidR="000C706A" w:rsidRPr="00C52B38" w:rsidRDefault="000C706A" w:rsidP="002370A4">
      <w:pPr>
        <w:pStyle w:val="SingleTxtG"/>
      </w:pPr>
      <w:r w:rsidRPr="00C52B38">
        <w:t>188.</w:t>
      </w:r>
      <w:r w:rsidRPr="00C52B38">
        <w:tab/>
        <w:t xml:space="preserve">La legislación australiana de lucha contra la discriminación permite adoptar medidas especiales para fomentar una mayor igualdad, mediante el apoyo a grupos que enfrentan o han enfrentado una discriminación arraigada y la promoción de un acceso equitativo a las oportunidades. Por ejemplo, las estrategias de contratación específicas para aborígenes e </w:t>
      </w:r>
      <w:r w:rsidRPr="00C52B38">
        <w:lastRenderedPageBreak/>
        <w:t>isleños del estrecho de Torres, como reservar determinados puestos o programas de prácticas laborales para aborígenes e isleños del estrecho de Torres, suelen estar permitidas por ley.</w:t>
      </w:r>
    </w:p>
    <w:p w14:paraId="73DAF7BA" w14:textId="0EAA337F" w:rsidR="000C706A" w:rsidRPr="00C52B38" w:rsidRDefault="000C706A" w:rsidP="00B71D0F">
      <w:pPr>
        <w:pStyle w:val="H4G"/>
      </w:pPr>
      <w:r>
        <w:tab/>
      </w:r>
      <w:r w:rsidR="00B71D0F">
        <w:tab/>
      </w:r>
      <w:r w:rsidRPr="00C52B38">
        <w:t>Medidas generales para eliminar la discriminación y promover la igualdad</w:t>
      </w:r>
    </w:p>
    <w:p w14:paraId="325E8A84" w14:textId="4D4246F5" w:rsidR="000C706A" w:rsidRPr="00C52B38" w:rsidRDefault="000C706A" w:rsidP="002370A4">
      <w:pPr>
        <w:pStyle w:val="SingleTxtG"/>
      </w:pPr>
      <w:bookmarkStart w:id="45" w:name="_Ref64892632"/>
      <w:r w:rsidRPr="00C52B38">
        <w:t>189.</w:t>
      </w:r>
      <w:r w:rsidRPr="00C52B38">
        <w:tab/>
        <w:t>El Gobierno de Australia está decidido a promover la igualdad ante la ley. Administra la financiación de una serie de programas para proporcionar asistencia jurídica a las personas más vulnerables de la comunidad, en particular mediante la Alianza Nacional de Asistencia Jurídica (2020-2015), que proporciona financiación a los Gobiernos de cada estado y territorio, para que la distribuyan entre las comisiones de asistencia jurídica, los centros jurídicos comunitarios y los Servicios Jurídicos para los Aborígenes e Isleños del Estrecho de Torres, con el fin de prestar asistencia jurídica a las personas vulnerables que se enfrentan a situaciones de desventaja. También administra planes de asistencia financiera que pueden ayudar a las personas en determinados asuntos jurídicos competencia del Commonwealth o en asuntos jurídicos en el extranjero.</w:t>
      </w:r>
      <w:bookmarkEnd w:id="45"/>
    </w:p>
    <w:p w14:paraId="6FF4ABD0" w14:textId="77777777" w:rsidR="000C706A" w:rsidRPr="00C52B38" w:rsidRDefault="000C706A" w:rsidP="002370A4">
      <w:pPr>
        <w:pStyle w:val="SingleTxtG"/>
      </w:pPr>
      <w:r w:rsidRPr="00C52B38">
        <w:t>190.</w:t>
      </w:r>
      <w:r w:rsidRPr="00C52B38">
        <w:tab/>
        <w:t>El Gobierno de Australia participa en campañas de promoción y concienciación para reconocer los días internacionales significativos, por ejemplo, el Día Internacional de la Mujer, el Día Internacional de las Personas con Discapacidad y el Día Internacional de la Eliminación de la Discriminación Racial (21 de marzo) incluido en la Semana de la Armonía.</w:t>
      </w:r>
    </w:p>
    <w:p w14:paraId="18703DCE" w14:textId="77777777" w:rsidR="000C706A" w:rsidRPr="00C52B38" w:rsidRDefault="000C706A" w:rsidP="002370A4">
      <w:pPr>
        <w:pStyle w:val="SingleTxtG"/>
      </w:pPr>
      <w:r w:rsidRPr="00C52B38">
        <w:t>191.</w:t>
      </w:r>
      <w:r w:rsidRPr="00C52B38">
        <w:tab/>
        <w:t>Recientemente, el 9 de junio de 2023, el Gobierno de Australia ratificó el Convenio sobre la Violencia y el Acoso (núm. 190) de la Organización Internacional del Trabajo (OIT). El Convenio obliga a los Estados miembros que lo ratifiquen a garantizar que su legislación establece un marco que prohíbe todas las formas de violencia y acoso en el mundo laboral, incluida la violencia por razón del género. La ratificación del Convenio pone de manifiesto la voluntad de Australia de garantizar lugares de trabajo seguros y respetuosos para todas las personas.</w:t>
      </w:r>
    </w:p>
    <w:p w14:paraId="24FFC966" w14:textId="60941CBD" w:rsidR="000C706A" w:rsidRPr="00C52B38" w:rsidRDefault="000C706A" w:rsidP="002370A4">
      <w:pPr>
        <w:pStyle w:val="SingleTxtG"/>
      </w:pPr>
      <w:r w:rsidRPr="00C52B38">
        <w:t>192.</w:t>
      </w:r>
      <w:r w:rsidRPr="00C52B38">
        <w:tab/>
        <w:t xml:space="preserve">Las instituciones y los organismos de derechos humanos nacionales y de cada jurisdicción, la sociedad civil y las ONG contribuyen a la eliminación de la discriminación y a la promoción de la igualdad a través de sus actividades (véase la </w:t>
      </w:r>
      <w:r w:rsidR="00445DFB">
        <w:t>p</w:t>
      </w:r>
      <w:r w:rsidRPr="00C52B38">
        <w:t xml:space="preserve">arte II, </w:t>
      </w:r>
      <w:r w:rsidR="00445DFB">
        <w:t>s</w:t>
      </w:r>
      <w:r w:rsidRPr="00C52B38">
        <w:t>ección C), por ejemplo, mediante el desarrollo de herramientas y directrices de buenas prácticas para promover la no discriminación en el lugar de trabajo.</w:t>
      </w:r>
    </w:p>
    <w:p w14:paraId="03DE256D" w14:textId="32864529" w:rsidR="000C706A" w:rsidRPr="00C52B38" w:rsidRDefault="000C706A" w:rsidP="00B71D0F">
      <w:pPr>
        <w:pStyle w:val="H4G"/>
      </w:pPr>
      <w:r>
        <w:tab/>
      </w:r>
      <w:r w:rsidR="00B71D0F">
        <w:tab/>
      </w:r>
      <w:r w:rsidRPr="00C52B38">
        <w:t>Medidas generales para reducir las disparidades económicas, sociales y geográficas</w:t>
      </w:r>
    </w:p>
    <w:p w14:paraId="7C4E7221" w14:textId="77777777" w:rsidR="000C706A" w:rsidRPr="00C52B38" w:rsidRDefault="000C706A" w:rsidP="002370A4">
      <w:pPr>
        <w:pStyle w:val="SingleTxtG"/>
      </w:pPr>
      <w:r w:rsidRPr="00C52B38">
        <w:t>193.</w:t>
      </w:r>
      <w:r w:rsidRPr="00C52B38">
        <w:tab/>
        <w:t>El Gobierno de Australia otorga una gran prioridad a garantizar el empoderamiento económico de todos los australianos, mediante políticas que apoyen el crecimiento económico y la concesión de ayudas económicas directas y mediante la prestación de servicios de apoyo a grupos específicos de la comunidad, como las personas de edad, las personas desempleadas, los progenitores y las familias, las personas encargadas del cuidado de otras, las personas con discapacidad, los estudiantes y los pueblos aborígenes e isleños del estrecho de Torres. Además de las prestaciones de la seguridad social, los beneficiarios de ayudas a la renta tienen a su disposición una serie de concesiones y subsidios del Commonwealth y de los estados para contribuir a sufragar los servicios médicos, los productos farmacéuticos, el transporte, el alquiler y otros gastos de sustento.</w:t>
      </w:r>
    </w:p>
    <w:p w14:paraId="687D4A48" w14:textId="77777777" w:rsidR="000C706A" w:rsidRPr="00C52B38" w:rsidRDefault="000C706A" w:rsidP="002370A4">
      <w:pPr>
        <w:pStyle w:val="SingleTxtG"/>
      </w:pPr>
      <w:r w:rsidRPr="00C52B38">
        <w:t>194.</w:t>
      </w:r>
      <w:r w:rsidRPr="00C52B38">
        <w:tab/>
        <w:t>Australia se ha comprometido a abordar las desventajas desproporcionadas que existen en las zonas rurales y remotas del país, especialmente en las esferas de la educación, el empleo y la seguridad de la comunidad. Para reducir las disparidades se adoptan una serie de medidas a través de la Estrategia de Promoción de los Indígenas, la financiación del Programa de Estrategias para las Zonas Remotas de Australia</w:t>
      </w:r>
      <w:r w:rsidRPr="00C52B38">
        <w:rPr>
          <w:rStyle w:val="Refdenotaalpie"/>
        </w:rPr>
        <w:footnoteReference w:id="117"/>
      </w:r>
      <w:r w:rsidRPr="00C52B38">
        <w:t>, el Marco Estratégico Nacional para la Salud en las Zonas Rurales y Remotas</w:t>
      </w:r>
      <w:r w:rsidRPr="00C52B38">
        <w:rPr>
          <w:rStyle w:val="Refdenotaalpie"/>
        </w:rPr>
        <w:footnoteReference w:id="118"/>
      </w:r>
      <w:r w:rsidRPr="00C52B38">
        <w:t>, la Estrategia para las Zonas Rurales y Remotas del Organismo Nacional del Seguro de Discapacidad</w:t>
      </w:r>
      <w:r w:rsidRPr="00C52B38">
        <w:rPr>
          <w:rStyle w:val="Refdenotaalpie"/>
        </w:rPr>
        <w:footnoteReference w:id="119"/>
      </w:r>
      <w:r w:rsidRPr="00C52B38">
        <w:t xml:space="preserve"> y la Estrategia Nacional de Educación en las Regiones y las Zonas Rurales y Remotas</w:t>
      </w:r>
      <w:r w:rsidRPr="00C52B38">
        <w:rPr>
          <w:rStyle w:val="Refdenotaalpie"/>
        </w:rPr>
        <w:footnoteReference w:id="120"/>
      </w:r>
      <w:r w:rsidRPr="00C52B38">
        <w:t xml:space="preserve">. </w:t>
      </w:r>
    </w:p>
    <w:p w14:paraId="29979462" w14:textId="77777777" w:rsidR="000C706A" w:rsidRPr="00C52B38" w:rsidRDefault="000C706A" w:rsidP="00B71D0F">
      <w:pPr>
        <w:pStyle w:val="H23G"/>
      </w:pPr>
      <w:r w:rsidRPr="00C52B38">
        <w:lastRenderedPageBreak/>
        <w:tab/>
        <w:t>2.</w:t>
      </w:r>
      <w:r w:rsidRPr="00C52B38">
        <w:tab/>
        <w:t>Medidas para eliminar la discriminación y fomentar la igualdad para grupos específicos que puedan verse desfavorecidos o marginados</w:t>
      </w:r>
    </w:p>
    <w:p w14:paraId="3724407B" w14:textId="79A5D183" w:rsidR="000C706A" w:rsidRPr="00C52B38" w:rsidRDefault="000C706A" w:rsidP="00B71D0F">
      <w:pPr>
        <w:pStyle w:val="H4G"/>
      </w:pPr>
      <w:r>
        <w:tab/>
      </w:r>
      <w:r w:rsidR="00B71D0F">
        <w:tab/>
      </w:r>
      <w:r w:rsidRPr="00C52B38">
        <w:t>Pueblos aborígenes e isleños del estrecho de Torres</w:t>
      </w:r>
    </w:p>
    <w:p w14:paraId="04CA701A" w14:textId="616C0BAE" w:rsidR="000C706A" w:rsidRPr="00C52B38" w:rsidRDefault="000C706A" w:rsidP="002370A4">
      <w:pPr>
        <w:pStyle w:val="SingleTxtG"/>
      </w:pPr>
      <w:bookmarkStart w:id="46" w:name="OLE_LINK4"/>
      <w:r w:rsidRPr="00C52B38">
        <w:t>195.</w:t>
      </w:r>
      <w:r w:rsidRPr="00C52B38">
        <w:tab/>
        <w:t>El Gobierno de Australia apuesta por el proceso en marcha de reconciliación con los pueblos aborígenes e isleños del estrecho de Torres, la protección de las artes, la cultura y las lenguas de esos pueblos, y la lucha contra las desventajas sociales y económicas.</w:t>
      </w:r>
      <w:bookmarkEnd w:id="46"/>
    </w:p>
    <w:p w14:paraId="653B3883" w14:textId="4052D684" w:rsidR="000C706A" w:rsidRPr="00C52B38" w:rsidRDefault="000C706A" w:rsidP="002370A4">
      <w:pPr>
        <w:pStyle w:val="SingleTxtG"/>
      </w:pPr>
      <w:r w:rsidRPr="00C52B38">
        <w:t>196.</w:t>
      </w:r>
      <w:r w:rsidRPr="00C52B38">
        <w:tab/>
        <w:t xml:space="preserve">Desde la sentencia del Tribunal Supremo de Australia en la causa </w:t>
      </w:r>
      <w:proofErr w:type="spellStart"/>
      <w:r w:rsidRPr="00C52B38">
        <w:rPr>
          <w:i/>
          <w:iCs/>
        </w:rPr>
        <w:t>Mabo</w:t>
      </w:r>
      <w:proofErr w:type="spellEnd"/>
      <w:r w:rsidRPr="00C52B38">
        <w:rPr>
          <w:i/>
          <w:iCs/>
        </w:rPr>
        <w:t xml:space="preserve"> v. Queensland</w:t>
      </w:r>
      <w:r w:rsidRPr="00C52B38">
        <w:t xml:space="preserve"> </w:t>
      </w:r>
      <w:r w:rsidRPr="00C52B38">
        <w:rPr>
          <w:i/>
          <w:iCs/>
        </w:rPr>
        <w:t>(</w:t>
      </w:r>
      <w:r w:rsidR="00445DFB">
        <w:rPr>
          <w:i/>
          <w:iCs/>
        </w:rPr>
        <w:t>No.</w:t>
      </w:r>
      <w:r w:rsidRPr="00C52B38">
        <w:rPr>
          <w:i/>
          <w:iCs/>
        </w:rPr>
        <w:t xml:space="preserve"> 2) (1992) </w:t>
      </w:r>
      <w:proofErr w:type="spellStart"/>
      <w:r w:rsidRPr="00C52B38">
        <w:rPr>
          <w:i/>
          <w:iCs/>
        </w:rPr>
        <w:t>HCA</w:t>
      </w:r>
      <w:proofErr w:type="spellEnd"/>
      <w:r w:rsidRPr="00C52B38">
        <w:rPr>
          <w:i/>
          <w:iCs/>
        </w:rPr>
        <w:t xml:space="preserve"> 23</w:t>
      </w:r>
      <w:r w:rsidRPr="00C52B38">
        <w:t xml:space="preserve">, el </w:t>
      </w:r>
      <w:proofErr w:type="spellStart"/>
      <w:r w:rsidRPr="00445DFB">
        <w:rPr>
          <w:i/>
          <w:iCs/>
        </w:rPr>
        <w:t>common</w:t>
      </w:r>
      <w:proofErr w:type="spellEnd"/>
      <w:r w:rsidRPr="00C52B38">
        <w:rPr>
          <w:i/>
          <w:iCs/>
        </w:rPr>
        <w:t xml:space="preserve"> </w:t>
      </w:r>
      <w:proofErr w:type="spellStart"/>
      <w:r w:rsidRPr="00C52B38">
        <w:rPr>
          <w:i/>
          <w:iCs/>
        </w:rPr>
        <w:t>law</w:t>
      </w:r>
      <w:proofErr w:type="spellEnd"/>
      <w:r w:rsidRPr="00C52B38">
        <w:t xml:space="preserve"> australiano reconoce una forma de título de propiedad que refleja el derecho de los pueblos aborígenes e isleños del estrecho de Torres a sus tierras y aguas tradicionales, de acuerdo con sus leyes y costumbres tradicionales. El reconocimiento formal de los derechos de propiedad de los indígenas permite a los propietarios tradicionales tener acceso a sus tierras, aguas y demás recursos y participar en las decisiones sobre su uso. La Ley de Títulos de Propiedad de los Indígenas de 1993 (Commonwealth de Australia) establece procedimientos jurídicos para reconocer y proteger los derechos de propiedad de los indígenas sobre la tierra y los recursos hídricos, en particular la verificación de títulos de propiedad de los indígenas y la firma de acuerdos voluntarios. Desde el establecimiento del sistema de títulos de propiedad de los indígenas, los sucesivos Gobiernos han ido poniendo en marcha una serie de iniciativas para apoyar o reconocer los derechos territoriales de los pueblos aborígenes e isleños del estrecho de Torres basados en la continuidad de la conexión con la tierra o las aguas conforme a las leyes y costumbres tradicionales. Los derechos e intereses de los pueblos aborígenes e isleños del estrecho de Torres en relación con la tierra están formalmente reconocidos en aproximadamente el 50 % del territorio de Australia</w:t>
      </w:r>
      <w:r w:rsidRPr="00C52B38">
        <w:rPr>
          <w:rStyle w:val="Refdenotaalpie"/>
        </w:rPr>
        <w:footnoteReference w:id="121"/>
      </w:r>
      <w:r w:rsidRPr="00C52B38">
        <w:t>.</w:t>
      </w:r>
    </w:p>
    <w:p w14:paraId="2BF3D3BB" w14:textId="77777777" w:rsidR="000C706A" w:rsidRPr="00C52B38" w:rsidRDefault="000C706A" w:rsidP="002370A4">
      <w:pPr>
        <w:pStyle w:val="SingleTxtG"/>
      </w:pPr>
      <w:r w:rsidRPr="00C52B38">
        <w:t>197.</w:t>
      </w:r>
      <w:r w:rsidRPr="00C52B38">
        <w:tab/>
        <w:t>El Gobierno de Australia está llevando a cabo una gran variedad de iniciativas para hacer frente a las desventajas de los aborígenes e isleños del estrecho de Torres y promover la igualdad, en el marco de las dos siguientes estrategias clave:</w:t>
      </w:r>
    </w:p>
    <w:p w14:paraId="440E741E" w14:textId="05CB5A48" w:rsidR="000C706A" w:rsidRPr="00C52B38" w:rsidRDefault="000C706A" w:rsidP="00B71D0F">
      <w:pPr>
        <w:pStyle w:val="Bullet1G"/>
      </w:pPr>
      <w:r w:rsidRPr="00C52B38">
        <w:t>El Acuerdo Nacional para Cerrar la Brecha permite a los pueblos aborígenes e isleños del estrecho de Torres y a los Gobiernos trabajar de consuno para superar la desigualdad que afrontan los pueblos aborígenes e isleños del estrecho de Torres y que tengan una calidad de vida igual a la del resto de los australianos. En 2008 se estableció la Estrategia Cerrar la Brecha y en julio de 2020 se hizo público el Acuerdo Nacional para Cerrar la Brecha, redactado en colaboración con los pueblos aborígenes e isleños del estrecho de Torres. En la Estrategia Cerrar la Brecha se reconoce la fuerza y resiliencia permanentes de los aborígenes e isleños del estrecho de Torres en el mantenimiento de su cultura, una de las más antiguas del mundo que aún perdura. El Acuerdo Nacional para Cerrar la Brecha se articula en torno a cuatro reformas prioritarias que se centran en transformar la forma en que los Gobiernos trabajan con los pueblos aborígenes y los isleños del estrecho de Torres para alcanzar 17 metas de carácter socioeconómico. Las reformas prioritarias:</w:t>
      </w:r>
    </w:p>
    <w:p w14:paraId="79896BCD" w14:textId="49001A75" w:rsidR="000C706A" w:rsidRPr="00C52B38" w:rsidRDefault="000C706A" w:rsidP="00E415C5">
      <w:pPr>
        <w:pStyle w:val="Bullet2G"/>
      </w:pPr>
      <w:r w:rsidRPr="00C52B38">
        <w:t>Reforzarán y establecerán asociaciones formales y una toma de decisiones compartida</w:t>
      </w:r>
      <w:r w:rsidR="00E415C5">
        <w:t>.</w:t>
      </w:r>
    </w:p>
    <w:p w14:paraId="27F98D90" w14:textId="40833653" w:rsidR="000C706A" w:rsidRPr="00C52B38" w:rsidRDefault="000C706A" w:rsidP="00E415C5">
      <w:pPr>
        <w:pStyle w:val="Bullet2G"/>
      </w:pPr>
      <w:r w:rsidRPr="00C52B38">
        <w:t>Desarrollarán el sector controlado por la comunidad aborigen e isleña del estrecho de Torres</w:t>
      </w:r>
      <w:r w:rsidR="00E415C5">
        <w:t>.</w:t>
      </w:r>
    </w:p>
    <w:p w14:paraId="2BB88AFB" w14:textId="0338B72B" w:rsidR="000C706A" w:rsidRPr="00C52B38" w:rsidRDefault="000C706A" w:rsidP="00E415C5">
      <w:pPr>
        <w:pStyle w:val="Bullet2G"/>
      </w:pPr>
      <w:r w:rsidRPr="00C52B38">
        <w:t>Transformarán las organizaciones gubernamentales para que mejoren su trabajo en favor de los pueblos aborígenes e isleños del estrecho de Torres</w:t>
      </w:r>
      <w:r w:rsidR="00E415C5">
        <w:t>.</w:t>
      </w:r>
    </w:p>
    <w:p w14:paraId="61B88577" w14:textId="5352AF04" w:rsidR="000C706A" w:rsidRPr="00C52B38" w:rsidRDefault="000C706A" w:rsidP="00E415C5">
      <w:pPr>
        <w:pStyle w:val="Bullet2G"/>
      </w:pPr>
      <w:r w:rsidRPr="00C52B38">
        <w:t>Mejorarán y compartirán el acceso a los datos y la información a escala regional para que las comunidades aborígenes e isleñas del estrecho de Torres puedan tomar decisiones fundamentadas.</w:t>
      </w:r>
    </w:p>
    <w:p w14:paraId="7EE50E9A" w14:textId="79B1D44E" w:rsidR="000C706A" w:rsidRPr="00C52B38" w:rsidRDefault="000C706A" w:rsidP="00B71D0F">
      <w:pPr>
        <w:pStyle w:val="Bullet1G"/>
      </w:pPr>
      <w:r w:rsidRPr="00C52B38">
        <w:t xml:space="preserve">Mediante la Estrategia de Promoción de los Indígenas se financian y ejecutan programas para eliminar los obstáculos a la participación de los aborígenes y los </w:t>
      </w:r>
      <w:r w:rsidRPr="00C52B38">
        <w:lastRenderedPageBreak/>
        <w:t>isleños del estrecho de Torres en el mercado laboral y mejorar su participación socioeconómica.</w:t>
      </w:r>
    </w:p>
    <w:p w14:paraId="346E2B1F" w14:textId="77777777" w:rsidR="000C706A" w:rsidRPr="00C52B38" w:rsidRDefault="000C706A" w:rsidP="002370A4">
      <w:pPr>
        <w:pStyle w:val="SingleTxtG"/>
      </w:pPr>
      <w:r w:rsidRPr="00C52B38">
        <w:t>198.</w:t>
      </w:r>
      <w:r w:rsidRPr="00C52B38">
        <w:tab/>
        <w:t>Otras medidas generales para promover la no discriminación y la igualdad de los pueblos aborígenes e isleños del estrecho de Torres son:</w:t>
      </w:r>
    </w:p>
    <w:p w14:paraId="017923CD" w14:textId="157B8B23" w:rsidR="000C706A" w:rsidRPr="00C52B38" w:rsidRDefault="000C706A" w:rsidP="00B71D0F">
      <w:pPr>
        <w:pStyle w:val="Bullet1G"/>
      </w:pPr>
      <w:r w:rsidRPr="00C52B38">
        <w:t>La política del Commonwealth de adquisición a proveedores indígenas, que fomenta el emprendimiento y el desarrollo empresarial de los indígenas, al ofrecer a los pueblos aborígenes e isleños del estrecho de Torres más oportunidades de participar en la economía.</w:t>
      </w:r>
    </w:p>
    <w:p w14:paraId="1F5F134A" w14:textId="63D0AEB6" w:rsidR="000C706A" w:rsidRPr="00C52B38" w:rsidRDefault="000C706A" w:rsidP="00B71D0F">
      <w:pPr>
        <w:pStyle w:val="Bullet1G"/>
      </w:pPr>
      <w:r w:rsidRPr="00C52B38">
        <w:t>La financiación de servicios judiciales, jurídicos y sanitarios especializados para aborígenes e isleños del estrecho de Torres.</w:t>
      </w:r>
    </w:p>
    <w:p w14:paraId="1D73D0FB" w14:textId="31CC85B9" w:rsidR="000C706A" w:rsidRPr="00C52B38" w:rsidRDefault="000C706A" w:rsidP="00B71D0F">
      <w:pPr>
        <w:pStyle w:val="Bullet1G"/>
      </w:pPr>
      <w:r w:rsidRPr="00C52B38">
        <w:t>Una serie de medidas de prevención, remisión y rehabilitación para hacer frente al porcentaje desproporcionado de casos de aborígenes e isleños del estrecho de Torres en el sistema de justicia penal y lograr una igualdad sustantiva ante la ley.</w:t>
      </w:r>
    </w:p>
    <w:p w14:paraId="7F24FD04" w14:textId="0E32E8D8" w:rsidR="000C706A" w:rsidRPr="00C52B38" w:rsidRDefault="00B71D0F" w:rsidP="00B71D0F">
      <w:pPr>
        <w:pStyle w:val="H4G"/>
      </w:pPr>
      <w:r>
        <w:tab/>
      </w:r>
      <w:r w:rsidR="000C706A">
        <w:tab/>
      </w:r>
      <w:r w:rsidR="000C706A" w:rsidRPr="00C52B38">
        <w:t>Niños</w:t>
      </w:r>
    </w:p>
    <w:p w14:paraId="490B841E" w14:textId="77777777" w:rsidR="000C706A" w:rsidRPr="00C52B38" w:rsidRDefault="000C706A" w:rsidP="002370A4">
      <w:pPr>
        <w:pStyle w:val="SingleTxtG"/>
      </w:pPr>
      <w:r w:rsidRPr="00C52B38">
        <w:t>199.</w:t>
      </w:r>
      <w:r w:rsidRPr="00C52B38">
        <w:tab/>
        <w:t>El Gobierno de Australia tiene una serie de programas, políticas y estrategias cuyo objetivo es promover los derechos de los niños y los jóvenes. Por ejemplo:</w:t>
      </w:r>
    </w:p>
    <w:p w14:paraId="59D8464B" w14:textId="3520738C" w:rsidR="000C706A" w:rsidRPr="00C52B38" w:rsidRDefault="000C706A" w:rsidP="00B71D0F">
      <w:pPr>
        <w:pStyle w:val="Bullet1G"/>
      </w:pPr>
      <w:r w:rsidRPr="00C52B38">
        <w:t>La Oficina Nacional de Seguridad del Niño se estableció en 2018 y se encarga de dirigir a escala nacional los esfuerzos de los Gobiernos y los distintos sectores con el fin de aplicar políticas y estrategias nacionales que mejoren la seguridad de los niños y reduzcan el riesgo de que sufran daños en el futuro. En concreto, dirige la aplicación de la Estrategia Nacional para Prevenir y Combatir el Abuso Sexual de Niños (2021</w:t>
      </w:r>
      <w:r w:rsidR="00E415C5">
        <w:noBreakHyphen/>
      </w:r>
      <w:r w:rsidRPr="00C52B38">
        <w:t>2030), de diez años de duración, que ofrece un enfoque a largo plazo, coherente y coordinado para prevenir el abuso sexual de niños en todos los entornos, incluidos el institucional, el familiar y el virtual</w:t>
      </w:r>
      <w:r w:rsidR="00B71D0F">
        <w:t>.</w:t>
      </w:r>
    </w:p>
    <w:p w14:paraId="590D8B74" w14:textId="54E80199" w:rsidR="000C706A" w:rsidRPr="00C52B38" w:rsidRDefault="000C706A" w:rsidP="00B71D0F">
      <w:pPr>
        <w:pStyle w:val="Bullet1G"/>
      </w:pPr>
      <w:r w:rsidRPr="00C52B38">
        <w:t>En 2019, el Gobierno de Australia y los Gobiernos de los estados y de los territorios acordaron los Principios Nacionales de las Organizaciones Seguras para los Niños, que establecen un enfoque armonizado a escala nacional para promover una cultura de seguridad y bienestar infantil en las organizaciones. La Oficina Nacional de Seguridad del Niño dirige el desarrollo de recursos para prestar asistencia a las organizaciones en la aplicación de los Principios Nacionales</w:t>
      </w:r>
      <w:r w:rsidR="00B71D0F">
        <w:t>.</w:t>
      </w:r>
    </w:p>
    <w:p w14:paraId="77ABC3AB" w14:textId="7789608B" w:rsidR="000C706A" w:rsidRPr="00C52B38" w:rsidRDefault="000C706A" w:rsidP="00B71D0F">
      <w:pPr>
        <w:pStyle w:val="Bullet1G"/>
      </w:pPr>
      <w:r w:rsidRPr="00C52B38">
        <w:t xml:space="preserve">El Marco de Seguridad Infantil del Commonwealth es una política </w:t>
      </w:r>
      <w:proofErr w:type="spellStart"/>
      <w:r w:rsidRPr="00C52B38">
        <w:t>pangubernamental</w:t>
      </w:r>
      <w:proofErr w:type="spellEnd"/>
      <w:r w:rsidRPr="00C52B38">
        <w:t xml:space="preserve"> que establece normas mínimas para que los organismos del Gobierno de Australia desarrollen y mantengan conductas y prácticas seguras para los niños</w:t>
      </w:r>
      <w:r w:rsidR="00B71D0F">
        <w:t>.</w:t>
      </w:r>
    </w:p>
    <w:p w14:paraId="137E71DB" w14:textId="60AC1F89" w:rsidR="000C706A" w:rsidRPr="00C52B38" w:rsidRDefault="000C706A" w:rsidP="00B71D0F">
      <w:pPr>
        <w:pStyle w:val="Bullet1G"/>
      </w:pPr>
      <w:r w:rsidRPr="00C52B38">
        <w:t>El Centro Australiano de Lucha contra la Explotación Infantil está dirigido por la Policía Federal Australiana y reúne a las principales partes interesadas para impulsar una labor conjunta de lucha contra la explotación infantil</w:t>
      </w:r>
      <w:r w:rsidR="00B71D0F">
        <w:t>.</w:t>
      </w:r>
    </w:p>
    <w:p w14:paraId="74E2A669" w14:textId="0624C12D" w:rsidR="000C706A" w:rsidRPr="00C52B38" w:rsidRDefault="000C706A" w:rsidP="00B71D0F">
      <w:pPr>
        <w:pStyle w:val="Bullet1G"/>
      </w:pPr>
      <w:r w:rsidRPr="00C52B38">
        <w:t>La Estrategia Seguridad y Apoyo: Marco Nacional de Protección de los Niños de Australia (2021-2031) proporciona un marco para un enfoque a largo plazo que garantice la seguridad y el bienestar de los niños y reduzca los malos tratos y el descuido de los niños</w:t>
      </w:r>
      <w:r w:rsidR="00B71D0F">
        <w:t>.</w:t>
      </w:r>
    </w:p>
    <w:p w14:paraId="361711C4" w14:textId="4694DAC2" w:rsidR="000C706A" w:rsidRPr="00C52B38" w:rsidRDefault="000C706A" w:rsidP="00B71D0F">
      <w:pPr>
        <w:pStyle w:val="Bullet1G"/>
      </w:pPr>
      <w:r w:rsidRPr="00C52B38">
        <w:t>El Marco de Protección de la Infancia promueve la seguridad y el bienestar de los niños beneficiarios de servicios de inmigración</w:t>
      </w:r>
      <w:r w:rsidR="00B71D0F">
        <w:t>.</w:t>
      </w:r>
    </w:p>
    <w:p w14:paraId="2E115D5A" w14:textId="27F35DB0" w:rsidR="000C706A" w:rsidRPr="00C52B38" w:rsidRDefault="000C706A" w:rsidP="00B71D0F">
      <w:pPr>
        <w:pStyle w:val="Bullet1G"/>
      </w:pPr>
      <w:r w:rsidRPr="00C52B38">
        <w:t>El Plan Nacional para Acabar con la Violencia contra las Mujeres y los Niños (2022</w:t>
      </w:r>
      <w:r w:rsidR="00B71D0F">
        <w:noBreakHyphen/>
      </w:r>
      <w:r w:rsidRPr="00C52B38">
        <w:t>2032) será el marco político general que guiará a escala nacional las acciones encaminadas a poner fin a la violencia contra las mujeres y los niños.</w:t>
      </w:r>
    </w:p>
    <w:p w14:paraId="6B3714AB" w14:textId="77777777" w:rsidR="000C706A" w:rsidRPr="00C52B38" w:rsidRDefault="000C706A" w:rsidP="002370A4">
      <w:pPr>
        <w:pStyle w:val="SingleTxtG"/>
      </w:pPr>
      <w:r w:rsidRPr="00C52B38">
        <w:t>200.</w:t>
      </w:r>
      <w:r w:rsidRPr="00C52B38">
        <w:tab/>
        <w:t>Se pueden designar abogados independientes para que representen el interés superior de los niños en los procedimientos de derecho de familia y garanticen que ese interés prime en las decisiones sobre los acuerdos de custodia. Si bien no reciben instrucciones directamente de los niños, deben formarse una opinión independiente de lo que es mejor para los niños. Para determinar el interés superior de los niños, los abogados pueden reunirse con ellos y con sus orientadores y los docentes que les imparten clases.</w:t>
      </w:r>
    </w:p>
    <w:p w14:paraId="3B20CF32" w14:textId="41D6C048" w:rsidR="000C706A" w:rsidRPr="00C52B38" w:rsidRDefault="000C706A" w:rsidP="002370A4">
      <w:pPr>
        <w:pStyle w:val="SingleTxtG"/>
      </w:pPr>
      <w:r w:rsidRPr="00C52B38">
        <w:lastRenderedPageBreak/>
        <w:t>201.</w:t>
      </w:r>
      <w:r w:rsidRPr="00C52B38">
        <w:tab/>
        <w:t xml:space="preserve">La edad de responsabilidad penal en la mayoría de los estados y territorios de Australia es de </w:t>
      </w:r>
      <w:r w:rsidR="00E415C5">
        <w:t>10</w:t>
      </w:r>
      <w:r w:rsidRPr="00C52B38">
        <w:t xml:space="preserve"> años (véase el párrafo 118). Los tribunales de menores conocen de la mayoría de los casos de delitos cometidos por menores de 18 años y adoptan medidas para proteger los derechos de los niños, como los juicios a puerta cerrada, la protección de la identidad de los niños y un enfoque centrado en la rehabilitación, por ejemplo, a través de procesos de justicia restaurativa.</w:t>
      </w:r>
    </w:p>
    <w:p w14:paraId="74B97A5E" w14:textId="3E5DE1A9" w:rsidR="000C706A" w:rsidRPr="00C52B38" w:rsidRDefault="000C706A" w:rsidP="00B71D0F">
      <w:pPr>
        <w:pStyle w:val="H4G"/>
      </w:pPr>
      <w:r>
        <w:tab/>
      </w:r>
      <w:r w:rsidR="00B71D0F">
        <w:tab/>
      </w:r>
      <w:r w:rsidRPr="00C52B38">
        <w:t>La diversidad cultural y lingüística de Australia</w:t>
      </w:r>
    </w:p>
    <w:p w14:paraId="0A9853C0" w14:textId="77777777" w:rsidR="000C706A" w:rsidRPr="00C52B38" w:rsidRDefault="000C706A" w:rsidP="002370A4">
      <w:pPr>
        <w:pStyle w:val="SingleTxtG"/>
      </w:pPr>
      <w:r w:rsidRPr="00C52B38">
        <w:t>202.</w:t>
      </w:r>
      <w:r w:rsidRPr="00C52B38">
        <w:tab/>
        <w:t>Australia es una sociedad próspera que se enorgullece de su multiculturalidad. El Gobierno de Australia se esfuerza por mantener una sociedad culturalmente diversa, tolerante e inclusiva.</w:t>
      </w:r>
    </w:p>
    <w:p w14:paraId="10D199EF" w14:textId="0602B6B8" w:rsidR="000C706A" w:rsidRPr="00C52B38" w:rsidRDefault="000C706A" w:rsidP="002370A4">
      <w:pPr>
        <w:pStyle w:val="SingleTxtG"/>
      </w:pPr>
      <w:bookmarkStart w:id="47" w:name="_Hlk142488111"/>
      <w:r w:rsidRPr="00C52B38">
        <w:t>203.</w:t>
      </w:r>
      <w:r w:rsidRPr="00C52B38">
        <w:tab/>
        <w:t xml:space="preserve">Con arreglo a la medida presupuestaria de octubre de 2022, </w:t>
      </w:r>
      <w:r w:rsidR="004A01CB">
        <w:t>“</w:t>
      </w:r>
      <w:r w:rsidRPr="004A01CB">
        <w:t>Un Gobierno que trabaja por una Australia multicultural</w:t>
      </w:r>
      <w:r w:rsidR="004A01CB">
        <w:t>”</w:t>
      </w:r>
      <w:r w:rsidRPr="00C52B38">
        <w:t xml:space="preserve">, el Gobierno de Australia se comprometió a llevar a cabo la Revisión del Marco Multicultural. El objetivo de la revisión es confirmar que las políticas y los acuerdos institucionales en materia de multiculturalidad del Gobierno de Australia son idóneos para seguir avanzando hacia una sociedad multicultural, teniendo en cuenta que la inmigración seguirá impulsando la diversidad en la sociedad australiana y que el racismo y la discriminación constituyen las principales barreras sistémicas para alcanzar las aspiraciones compartidas de una sociedad multicultural inclusiva y equitativa. La revisión representa una importante oportunidad para aprovechar y analizar las lecciones aprendidas durante la pandemia sobre cómo el Gobierno presta apoyo a las diversas comunidades y trabaja con ellas en situaciones de crisis. </w:t>
      </w:r>
    </w:p>
    <w:bookmarkEnd w:id="47"/>
    <w:p w14:paraId="540B2D9B" w14:textId="77777777" w:rsidR="000C706A" w:rsidRPr="00C52B38" w:rsidRDefault="000C706A" w:rsidP="002370A4">
      <w:pPr>
        <w:pStyle w:val="SingleTxtG"/>
      </w:pPr>
      <w:r w:rsidRPr="00C52B38">
        <w:t>204.</w:t>
      </w:r>
      <w:r w:rsidRPr="00C52B38">
        <w:tab/>
        <w:t>Asimismo, en el presupuesto de octubre de 2022 se asignaron 7,5 millones de dólares a la Comisión de Derechos Humanos de Australia para que dirija el desarrollo de una estrategia nacional contra el racismo, que ofrezca una visión coordinada y compartida para hacer frente al racismo en Australia. Para desarrollar la estrategia, la Comisión de Derechos Humanos de Australia está llevando a cabo consultas dirigidas por la comunidad, en las que se da prioridad a la seguridad y la accesibilidad culturales.</w:t>
      </w:r>
    </w:p>
    <w:p w14:paraId="4BE16D99" w14:textId="77777777" w:rsidR="000C706A" w:rsidRPr="00C52B38" w:rsidRDefault="000C706A" w:rsidP="002370A4">
      <w:pPr>
        <w:pStyle w:val="SingleTxtG"/>
      </w:pPr>
      <w:r w:rsidRPr="00C52B38">
        <w:t>205.</w:t>
      </w:r>
      <w:r w:rsidRPr="00C52B38">
        <w:tab/>
        <w:t>El Gobierno de Australia financia una serie de programas de subvenciones e iniciativas para promover una sociedad multicultural, como las subvenciones de fomento de la integración. Asimismo, pone en marcha otros programas de apoyo a la inclusión social, como los programas de centros comunitarios para migrantes y la red de enlaces comunitarios, que impulsan la participación de las comunidades, lo que permite conocer sus opiniones, que las comunidades mejoren su comprensión de los programas y políticas gubernamentales, y proporcionar información al Gobierno sobre los problemas de inclusión social y los obstáculos a la participación que afrontan las diversas comunidades australianas.</w:t>
      </w:r>
    </w:p>
    <w:p w14:paraId="22365BB4" w14:textId="730A374A" w:rsidR="000C706A" w:rsidRPr="00C52B38" w:rsidRDefault="000C706A" w:rsidP="002370A4">
      <w:pPr>
        <w:pStyle w:val="SingleTxtG"/>
      </w:pPr>
      <w:r w:rsidRPr="00C52B38">
        <w:t>206.</w:t>
      </w:r>
      <w:r w:rsidRPr="00C52B38">
        <w:tab/>
        <w:t>El Gobierno de Australia ofrece servicios gratuitos de traducción e interpretación. Su objetivo es proporcionar un acceso equitativo a servicios esenciales, como los servicios de atención de la salud, los servicios de emergencia y los servicios judiciales, en los que la traducción e interpretación constituyen un importante mecanismo para hacer efectiva la igualdad ante la ley. El Gobierno de Australia proporciona financiación para apoyar la prestación de servicios de interpretación de lenguas aborígenes en las jurisdicciones donde más se necesitan. Según el censo más reciente (de 2021), en Australia se hablan más de 150</w:t>
      </w:r>
      <w:r w:rsidR="00E415C5">
        <w:t> </w:t>
      </w:r>
      <w:r w:rsidRPr="00C52B38">
        <w:t>lenguas aborígenes e isleñas del estrecho de Torres</w:t>
      </w:r>
      <w:r w:rsidRPr="00C52B38">
        <w:rPr>
          <w:rStyle w:val="Refdenotaalpie"/>
        </w:rPr>
        <w:footnoteReference w:id="122"/>
      </w:r>
      <w:r w:rsidRPr="00C52B38">
        <w:t>. También financia actividades de formación y acreditación lingüística para aborígenes e isleños del estrecho de Torres, con vistas a aumentar el número de servicios lingüísticos y mejorar la accesibilidad de los recursos de interpretación.</w:t>
      </w:r>
    </w:p>
    <w:p w14:paraId="1A68C90E" w14:textId="0E2126AB" w:rsidR="000C706A" w:rsidRPr="00C52B38" w:rsidRDefault="000C706A" w:rsidP="00B71D0F">
      <w:pPr>
        <w:pStyle w:val="H4G"/>
      </w:pPr>
      <w:r>
        <w:lastRenderedPageBreak/>
        <w:tab/>
      </w:r>
      <w:r w:rsidR="00B71D0F">
        <w:tab/>
      </w:r>
      <w:r w:rsidRPr="00C52B38">
        <w:t>Personas australianas lesbianas, gais, bisexuales, transgénero o de género diverso, intersexuales, queer, asexuales y otras personas con orientación sexual diversa o de</w:t>
      </w:r>
      <w:r w:rsidR="00B71D0F">
        <w:t> </w:t>
      </w:r>
      <w:r w:rsidRPr="00C52B38">
        <w:t>género</w:t>
      </w:r>
      <w:r w:rsidR="00B71D0F">
        <w:t> </w:t>
      </w:r>
      <w:r w:rsidRPr="00C52B38">
        <w:t>diverso (</w:t>
      </w:r>
      <w:proofErr w:type="spellStart"/>
      <w:r w:rsidRPr="00C52B38">
        <w:t>LGBTIQA</w:t>
      </w:r>
      <w:proofErr w:type="spellEnd"/>
      <w:r w:rsidRPr="00C52B38">
        <w:t>+)</w:t>
      </w:r>
    </w:p>
    <w:p w14:paraId="40F5EE8F" w14:textId="77777777" w:rsidR="000C706A" w:rsidRPr="00C52B38" w:rsidRDefault="000C706A" w:rsidP="002370A4">
      <w:pPr>
        <w:pStyle w:val="SingleTxtG"/>
      </w:pPr>
      <w:r w:rsidRPr="00C52B38">
        <w:t>207.</w:t>
      </w:r>
      <w:r w:rsidRPr="00C52B38">
        <w:tab/>
        <w:t>En 2013 se modificó la Ley de Discriminación Sexual de 1984 para prohibir la discriminación por motivos de orientación sexual, identidad de género e intersexualidad. Asimismo, la legislación de los estados y territorios de lucha contra la discriminación prohíbe la discriminación de las personas lesbianas, gais, bisexuales, transgénero e intersexuales.</w:t>
      </w:r>
    </w:p>
    <w:p w14:paraId="35CDC0F0" w14:textId="77777777" w:rsidR="000C706A" w:rsidRPr="00C52B38" w:rsidRDefault="000C706A" w:rsidP="002370A4">
      <w:pPr>
        <w:pStyle w:val="SingleTxtG"/>
      </w:pPr>
      <w:r w:rsidRPr="00C52B38">
        <w:t>208.</w:t>
      </w:r>
      <w:r w:rsidRPr="00C52B38">
        <w:tab/>
        <w:t>En 2013, el Gobierno de Australia elaboró las Directrices sobre el Reconocimiento del Sexo y el Género para orientar a los organismos gubernamentales australianos que mantienen registros de datos personales</w:t>
      </w:r>
      <w:r w:rsidRPr="00C52B38">
        <w:rPr>
          <w:rStyle w:val="Refdenotaalpie"/>
        </w:rPr>
        <w:footnoteReference w:id="123"/>
      </w:r>
      <w:r w:rsidRPr="00C52B38">
        <w:t>. En 2021, la Oficina Australiana de Estadística introdujo la Norma para las Variables de Sexo, Género, Variaciones de las Características Sexuales y Orientación Sexual (2020), para estandarizar la reunión y difusión de datos relativos al sexo, el género, las variaciones de las características sexuales y la orientación sexual</w:t>
      </w:r>
      <w:r w:rsidRPr="00C52B38">
        <w:rPr>
          <w:rStyle w:val="Refdenotaalpie"/>
        </w:rPr>
        <w:footnoteReference w:id="124"/>
      </w:r>
      <w:r w:rsidRPr="00C52B38">
        <w:t>.</w:t>
      </w:r>
    </w:p>
    <w:p w14:paraId="316F7AA0" w14:textId="77777777" w:rsidR="000C706A" w:rsidRPr="00C52B38" w:rsidRDefault="000C706A" w:rsidP="002370A4">
      <w:pPr>
        <w:pStyle w:val="SingleTxtG"/>
      </w:pPr>
      <w:r w:rsidRPr="00C52B38">
        <w:t>209.</w:t>
      </w:r>
      <w:r w:rsidRPr="00C52B38">
        <w:tab/>
        <w:t>El 9 de diciembre de 2017 entró en vigor la Ley de Modificación de la Ley de Matrimonio (Definición y Libertades Religiosas) de 2017, que legaliza el matrimonio entre personas del mismo sexo. Dicha ley modificó la Ley de Matrimonio de 1961 para redefinir el matrimonio como “la unión de dos personas, con exclusión de cualesquiera otras, contraída voluntariamente para toda la vida”. Las modificaciones introducidas también permiten el reconocimiento de los matrimonios entre personas del mismo sexo que se hayan celebrado o se celebren en otro país con arreglo a su legislación, así como de los matrimonios entre personas del mismo sexo celebrados en Australia por un funcionario diplomático o consular conforme a la legislación de otro país antes de la entrada en vigor de las modificaciones.</w:t>
      </w:r>
    </w:p>
    <w:p w14:paraId="1CC011E3" w14:textId="77777777" w:rsidR="000C706A" w:rsidRPr="00C52B38" w:rsidRDefault="000C706A" w:rsidP="002370A4">
      <w:pPr>
        <w:pStyle w:val="SingleTxtG"/>
      </w:pPr>
      <w:r w:rsidRPr="00C52B38">
        <w:t>210.</w:t>
      </w:r>
      <w:r w:rsidRPr="00C52B38">
        <w:tab/>
        <w:t>La legislación relativa al registro de nacimientos, defunciones y matrimonios es competencia de cada estado y territorio. La mayoría de los estados y territorios australianos han modificado esa legislación con el fin de que las personas transgénero y con género diverso puedan solicitar la modificación de la anotación de sexo en la partida de nacimiento sin tener que someterse a una cirugía de reasignación de sexo.</w:t>
      </w:r>
    </w:p>
    <w:p w14:paraId="0F7AE911" w14:textId="28D51948" w:rsidR="000C706A" w:rsidRPr="00C52B38" w:rsidRDefault="000C706A" w:rsidP="00B71D0F">
      <w:pPr>
        <w:pStyle w:val="H4G"/>
        <w:rPr>
          <w:rFonts w:eastAsiaTheme="minorHAnsi"/>
        </w:rPr>
      </w:pPr>
      <w:r>
        <w:tab/>
      </w:r>
      <w:r w:rsidR="00B71D0F">
        <w:tab/>
      </w:r>
      <w:r w:rsidRPr="00C52B38">
        <w:t>Australianos de edad</w:t>
      </w:r>
    </w:p>
    <w:p w14:paraId="794BDC1B" w14:textId="77777777" w:rsidR="000C706A" w:rsidRPr="00C52B38" w:rsidRDefault="000C706A" w:rsidP="002370A4">
      <w:pPr>
        <w:pStyle w:val="SingleTxtG"/>
      </w:pPr>
      <w:r w:rsidRPr="00C52B38">
        <w:t>211.</w:t>
      </w:r>
      <w:r w:rsidRPr="00C52B38">
        <w:tab/>
        <w:t>El Gobierno de Australia está decidido a hacer frente a las actitudes negativas y a eliminar las barreras que impiden a los australianos de edad participar plenamente en la sociedad.</w:t>
      </w:r>
    </w:p>
    <w:p w14:paraId="6E47FB15" w14:textId="77777777" w:rsidR="000C706A" w:rsidRPr="00C52B38" w:rsidRDefault="000C706A" w:rsidP="002370A4">
      <w:pPr>
        <w:pStyle w:val="SingleTxtG"/>
      </w:pPr>
      <w:r w:rsidRPr="00C52B38">
        <w:t>212.</w:t>
      </w:r>
      <w:r w:rsidRPr="00C52B38">
        <w:tab/>
        <w:t>La mayoría de las jurisdicciones australianas cuentan con estrategias o políticas que favorecen un envejecimiento saludable y comunidades adaptadas a las personas de edad y promueven la participación socioeconómica de los australianos de edad.</w:t>
      </w:r>
    </w:p>
    <w:p w14:paraId="5A783775" w14:textId="77777777" w:rsidR="000C706A" w:rsidRPr="00C52B38" w:rsidRDefault="000C706A" w:rsidP="002370A4">
      <w:pPr>
        <w:pStyle w:val="SingleTxtG"/>
      </w:pPr>
      <w:r w:rsidRPr="00C52B38">
        <w:t>213.</w:t>
      </w:r>
      <w:r w:rsidRPr="00C52B38">
        <w:tab/>
        <w:t>El 19 de marzo de 2019 se publicó el primer Plan Nacional de Respuesta a los Abusos contra los Australianos de Edad (2019-2023). El Plan Nacional identifica esferas clave de política y actuación que, a largo plazo, deberían fomentar una mayor concienciación de la comunidad sobre las repercusiones del edadismo y la contribución de este a los abusos contra las personas de edad y empoderar a los australianos de edad para que vivan con autonomía. El Plan Nacional complementa las políticas federales, de los estados y de los territorios sobre envejecimiento y abusos contra las personas de edad, sin sustituirlas. La seguridad y el bienestar de los australianos de edad es de suma importancia para el Gobierno de Australia. Los abusos contra las personas de edad constituyen un problema complejo del que a menudo es responsable alguien en quien la persona de edad confía, como un familiar, un amigo, un profesional o un cuidador remunerado. En abril de 2023, el Gobierno de Australia acordó desarrollar un plan que sucediera al Plan Nacional de Respuesta a los Abusos contra los Australianos de Edad (2019-2023).</w:t>
      </w:r>
    </w:p>
    <w:p w14:paraId="50F473D2" w14:textId="77777777" w:rsidR="000C706A" w:rsidRPr="00C52B38" w:rsidRDefault="000C706A" w:rsidP="002370A4">
      <w:pPr>
        <w:pStyle w:val="SingleTxtG"/>
      </w:pPr>
      <w:r w:rsidRPr="00C52B38">
        <w:t>214.</w:t>
      </w:r>
      <w:r w:rsidRPr="00C52B38">
        <w:tab/>
        <w:t xml:space="preserve">En 2023, la Comisionada Encargada de la Lucha contra la Discriminación por Edad publicó el informe </w:t>
      </w:r>
      <w:proofErr w:type="spellStart"/>
      <w:r w:rsidRPr="00C52B38">
        <w:rPr>
          <w:i/>
          <w:iCs/>
        </w:rPr>
        <w:t>Changing</w:t>
      </w:r>
      <w:proofErr w:type="spellEnd"/>
      <w:r w:rsidRPr="00C52B38">
        <w:rPr>
          <w:i/>
          <w:iCs/>
        </w:rPr>
        <w:t xml:space="preserve"> </w:t>
      </w:r>
      <w:proofErr w:type="spellStart"/>
      <w:r w:rsidRPr="00C52B38">
        <w:rPr>
          <w:i/>
          <w:iCs/>
        </w:rPr>
        <w:t>perspectives</w:t>
      </w:r>
      <w:proofErr w:type="spellEnd"/>
      <w:r w:rsidRPr="00C52B38">
        <w:rPr>
          <w:i/>
          <w:iCs/>
        </w:rPr>
        <w:t xml:space="preserve">: </w:t>
      </w:r>
      <w:proofErr w:type="spellStart"/>
      <w:r w:rsidRPr="00C52B38">
        <w:rPr>
          <w:i/>
          <w:iCs/>
        </w:rPr>
        <w:t>testing</w:t>
      </w:r>
      <w:proofErr w:type="spellEnd"/>
      <w:r w:rsidRPr="00C52B38">
        <w:rPr>
          <w:i/>
          <w:iCs/>
        </w:rPr>
        <w:t xml:space="preserve"> </w:t>
      </w:r>
      <w:proofErr w:type="spellStart"/>
      <w:r w:rsidRPr="00C52B38">
        <w:rPr>
          <w:i/>
          <w:iCs/>
        </w:rPr>
        <w:t>an</w:t>
      </w:r>
      <w:proofErr w:type="spellEnd"/>
      <w:r w:rsidRPr="00C52B38">
        <w:rPr>
          <w:i/>
          <w:iCs/>
        </w:rPr>
        <w:t xml:space="preserve"> </w:t>
      </w:r>
      <w:proofErr w:type="spellStart"/>
      <w:r w:rsidRPr="00C52B38">
        <w:rPr>
          <w:i/>
          <w:iCs/>
        </w:rPr>
        <w:t>ageism</w:t>
      </w:r>
      <w:proofErr w:type="spellEnd"/>
      <w:r w:rsidRPr="00C52B38">
        <w:rPr>
          <w:i/>
          <w:iCs/>
        </w:rPr>
        <w:t xml:space="preserve"> </w:t>
      </w:r>
      <w:proofErr w:type="spellStart"/>
      <w:r w:rsidRPr="00C52B38">
        <w:rPr>
          <w:i/>
          <w:iCs/>
        </w:rPr>
        <w:t>intervention</w:t>
      </w:r>
      <w:proofErr w:type="spellEnd"/>
      <w:r w:rsidRPr="00C52B38">
        <w:t xml:space="preserve"> [“Cambiando de </w:t>
      </w:r>
      <w:r w:rsidRPr="00C52B38">
        <w:lastRenderedPageBreak/>
        <w:t>perspectivas: intervención experimental contra el edadismo”], que respalda las intervenciones breves y específicas para transformar las percepciones negativas del envejecimiento y reducir el edadismo entre el personal de los centros comunitarios y de atención a las personas de edad.</w:t>
      </w:r>
    </w:p>
    <w:p w14:paraId="4D0C23D8" w14:textId="0D1B9C06" w:rsidR="000C706A" w:rsidRPr="00C52B38" w:rsidRDefault="000C706A" w:rsidP="002370A4">
      <w:pPr>
        <w:pStyle w:val="SingleTxtG"/>
      </w:pPr>
      <w:r w:rsidRPr="00C52B38">
        <w:t>215.</w:t>
      </w:r>
      <w:r w:rsidRPr="00C52B38">
        <w:tab/>
        <w:t xml:space="preserve">En 2021, la Comisión de Derechos Humanos de Australia publicó su informe </w:t>
      </w:r>
      <w:proofErr w:type="spellStart"/>
      <w:r w:rsidRPr="00C52B38">
        <w:rPr>
          <w:i/>
          <w:iCs/>
        </w:rPr>
        <w:t>What</w:t>
      </w:r>
      <w:r w:rsidR="00F25A8E">
        <w:rPr>
          <w:i/>
          <w:iCs/>
        </w:rPr>
        <w:t>’</w:t>
      </w:r>
      <w:r w:rsidRPr="00C52B38">
        <w:rPr>
          <w:i/>
          <w:iCs/>
        </w:rPr>
        <w:t>s</w:t>
      </w:r>
      <w:proofErr w:type="spellEnd"/>
      <w:r w:rsidRPr="00C52B38">
        <w:rPr>
          <w:i/>
          <w:iCs/>
        </w:rPr>
        <w:t xml:space="preserve"> </w:t>
      </w:r>
      <w:proofErr w:type="spellStart"/>
      <w:r w:rsidRPr="00C52B38">
        <w:rPr>
          <w:i/>
          <w:iCs/>
        </w:rPr>
        <w:t>age</w:t>
      </w:r>
      <w:proofErr w:type="spellEnd"/>
      <w:r w:rsidRPr="00C52B38">
        <w:rPr>
          <w:i/>
          <w:iCs/>
        </w:rPr>
        <w:t xml:space="preserve"> </w:t>
      </w:r>
      <w:proofErr w:type="spellStart"/>
      <w:r w:rsidRPr="00C52B38">
        <w:rPr>
          <w:i/>
          <w:iCs/>
        </w:rPr>
        <w:t>got</w:t>
      </w:r>
      <w:proofErr w:type="spellEnd"/>
      <w:r w:rsidRPr="00C52B38">
        <w:rPr>
          <w:i/>
          <w:iCs/>
        </w:rPr>
        <w:t xml:space="preserve"> </w:t>
      </w:r>
      <w:proofErr w:type="spellStart"/>
      <w:r w:rsidRPr="00C52B38">
        <w:rPr>
          <w:i/>
          <w:iCs/>
        </w:rPr>
        <w:t>to</w:t>
      </w:r>
      <w:proofErr w:type="spellEnd"/>
      <w:r w:rsidRPr="00C52B38">
        <w:rPr>
          <w:i/>
          <w:iCs/>
        </w:rPr>
        <w:t xml:space="preserve"> do </w:t>
      </w:r>
      <w:proofErr w:type="spellStart"/>
      <w:r w:rsidRPr="00C52B38">
        <w:rPr>
          <w:i/>
          <w:iCs/>
        </w:rPr>
        <w:t>with</w:t>
      </w:r>
      <w:proofErr w:type="spellEnd"/>
      <w:r w:rsidRPr="00C52B38">
        <w:rPr>
          <w:i/>
          <w:iCs/>
        </w:rPr>
        <w:t xml:space="preserve"> </w:t>
      </w:r>
      <w:proofErr w:type="spellStart"/>
      <w:r w:rsidRPr="00C52B38">
        <w:rPr>
          <w:i/>
          <w:iCs/>
        </w:rPr>
        <w:t>it</w:t>
      </w:r>
      <w:proofErr w:type="spellEnd"/>
      <w:r w:rsidRPr="00C52B38">
        <w:rPr>
          <w:i/>
          <w:iCs/>
        </w:rPr>
        <w:t>?</w:t>
      </w:r>
      <w:r w:rsidRPr="00C52B38">
        <w:t xml:space="preserve"> [“¿Qué tiene que ver la edad?”], sobre la discriminación por motivos de edad en la historia australiana. En abril de 2023 se publicó el informe complementario </w:t>
      </w:r>
      <w:proofErr w:type="spellStart"/>
      <w:r w:rsidRPr="00C52B38">
        <w:rPr>
          <w:i/>
          <w:iCs/>
        </w:rPr>
        <w:t>Talking</w:t>
      </w:r>
      <w:proofErr w:type="spellEnd"/>
      <w:r w:rsidRPr="00C52B38">
        <w:rPr>
          <w:i/>
          <w:iCs/>
        </w:rPr>
        <w:t xml:space="preserve"> </w:t>
      </w:r>
      <w:proofErr w:type="spellStart"/>
      <w:r w:rsidRPr="00C52B38">
        <w:rPr>
          <w:i/>
          <w:iCs/>
        </w:rPr>
        <w:t>about</w:t>
      </w:r>
      <w:proofErr w:type="spellEnd"/>
      <w:r w:rsidRPr="00C52B38">
        <w:rPr>
          <w:i/>
          <w:iCs/>
        </w:rPr>
        <w:t xml:space="preserve"> </w:t>
      </w:r>
      <w:proofErr w:type="spellStart"/>
      <w:r w:rsidRPr="00C52B38">
        <w:rPr>
          <w:i/>
          <w:iCs/>
        </w:rPr>
        <w:t>my</w:t>
      </w:r>
      <w:proofErr w:type="spellEnd"/>
      <w:r w:rsidRPr="00C52B38">
        <w:rPr>
          <w:i/>
          <w:iCs/>
        </w:rPr>
        <w:t xml:space="preserve"> </w:t>
      </w:r>
      <w:proofErr w:type="spellStart"/>
      <w:r w:rsidRPr="00C52B38">
        <w:rPr>
          <w:i/>
          <w:iCs/>
        </w:rPr>
        <w:t>generation</w:t>
      </w:r>
      <w:proofErr w:type="spellEnd"/>
      <w:r w:rsidRPr="00C52B38">
        <w:t xml:space="preserve"> [“Hablando de mi generación”], que ofrece información sobre cómo percibe la juventud australiana su edad y su identidad generacional.</w:t>
      </w:r>
    </w:p>
    <w:p w14:paraId="65C7E62A" w14:textId="1CBB9554" w:rsidR="000C706A" w:rsidRPr="00C52B38" w:rsidRDefault="000C706A" w:rsidP="00B71D0F">
      <w:pPr>
        <w:pStyle w:val="H4G"/>
        <w:rPr>
          <w:rFonts w:eastAsiaTheme="minorHAnsi"/>
        </w:rPr>
      </w:pPr>
      <w:r>
        <w:tab/>
      </w:r>
      <w:r w:rsidR="00B71D0F">
        <w:tab/>
      </w:r>
      <w:r w:rsidRPr="00C52B38">
        <w:t>Personas con discapacidad</w:t>
      </w:r>
    </w:p>
    <w:p w14:paraId="40D5CB26" w14:textId="77777777" w:rsidR="000C706A" w:rsidRPr="00C52B38" w:rsidRDefault="000C706A" w:rsidP="002370A4">
      <w:pPr>
        <w:pStyle w:val="SingleTxtG"/>
      </w:pPr>
      <w:r w:rsidRPr="00C52B38">
        <w:t>216.</w:t>
      </w:r>
      <w:r w:rsidRPr="00C52B38">
        <w:tab/>
        <w:t>La Estrategia Nacional sobre la Discapacidad (2021-2031) se basa en una visión de una sociedad australiana más inclusiva y accesible, en la que todas las personas con discapacidad puedan desarrollar su potencial como miembros de la comunidad en igualdad de condiciones</w:t>
      </w:r>
      <w:r w:rsidRPr="00C52B38">
        <w:rPr>
          <w:rStyle w:val="Refdenotaalpie"/>
        </w:rPr>
        <w:footnoteReference w:id="125"/>
      </w:r>
      <w:r w:rsidRPr="00C52B38">
        <w:t>. Tiene por objeto:</w:t>
      </w:r>
    </w:p>
    <w:p w14:paraId="64DF4E3D" w14:textId="2BAB8DBE" w:rsidR="000C706A" w:rsidRPr="00C52B38" w:rsidRDefault="000C706A" w:rsidP="00B71D0F">
      <w:pPr>
        <w:pStyle w:val="Bullet1G"/>
      </w:pPr>
      <w:r w:rsidRPr="00C52B38">
        <w:t>Dirigir a escala nacional la labor para lograr una mayor inclusión de las personas con discapacidad</w:t>
      </w:r>
      <w:r w:rsidR="00B71D0F">
        <w:t>.</w:t>
      </w:r>
    </w:p>
    <w:p w14:paraId="65C96767" w14:textId="3C9AEC51" w:rsidR="000C706A" w:rsidRPr="00C52B38" w:rsidRDefault="000C706A" w:rsidP="00B71D0F">
      <w:pPr>
        <w:pStyle w:val="Bullet1G"/>
      </w:pPr>
      <w:r w:rsidRPr="00C52B38">
        <w:t>Orientar la actividad en todas las esferas de las políticas públicas para que sean inclusivas y respondan a las necesidades de las personas con discapacidad</w:t>
      </w:r>
      <w:r w:rsidR="00B71D0F">
        <w:t>.</w:t>
      </w:r>
    </w:p>
    <w:p w14:paraId="7A90D42C" w14:textId="2F0060C3" w:rsidR="000C706A" w:rsidRPr="00C52B38" w:rsidRDefault="000C706A" w:rsidP="00B71D0F">
      <w:pPr>
        <w:pStyle w:val="Bullet1G"/>
      </w:pPr>
      <w:r w:rsidRPr="00C52B38">
        <w:t>Impulsar los servicios y sistemas convencionales con el fin de mejorar los beneficios para las personas con discapacidad</w:t>
      </w:r>
      <w:r w:rsidR="00B71D0F">
        <w:t>.</w:t>
      </w:r>
    </w:p>
    <w:p w14:paraId="2128A28F" w14:textId="13F847AE" w:rsidR="000C706A" w:rsidRPr="00C52B38" w:rsidRDefault="000C706A" w:rsidP="00B71D0F">
      <w:pPr>
        <w:pStyle w:val="Bullet1G"/>
      </w:pPr>
      <w:r w:rsidRPr="00C52B38">
        <w:t>Implicar, informar y comprometer a toda la comunidad en la consecución de una sociedad más inclusiva.</w:t>
      </w:r>
    </w:p>
    <w:p w14:paraId="2EF1041E" w14:textId="029DB90C" w:rsidR="000C706A" w:rsidRPr="00C52B38" w:rsidRDefault="000C706A" w:rsidP="002370A4">
      <w:pPr>
        <w:pStyle w:val="SingleTxtG"/>
      </w:pPr>
      <w:r w:rsidRPr="00C52B38">
        <w:t>217.</w:t>
      </w:r>
      <w:r w:rsidRPr="00C52B38">
        <w:tab/>
        <w:t>Mediante la aprobación de la Estrategia Nacional sobre la Discapacidad (2021-2031) y el Acuerdo Nacional para Cerrar la Brecha, el Gobierno de Australia se ha comprometido a garantizar que las políticas, los programas y los servicios sean diseñados teniendo en cuenta las experiencias vividas, las necesidades únicas y las fortalezas y capacidades inherentes de las personas con discapacidad en las Primeras Naciones, sus familias y las comunidades en general. Ambos marcos brindan oportunidades para dar prioridad a las personas con discapacidad en las Primeras Naciones mediante la incorporación de la discapacidad como prioridad transversal en la Estrategia Cerrar la Brecha, o la focalización en la interseccionalidad y la diversidad en la Estrategia Nacional sobre la Discapacidad (2021</w:t>
      </w:r>
      <w:r w:rsidR="00B71D0F">
        <w:noBreakHyphen/>
      </w:r>
      <w:r w:rsidRPr="00C52B38">
        <w:t>2031).</w:t>
      </w:r>
    </w:p>
    <w:p w14:paraId="6F37C744" w14:textId="77777777" w:rsidR="000C706A" w:rsidRPr="00C52B38" w:rsidRDefault="000C706A" w:rsidP="002370A4">
      <w:pPr>
        <w:pStyle w:val="SingleTxtG"/>
      </w:pPr>
      <w:r w:rsidRPr="00C52B38">
        <w:t>218.</w:t>
      </w:r>
      <w:r w:rsidRPr="00C52B38">
        <w:tab/>
        <w:t>En julio de 2013 se creó el Plan Nacional de Seguro de Discapacidad con el fin de proporcionar un enfoque único a escala nacional para financiar los servicios de apoyo a las personas con discapacidad, sus familias y sus cuidadores. Proporciona a todos los australianos menores de 65 años con una discapacidad permanente y grave que reúnan los requisitos pertinentes los apoyos razonables y necesarios que precisen. El Plan Nacional de Seguro de Discapacidad está diseñado para prestar los apoyos razonables y necesarios a los beneficiarios con el fin de que puedan alcanzar sus propios objetivos y llevar una vida más independiente y plena, en la que puedan tener una mayor participación socioeconómica. El Plan Nacional de Seguro de Discapacidad está vigente en todo el país desde julio de 2020.</w:t>
      </w:r>
    </w:p>
    <w:p w14:paraId="49E469C6" w14:textId="77777777" w:rsidR="000C706A" w:rsidRPr="00C52B38" w:rsidRDefault="000C706A" w:rsidP="002370A4">
      <w:pPr>
        <w:pStyle w:val="SingleTxtG"/>
      </w:pPr>
      <w:r w:rsidRPr="00C52B38">
        <w:t>219.</w:t>
      </w:r>
      <w:r w:rsidRPr="00C52B38">
        <w:tab/>
        <w:t>El Marco de Calidad y Protección del Plan Nacional de Seguro de Discapacidad constituye un enfoque armonizado a escala nacional de la calidad y la protección de los apoyos y servicios prestados a las personas con discapacidad, e impone a los proveedores de servicios la obligación de mejorar los métodos para prevenir, detectar y combatir la violencia, los malos tratos y el descuido contra las personas con discapacidad. La Comisión de Calidad y Protección del Plan Nacional de Seguro de Discapacidad es responsable de supervisar la calidad y la protección durante la aplicación íntegra del Marco.</w:t>
      </w:r>
    </w:p>
    <w:p w14:paraId="5ABAA453" w14:textId="77777777" w:rsidR="000C706A" w:rsidRPr="00C52B38" w:rsidRDefault="000C706A" w:rsidP="002370A4">
      <w:pPr>
        <w:pStyle w:val="SingleTxtG"/>
      </w:pPr>
      <w:r w:rsidRPr="00C52B38">
        <w:lastRenderedPageBreak/>
        <w:t>220.</w:t>
      </w:r>
      <w:r w:rsidRPr="00C52B38">
        <w:tab/>
        <w:t xml:space="preserve">En 2019, un grupo de trabajo interjurisdiccional del Gobierno federal y de los Gobierno de los estados formuló la Declaración Nacional de Principios sobre las Personas Incapaces de Defenderse o Declaradas No Culpables por Deficiencia Cognitiva o Motivos de Salud Mental. El objetivo de los Principios es identificar medidas de protección a lo largo del proceso judicial y cuando la persona es objeto de una orden dictada por los tribunales. Se trata de principios basados en las mejores prácticas cuyo fin es velar por que el tratamiento se adapte a las necesidades de la persona en cuestión, sea inclusivo y esté orientado a la recuperación, y </w:t>
      </w:r>
      <w:proofErr w:type="spellStart"/>
      <w:r w:rsidRPr="00C52B38">
        <w:t>por que</w:t>
      </w:r>
      <w:proofErr w:type="spellEnd"/>
      <w:r w:rsidRPr="00C52B38">
        <w:t xml:space="preserve"> los organismos y los proveedores de servicios colaboren para ofrecer una atención coordinada.</w:t>
      </w:r>
    </w:p>
    <w:p w14:paraId="453EE45C" w14:textId="77777777" w:rsidR="000C706A" w:rsidRPr="00C52B38" w:rsidRDefault="000C706A" w:rsidP="002370A4">
      <w:pPr>
        <w:pStyle w:val="SingleTxtG"/>
      </w:pPr>
      <w:r w:rsidRPr="00C52B38">
        <w:t>221.</w:t>
      </w:r>
      <w:r w:rsidRPr="00C52B38">
        <w:tab/>
        <w:t>Los tribunales federales cuentan con una serie de medidas para mejorar el acceso de las personas con discapacidad a los servicios, entre ellas la adaptación a sus necesidades prácticas, el suministro de información y recursos accesibles en línea para las personas con discapacidad y sus cuidadores, la provisión de información a los miembros de los jurados sobre los servicios pertinentes que pueden utilizarse durante los procedimientos, y la impartición de formación a los funcionarios judiciales y el personal de los tribunales federales.</w:t>
      </w:r>
    </w:p>
    <w:p w14:paraId="18CB7FF5" w14:textId="11D7FE2C" w:rsidR="000C706A" w:rsidRPr="00C52B38" w:rsidRDefault="000C706A" w:rsidP="002370A4">
      <w:pPr>
        <w:pStyle w:val="SingleTxtG"/>
      </w:pPr>
      <w:r w:rsidRPr="00C52B38">
        <w:t>222.</w:t>
      </w:r>
      <w:r w:rsidRPr="00C52B38">
        <w:tab/>
        <w:t>En consonancia con la Estrategia de Empleo de las Personas con Discapacidad (2020</w:t>
      </w:r>
      <w:r w:rsidR="00085CAD">
        <w:noBreakHyphen/>
      </w:r>
      <w:r w:rsidRPr="00C52B38">
        <w:t xml:space="preserve">2015), </w:t>
      </w:r>
      <w:r w:rsidRPr="00C52B38">
        <w:rPr>
          <w:i/>
          <w:iCs/>
        </w:rPr>
        <w:t xml:space="preserve">As </w:t>
      </w:r>
      <w:proofErr w:type="spellStart"/>
      <w:r w:rsidRPr="00C52B38">
        <w:rPr>
          <w:i/>
          <w:iCs/>
        </w:rPr>
        <w:t>One</w:t>
      </w:r>
      <w:proofErr w:type="spellEnd"/>
      <w:r w:rsidRPr="00C52B38">
        <w:rPr>
          <w:i/>
          <w:iCs/>
        </w:rPr>
        <w:t xml:space="preserve">: </w:t>
      </w:r>
      <w:proofErr w:type="spellStart"/>
      <w:r w:rsidRPr="00C52B38">
        <w:rPr>
          <w:i/>
          <w:iCs/>
        </w:rPr>
        <w:t>Making</w:t>
      </w:r>
      <w:proofErr w:type="spellEnd"/>
      <w:r w:rsidRPr="00C52B38">
        <w:rPr>
          <w:i/>
          <w:iCs/>
        </w:rPr>
        <w:t xml:space="preserve"> </w:t>
      </w:r>
      <w:proofErr w:type="spellStart"/>
      <w:r w:rsidRPr="00C52B38">
        <w:rPr>
          <w:i/>
          <w:iCs/>
        </w:rPr>
        <w:t>it</w:t>
      </w:r>
      <w:proofErr w:type="spellEnd"/>
      <w:r w:rsidRPr="00C52B38">
        <w:rPr>
          <w:i/>
          <w:iCs/>
        </w:rPr>
        <w:t xml:space="preserve"> </w:t>
      </w:r>
      <w:proofErr w:type="spellStart"/>
      <w:r w:rsidRPr="00C52B38">
        <w:rPr>
          <w:i/>
          <w:iCs/>
        </w:rPr>
        <w:t>Happen</w:t>
      </w:r>
      <w:proofErr w:type="spellEnd"/>
      <w:r w:rsidRPr="00C52B38">
        <w:t xml:space="preserve"> [“Al unísono: Hagámoslo realidad”], de la Comisión de la Administración Pública Australiana, los tribunales federales también apoyan el empleo de las personas con discapacidad en el sistema judicial mejorando la capacidad de este para responder mejor a las necesidades de la comunidad.</w:t>
      </w:r>
    </w:p>
    <w:p w14:paraId="51F88802" w14:textId="263EAB9D" w:rsidR="000C706A" w:rsidRPr="00C52B38" w:rsidRDefault="000C706A" w:rsidP="00085CAD">
      <w:pPr>
        <w:pStyle w:val="H4G"/>
      </w:pPr>
      <w:r>
        <w:tab/>
      </w:r>
      <w:r w:rsidR="00085CAD">
        <w:tab/>
      </w:r>
      <w:r w:rsidRPr="00C52B38">
        <w:t>Mujeres</w:t>
      </w:r>
    </w:p>
    <w:p w14:paraId="4686A2CC" w14:textId="77777777" w:rsidR="000C706A" w:rsidRPr="00C52B38" w:rsidRDefault="000C706A" w:rsidP="002370A4">
      <w:pPr>
        <w:pStyle w:val="SingleTxtG"/>
      </w:pPr>
      <w:r w:rsidRPr="00C52B38">
        <w:t>223.</w:t>
      </w:r>
      <w:r w:rsidRPr="00C52B38">
        <w:tab/>
        <w:t>El Gobierno de Australia da prioridad al fomento de la igualdad de género, la consecución de la igualdad económica entre mujeres y hombres, el fin de la violencia contra las mujeres, el aumento de la representación de las mujeres en puestos de dirección y toma de decisiones, y la mejora de la salud y el bienestar de las mujeres. Las principales medidas se aplican en el marco de:</w:t>
      </w:r>
    </w:p>
    <w:p w14:paraId="36203F6E" w14:textId="5AE99B27" w:rsidR="000C706A" w:rsidRPr="00C52B38" w:rsidRDefault="000C706A" w:rsidP="00085CAD">
      <w:pPr>
        <w:pStyle w:val="Bullet1G"/>
      </w:pPr>
      <w:r w:rsidRPr="00C52B38">
        <w:t xml:space="preserve">La </w:t>
      </w:r>
      <w:r w:rsidRPr="00706A74">
        <w:t>Declaración sobre el Presupuesto para las Mujeres</w:t>
      </w:r>
      <w:r w:rsidRPr="00C52B38">
        <w:t>, un documento presupuestario en el que se detallan las medidas presupuestarias para promover la igualdad de género. Australia está comprometida con una presupuestación que responde a las cuestiones de género, que implica incorporar la perspectiva de igualdad de género en el diseño de las propuestas de políticas y refuerza los logros en materia de igualdad de género a través de la asignación de recursos públicos</w:t>
      </w:r>
      <w:r w:rsidR="00085CAD">
        <w:t>.</w:t>
      </w:r>
    </w:p>
    <w:p w14:paraId="0E2E3834" w14:textId="110FF380" w:rsidR="000C706A" w:rsidRPr="00C52B38" w:rsidRDefault="000C706A" w:rsidP="00085CAD">
      <w:pPr>
        <w:pStyle w:val="Bullet1G"/>
      </w:pPr>
      <w:r w:rsidRPr="00C52B38">
        <w:t>El Plan Nacional para Acabar con la Violencia contra las Mujeres y los Niños (2022</w:t>
      </w:r>
      <w:r w:rsidR="00085CAD">
        <w:noBreakHyphen/>
      </w:r>
      <w:r w:rsidRPr="00C52B38">
        <w:t>2032), publicado el 17 de octubre de 2022, que es el marco político general que guiará a escala nacional las acciones encaminadas a poner fin a la violencia contra las mujeres y los niños. En el Plan se hace hincapié en que todos los actores de la sociedad, incluidos los Gobiernos, las empresas y los lugares de trabajo, los medios de comunicación, las escuelas y los centros educativos, la familia, el sector dedicado a combatir la violencia doméstica y sexual, las comunidades y todas las personas, deben trabajar juntos para lograr la visión compartida de poner fin a la violencia de género en una generación. Además, el Gobierno de Australia se ha comprometido a poner en marcha el primer Plan Nacional de las Primeras Naciones para Acabar con la Violencia contra las Mujeres y los Niños</w:t>
      </w:r>
      <w:r w:rsidR="00085CAD">
        <w:t>.</w:t>
      </w:r>
    </w:p>
    <w:p w14:paraId="1E2EE32E" w14:textId="2AA6AA28" w:rsidR="000C706A" w:rsidRPr="00C52B38" w:rsidRDefault="000C706A" w:rsidP="00085CAD">
      <w:pPr>
        <w:pStyle w:val="Bullet1G"/>
      </w:pPr>
      <w:r w:rsidRPr="00C52B38">
        <w:t>La Estrategia Nacional de Salud de la Mujer (2020-2030), que establece el enfoque de Australia para mejorar la salud de las mujeres y las niñas a escala nacional, en particular de las que corren mayor riesgo de tener un peor estado de salud, y para reducir las desigualdades entre los distintos grupos de mujeres y niñas</w:t>
      </w:r>
      <w:r w:rsidR="00085CAD">
        <w:t>.</w:t>
      </w:r>
    </w:p>
    <w:p w14:paraId="07CE2FB6" w14:textId="377232F9" w:rsidR="000C706A" w:rsidRPr="00C52B38" w:rsidRDefault="000C706A" w:rsidP="00085CAD">
      <w:pPr>
        <w:pStyle w:val="Bullet1G"/>
      </w:pPr>
      <w:r w:rsidRPr="00C52B38">
        <w:t xml:space="preserve">El Plan de Acción Nacional de Lucha contra las Formas Contemporáneas de Esclavitud (2020-2025), que pone en marcha iniciativas y prácticas para prevenir la trata de personas, la esclavitud y las prácticas análogas a la esclavitud (incluido el matrimonio forzado), y ofrece protección y apoyo a las personas afectadas. Uno de los nueve principios en los que se basa el Plan de Acción Nacional es abordar las necesidades específicas de las mujeres y los niños, que se ven desproporcionadamente afectados por la esclavitud contemporánea. En términos más generales, la respuesta </w:t>
      </w:r>
      <w:r w:rsidRPr="00C52B38">
        <w:lastRenderedPageBreak/>
        <w:t>de Australia a la esclavitud contemporánea también incluye la tipificación integral en la Ley del Código Penal de 1995 (Commonwealth de Australia) de los delitos de trata de personas, esclavitud y prácticas análogas a la esclavitud, con penas de hasta 25</w:t>
      </w:r>
      <w:r w:rsidR="00706A74">
        <w:t> </w:t>
      </w:r>
      <w:r w:rsidRPr="00C52B38">
        <w:t>años de prisión, así como equipos de investigación especializados de la Policía Federal Australiana, un programa de apoyo específico para las víctimas y el marco de transparencia en las cadenas de suministro de Australia en virtud de la  Ley de Lucha contra la Esclavitud Contemporánea de 2018 (Commonwealth de Australia).</w:t>
      </w:r>
    </w:p>
    <w:p w14:paraId="0C08FDFC" w14:textId="59327033" w:rsidR="000C706A" w:rsidRPr="00C52B38" w:rsidRDefault="000C706A" w:rsidP="002370A4">
      <w:pPr>
        <w:pStyle w:val="SingleTxtG"/>
      </w:pPr>
      <w:bookmarkStart w:id="48" w:name="_Ref64892699"/>
      <w:r w:rsidRPr="00C52B38">
        <w:t>224.</w:t>
      </w:r>
      <w:r w:rsidRPr="00C52B38">
        <w:tab/>
        <w:t>Entre las medidas para promover la no discriminación de las mujeres y la igualdad entre hombres y mujeres en cuestiones jurídicas y penales se incluyen las siguientes:</w:t>
      </w:r>
      <w:bookmarkEnd w:id="48"/>
    </w:p>
    <w:p w14:paraId="50046E1C" w14:textId="5823156C" w:rsidR="000C706A" w:rsidRPr="00C52B38" w:rsidRDefault="000C706A" w:rsidP="00085CAD">
      <w:pPr>
        <w:pStyle w:val="Bullet1G"/>
      </w:pPr>
      <w:r w:rsidRPr="00C52B38">
        <w:t>La introducción de modificaciones en la Ley de Derecho de Familia de 1975 con el fin de mejorar la capacidad de los tribunales para proteger a las víctimas de la violencia en la familia, prohibir en determinadas circunstancias el interrogatorio en los procedimientos de derecho de familia que entrañe acusaciones de violencia familiar y agilizar los procedimientos judiciales.</w:t>
      </w:r>
    </w:p>
    <w:p w14:paraId="5500FF8A" w14:textId="7581590B" w:rsidR="000C706A" w:rsidRPr="00C52B38" w:rsidRDefault="000C706A" w:rsidP="00085CAD">
      <w:pPr>
        <w:pStyle w:val="Bullet1G"/>
      </w:pPr>
      <w:r w:rsidRPr="00C52B38">
        <w:t>La mejora del intercambio de información sobre riesgos de violencia familiar y de malos tratos y descuido infantil entre los tribunales de familia y los sistemas de protección de la infancia y de justicia penal mediante la asignación conjunta a los tribunales federales de familia de funcionarios policiales y especializados en protección de la infancia procedentes de los estados y territorios, y la aplicación del Marco Estratégico Nacional para el Intercambio de Información entre los Sistemas de Derecho de Familia y de Violencia Familiar y los Sistemas de Protección de la Infancia</w:t>
      </w:r>
      <w:r w:rsidR="00085CAD">
        <w:t>.</w:t>
      </w:r>
    </w:p>
    <w:p w14:paraId="22582308" w14:textId="40AB4F2D" w:rsidR="000C706A" w:rsidRPr="00C52B38" w:rsidRDefault="000C706A" w:rsidP="00085CAD">
      <w:pPr>
        <w:pStyle w:val="Bullet1G"/>
      </w:pPr>
      <w:r w:rsidRPr="00C52B38">
        <w:t>La facilitación del acceso a la asistencia jurídica en el marco de la Alianza Nacional de Asistencia Jurídica (2020-2025), en especial a las personas que son víctimas de violencia familiar o corren el riesgo de serlo, y a través de un programa nacional de asistencia jurídica especializada en violencia familiar</w:t>
      </w:r>
      <w:r w:rsidR="00085CAD">
        <w:t>.</w:t>
      </w:r>
    </w:p>
    <w:p w14:paraId="2A44B1D7" w14:textId="1BA4ADBF" w:rsidR="000C706A" w:rsidRPr="00C52B38" w:rsidRDefault="000C706A" w:rsidP="00085CAD">
      <w:pPr>
        <w:pStyle w:val="Bullet1G"/>
      </w:pPr>
      <w:r w:rsidRPr="00C52B38">
        <w:t xml:space="preserve">El mantenimiento del </w:t>
      </w:r>
      <w:proofErr w:type="spellStart"/>
      <w:r w:rsidRPr="00C52B38">
        <w:rPr>
          <w:i/>
          <w:iCs/>
        </w:rPr>
        <w:t>National</w:t>
      </w:r>
      <w:proofErr w:type="spellEnd"/>
      <w:r w:rsidRPr="00C52B38">
        <w:rPr>
          <w:i/>
          <w:iCs/>
        </w:rPr>
        <w:t xml:space="preserve"> </w:t>
      </w:r>
      <w:proofErr w:type="spellStart"/>
      <w:r w:rsidRPr="00C52B38">
        <w:rPr>
          <w:i/>
          <w:iCs/>
        </w:rPr>
        <w:t>Domestic</w:t>
      </w:r>
      <w:proofErr w:type="spellEnd"/>
      <w:r w:rsidRPr="00C52B38">
        <w:rPr>
          <w:i/>
          <w:iCs/>
        </w:rPr>
        <w:t xml:space="preserve"> and </w:t>
      </w:r>
      <w:proofErr w:type="spellStart"/>
      <w:r w:rsidRPr="00C52B38">
        <w:rPr>
          <w:i/>
          <w:iCs/>
        </w:rPr>
        <w:t>Family</w:t>
      </w:r>
      <w:proofErr w:type="spellEnd"/>
      <w:r w:rsidRPr="00C52B38">
        <w:rPr>
          <w:i/>
          <w:iCs/>
        </w:rPr>
        <w:t xml:space="preserve"> </w:t>
      </w:r>
      <w:proofErr w:type="spellStart"/>
      <w:r w:rsidRPr="00C52B38">
        <w:rPr>
          <w:i/>
          <w:iCs/>
        </w:rPr>
        <w:t>Violence</w:t>
      </w:r>
      <w:proofErr w:type="spellEnd"/>
      <w:r w:rsidRPr="00C52B38">
        <w:rPr>
          <w:i/>
          <w:iCs/>
        </w:rPr>
        <w:t xml:space="preserve"> </w:t>
      </w:r>
      <w:proofErr w:type="spellStart"/>
      <w:r w:rsidRPr="00C52B38">
        <w:rPr>
          <w:i/>
          <w:iCs/>
        </w:rPr>
        <w:t>Bench</w:t>
      </w:r>
      <w:proofErr w:type="spellEnd"/>
      <w:r w:rsidRPr="00C52B38">
        <w:rPr>
          <w:i/>
          <w:iCs/>
        </w:rPr>
        <w:t xml:space="preserve"> Book</w:t>
      </w:r>
      <w:r w:rsidRPr="00C52B38">
        <w:t xml:space="preserve"> [“Guía judicial nacional sobre violencia doméstica y familiar”], que constituye un recurso fundamental para los funcionarios judiciales que examinan cuestiones jurídicas relacionadas con casos de violencia doméstica y familiar, para contribuir a la armonización de la resolución de esos casos en todas las jurisdicciones y ayudar en la toma de decisiones, así como la financiación de la capacitación de todos los funcionarios judiciales a escala federal, de los estados y los territorios, a fin de reforzar su competencia en materia de violencia familiar. </w:t>
      </w:r>
    </w:p>
    <w:p w14:paraId="286746F8" w14:textId="77777777" w:rsidR="000C706A" w:rsidRPr="00C52B38" w:rsidRDefault="000C706A" w:rsidP="002370A4">
      <w:pPr>
        <w:pStyle w:val="SingleTxtG"/>
      </w:pPr>
      <w:r w:rsidRPr="00C52B38">
        <w:t>225.</w:t>
      </w:r>
      <w:r w:rsidRPr="00C52B38">
        <w:tab/>
        <w:t>El Organismo para la Igualdad de Género en el Lugar de Trabajo es un organismo del Gobierno de Australia que promueve la igualdad de género en los lugares de trabajo del país. Entre sus funciones principales se incluyen la prestación de asesoramiento, la facilitación de herramientas prácticas y la impartición de formación a las empresas, así como el seguimiento de la situación en materia de igualdad de género y la elaboración de informes al respecto. Las grandes empresas están obligadas a informar al Organismo para la Igualdad de Género en el Lugar de Trabajo sobre los indicadores de igualdad de género, incluida la composición por género de la plantilla, la brecha salarial de género (diferencia entre los ingresos medios por trabajo a tiempo completo de mujeres y hombres), el acoso sexual y la discriminación por razón de sexo.</w:t>
      </w:r>
    </w:p>
    <w:p w14:paraId="1D1A64F9" w14:textId="77777777" w:rsidR="000C706A" w:rsidRPr="00C52B38" w:rsidRDefault="000C706A" w:rsidP="002370A4">
      <w:pPr>
        <w:pStyle w:val="SingleTxtG"/>
      </w:pPr>
      <w:r w:rsidRPr="00C52B38">
        <w:t>226.</w:t>
      </w:r>
      <w:r w:rsidRPr="00C52B38">
        <w:tab/>
        <w:t xml:space="preserve">En 2022 se puso en marcha la cuarta fase de la campaña “Stop </w:t>
      </w:r>
      <w:proofErr w:type="spellStart"/>
      <w:r w:rsidRPr="00C52B38">
        <w:t>it</w:t>
      </w:r>
      <w:proofErr w:type="spellEnd"/>
      <w:r w:rsidRPr="00C52B38">
        <w:t xml:space="preserve"> at </w:t>
      </w:r>
      <w:proofErr w:type="spellStart"/>
      <w:r w:rsidRPr="00C52B38">
        <w:t>the</w:t>
      </w:r>
      <w:proofErr w:type="spellEnd"/>
      <w:r w:rsidRPr="00C52B38">
        <w:t xml:space="preserve"> </w:t>
      </w:r>
      <w:proofErr w:type="spellStart"/>
      <w:r w:rsidRPr="00C52B38">
        <w:t>Start</w:t>
      </w:r>
      <w:proofErr w:type="spellEnd"/>
      <w:r w:rsidRPr="00C52B38">
        <w:t>” [“Intervenga desde el principio”], una iniciativa de prevención primaria a escala nacional para reducir la violencia contra las mujeres</w:t>
      </w:r>
      <w:r w:rsidRPr="00C52B38">
        <w:rPr>
          <w:rStyle w:val="Refdenotaalpie"/>
        </w:rPr>
        <w:footnoteReference w:id="126"/>
      </w:r>
      <w:r w:rsidRPr="00C52B38">
        <w:t xml:space="preserve">. La campaña recurre a una amplia gama de medios de comunicación, con el apoyo de herramientas y recursos en línea, para promover la importancia de conversar con los jóvenes sobre las actitudes irrespetuosas y la desigualdad de género a fin de romper el ciclo de la violencia contra las mujeres. </w:t>
      </w:r>
    </w:p>
    <w:p w14:paraId="18A065DF" w14:textId="77777777" w:rsidR="000C706A" w:rsidRPr="00C52B38" w:rsidRDefault="000C706A" w:rsidP="002370A4">
      <w:pPr>
        <w:pStyle w:val="SingleTxtG"/>
      </w:pPr>
      <w:r w:rsidRPr="00C52B38">
        <w:t>227.</w:t>
      </w:r>
      <w:r w:rsidRPr="00C52B38">
        <w:tab/>
        <w:t xml:space="preserve">La anterior Comisionada para la Lucha contra la Discriminación Sexual dirigió una investigación sobre la cultura de los lugares de trabajo parlamentarios australianos y formuló recomendaciones en el informe </w:t>
      </w:r>
      <w:r w:rsidRPr="00C52B38">
        <w:rPr>
          <w:i/>
          <w:iCs/>
        </w:rPr>
        <w:t xml:space="preserve">Set </w:t>
      </w:r>
      <w:proofErr w:type="spellStart"/>
      <w:r w:rsidRPr="00C52B38">
        <w:rPr>
          <w:i/>
          <w:iCs/>
        </w:rPr>
        <w:t>the</w:t>
      </w:r>
      <w:proofErr w:type="spellEnd"/>
      <w:r w:rsidRPr="00C52B38">
        <w:rPr>
          <w:i/>
          <w:iCs/>
        </w:rPr>
        <w:t xml:space="preserve"> Standard</w:t>
      </w:r>
      <w:r w:rsidRPr="00C52B38">
        <w:t xml:space="preserve"> [“Establecer la norma”] de 2021 orientadas </w:t>
      </w:r>
      <w:r w:rsidRPr="00C52B38">
        <w:lastRenderedPageBreak/>
        <w:t xml:space="preserve">a hacer que esos lugares de trabajo fueran seguros y respetuosos. Además, puso en marcha un proceso de reforma cultural significativa en los lugares de trabajo australianos como respuesta al informe </w:t>
      </w:r>
      <w:proofErr w:type="spellStart"/>
      <w:r w:rsidRPr="00C52B38">
        <w:rPr>
          <w:i/>
          <w:iCs/>
        </w:rPr>
        <w:t>Respect@Work</w:t>
      </w:r>
      <w:proofErr w:type="spellEnd"/>
      <w:r w:rsidRPr="00C52B38">
        <w:t xml:space="preserve"> de 2020, para garantizar que el acoso sexual pueda abordarse con mayor eficacia mediante iniciativas de reforma legislativa y cultural.</w:t>
      </w:r>
    </w:p>
    <w:p w14:paraId="5C70E571" w14:textId="77777777" w:rsidR="000C706A" w:rsidRPr="00C52B38" w:rsidRDefault="000C706A" w:rsidP="00085CAD">
      <w:pPr>
        <w:pStyle w:val="H1G"/>
      </w:pPr>
      <w:bookmarkStart w:id="49" w:name="_Toc147326784"/>
      <w:r w:rsidRPr="00C52B38">
        <w:tab/>
        <w:t>B.</w:t>
      </w:r>
      <w:r w:rsidRPr="00C52B38">
        <w:tab/>
        <w:t>Recursos efectivos</w:t>
      </w:r>
      <w:bookmarkStart w:id="50" w:name="_Toc167980149"/>
      <w:bookmarkEnd w:id="49"/>
      <w:bookmarkEnd w:id="50"/>
    </w:p>
    <w:p w14:paraId="721EFA30" w14:textId="77777777" w:rsidR="000C706A" w:rsidRPr="00C52B38" w:rsidRDefault="000C706A" w:rsidP="002370A4">
      <w:pPr>
        <w:pStyle w:val="SingleTxtG"/>
      </w:pPr>
      <w:r w:rsidRPr="00C52B38">
        <w:t>228.</w:t>
      </w:r>
      <w:r w:rsidRPr="00C52B38">
        <w:tab/>
        <w:t>Los principales mecanismos disponibles en Australia para obtener reparación en relación con violaciones de los derechos humanos se describen en las secciones B y C de la parte II e incluyen la Comisión de Derechos Humanos de Australia y los tribunales federales, de los estados y de los territorios, además de otros organismos como los defensores del pueblo, comisiones y tribunales.</w:t>
      </w:r>
    </w:p>
    <w:p w14:paraId="2970F0FC" w14:textId="77777777" w:rsidR="000C706A" w:rsidRPr="00C52B38" w:rsidRDefault="000C706A" w:rsidP="002370A4">
      <w:pPr>
        <w:pStyle w:val="SingleTxtG"/>
      </w:pPr>
      <w:r w:rsidRPr="00C52B38">
        <w:t>229.</w:t>
      </w:r>
      <w:r w:rsidRPr="00C52B38">
        <w:tab/>
        <w:t>Para facilitar el acceso efectivo a dichos mecanismos, las comisiones de asistencia jurídica y los centros jurídicos comunitarios ofrecen asesoramiento o asistencia gratuitos en relación con la presentación de denuncias en virtud de la legislación de lucha contra la discriminación. Están financiados por el Gobierno del Commonwealth y los Gobiernos de los estados y de los territorios, pero son independientes de los Gobiernos y desempeñan sus funciones con autonomía.</w:t>
      </w:r>
    </w:p>
    <w:p w14:paraId="6CD9BC99" w14:textId="78442059" w:rsidR="000C706A" w:rsidRPr="00C52B38" w:rsidRDefault="000C706A" w:rsidP="002370A4">
      <w:pPr>
        <w:pStyle w:val="SingleTxtG"/>
      </w:pPr>
      <w:r w:rsidRPr="00C52B38">
        <w:t>230.</w:t>
      </w:r>
      <w:r w:rsidRPr="00C52B38">
        <w:tab/>
        <w:t>La mayoría de las quejas investigadas por la Comisión de Derechos Humanos de Australia se resuelven mediante conciliación. En 2021-2022, la Comisión de Derechos Humanos de Australia recibió 3.736 quejas y tramitó el proceso de conciliación de unas 1.819</w:t>
      </w:r>
      <w:r w:rsidR="007D4F94">
        <w:t> </w:t>
      </w:r>
      <w:r w:rsidRPr="00C52B38">
        <w:t>quejas, de las que 1.128 (el 62 %) se resolvieron satisfactoriamente</w:t>
      </w:r>
      <w:r w:rsidRPr="00C52B38">
        <w:rPr>
          <w:rStyle w:val="Refdenotaalpie"/>
        </w:rPr>
        <w:footnoteReference w:id="127"/>
      </w:r>
      <w:r w:rsidRPr="00C52B38">
        <w:t>. Las quejas pueden resolverse por diferentes vías, por ejemplo, mediante la presentación de disculpas, la modificación de una política o una indemnización. Los autores de las quejas y las partes acusadas no tienen que pagar ninguna tasa para recurrir al proceso de conciliación. Las quejas y las conclusiones de la conciliación son confidenciales.</w:t>
      </w:r>
    </w:p>
    <w:p w14:paraId="78253D9A" w14:textId="77777777" w:rsidR="000C706A" w:rsidRPr="00C52B38" w:rsidRDefault="000C706A" w:rsidP="002370A4">
      <w:pPr>
        <w:pStyle w:val="SingleTxtG"/>
      </w:pPr>
      <w:bookmarkStart w:id="51" w:name="OLE_LINK9"/>
      <w:r w:rsidRPr="00C52B38">
        <w:t>231.</w:t>
      </w:r>
      <w:r w:rsidRPr="00C52B38">
        <w:tab/>
        <w:t>Si no se consigue resolver la queja mediante conciliación con arreglo a la legislación federal de lucha contra la discriminación, en algunas circunstancias el autor de la queja puede presentarla ante los tribunales federales. Los tribunales están facultados para examinar si determinadas solicitudes tienen fundamento suficiente para celebrar una vista, así como para dictar órdenes cuando consideren que se ha incurrido en discriminación en contravención de la ley. Entre las medidas de reparación que puede dictar un tribunal se incluyen las órdenes de que se ponga fin a la discriminación contraria a derecho y no se repita, se presenten disculpas, se pague una indemnización al autor de la queja, se contrate o se vuelva a contratar al autor de la queja, o se actúe de manera razonable para reparar los daños y perjuicios ocasionados.</w:t>
      </w:r>
    </w:p>
    <w:bookmarkEnd w:id="51"/>
    <w:p w14:paraId="47B93F3F" w14:textId="6DB235E6" w:rsidR="000C706A" w:rsidRPr="00C52B38" w:rsidRDefault="000C706A" w:rsidP="00085CAD">
      <w:pPr>
        <w:pStyle w:val="H4G"/>
      </w:pPr>
      <w:r>
        <w:tab/>
      </w:r>
      <w:r w:rsidR="00085CAD">
        <w:tab/>
      </w:r>
      <w:r w:rsidRPr="00C52B38">
        <w:t>Recursos jurídicos para las personas privadas de libertad</w:t>
      </w:r>
    </w:p>
    <w:p w14:paraId="28BC28EF" w14:textId="77777777" w:rsidR="000C706A" w:rsidRPr="00C52B38" w:rsidRDefault="000C706A" w:rsidP="002370A4">
      <w:pPr>
        <w:pStyle w:val="SingleTxtG"/>
      </w:pPr>
      <w:r w:rsidRPr="00C52B38">
        <w:t>232.</w:t>
      </w:r>
      <w:r w:rsidRPr="00C52B38">
        <w:tab/>
        <w:t>En Australia, las personas privadas de libertad tienen acceso a mecanismos de denuncia a través de los organismos de lucha contra la discriminación y los defensores del pueblo de los estados y territorios. Además, los presos condenados en virtud de la legislación federal también pueden presentar quejas ante la Comisión de Derechos Humanos de Australia.</w:t>
      </w:r>
    </w:p>
    <w:p w14:paraId="557B1285" w14:textId="77777777" w:rsidR="000C706A" w:rsidRPr="00C52B38" w:rsidRDefault="000C706A" w:rsidP="002370A4">
      <w:pPr>
        <w:pStyle w:val="SingleTxtG"/>
      </w:pPr>
      <w:r w:rsidRPr="00C52B38">
        <w:t>233.</w:t>
      </w:r>
      <w:r w:rsidRPr="00C52B38">
        <w:tab/>
        <w:t>Las personas privadas de libertad por motivos relacionados con la migración tienen derecho a presentar quejas sobre las políticas del Ministerio del Interior (incluida la Fuerza Fronteriza Australiana), las condiciones de su reclusión o los servicios que se les prestan. Pueden hacerlo a través de los proveedores de servicios, el Ministerio del Interior, la Oficina del Ombudsman del Commonwealth, la Comisión de Derechos Humanos de Australia, la Cruz Roja Australiana, el Comité Internacional de la Cruz Roja o la Oficina del Alto Comisionado de las Naciones Unidas para los Refugiados.</w:t>
      </w:r>
    </w:p>
    <w:p w14:paraId="6D824CE8" w14:textId="755A3A1A" w:rsidR="000C706A" w:rsidRPr="00C52B38" w:rsidRDefault="000C706A" w:rsidP="002370A4">
      <w:pPr>
        <w:pStyle w:val="SingleTxtG"/>
      </w:pPr>
      <w:bookmarkStart w:id="52" w:name="OLE_LINK8"/>
      <w:r w:rsidRPr="00C52B38">
        <w:t>234.</w:t>
      </w:r>
      <w:r w:rsidRPr="00C52B38">
        <w:tab/>
        <w:t>El 21 de diciembre de 2017, Australia ratificó el Protocolo Facultativo de la Convención contra la Tortura y Otros Tratos o Penas Crueles, Inhumanos o Degradantes</w:t>
      </w:r>
      <w:r w:rsidR="007D4F94">
        <w:t>:</w:t>
      </w:r>
    </w:p>
    <w:p w14:paraId="3ACD6342" w14:textId="42245182" w:rsidR="000C706A" w:rsidRPr="00C52B38" w:rsidRDefault="000C706A" w:rsidP="00085CAD">
      <w:pPr>
        <w:pStyle w:val="Bullet1G"/>
      </w:pPr>
      <w:r w:rsidRPr="00C52B38">
        <w:lastRenderedPageBreak/>
        <w:t>El Protocolo Facultativo de la Convención contra la Tortura y Otros Tratos o Penas Crueles, Inhumanos o Degradantes exige el establecimiento de un sistema preventivo de visitas periódicas a los lugares de detención a cargo de los órganos de supervisión nacionales e internacionales pertinentes, con todas las facultades, recursos e independencia necesarios para funcionar eficazmente</w:t>
      </w:r>
      <w:r w:rsidR="00085CAD">
        <w:t>.</w:t>
      </w:r>
    </w:p>
    <w:p w14:paraId="7465A1EE" w14:textId="70245330" w:rsidR="000C706A" w:rsidRPr="00C52B38" w:rsidRDefault="000C706A" w:rsidP="00085CAD">
      <w:pPr>
        <w:pStyle w:val="Bullet1G"/>
      </w:pPr>
      <w:r w:rsidRPr="00C52B38">
        <w:t>En virtud del Protocolo Facultativo de la Convención contra la Tortura y Otros Tratos o Penas Crueles, Inhumanos o Degradantes, Australia debe establecer uno o varios mecanismos nacionales de prevención y facilitar las visitas del Subcomité para la Prevención de la Tortura. Tanto los mecanismos nacionales de prevención como el Subcomité para la Prevención de la Tortura realizan visitas con el fin de garantizar la prevención de la tortura y otros tratos o penas crueles, inhumanos o degradantes en los lugares de detención</w:t>
      </w:r>
      <w:r w:rsidR="00085CAD">
        <w:t>.</w:t>
      </w:r>
    </w:p>
    <w:p w14:paraId="7A02282F" w14:textId="3C3F954F" w:rsidR="000C706A" w:rsidRPr="00C52B38" w:rsidRDefault="000C706A" w:rsidP="00085CAD">
      <w:pPr>
        <w:pStyle w:val="Bullet1G"/>
      </w:pPr>
      <w:r w:rsidRPr="00C52B38">
        <w:t>Tras ratificar en 2017 el Protocolo Facultativo de la Convención contra la Tortura y Otros Tratos o Penas Crueles, Inhumanos o Degradantes, Australia hizo una declaración en virtud del artículo 24 del Protocolo Facultativo para aplazar el cumplimiento de las obligaciones relativas a los mecanismos nacionales de prevención durante un máximo de tres años, con el fin de trabajar con los Gobiernos de los estados y de los territorios australianos en el establecimiento de un mecanismo nacional de prevención. En 2022, el Comité contra la Tortura aceptó la solicitud de Australia de extender 12 meses más el aplazamiento del cumplimiento de sus obligaciones con respecto al mecanismo nacional de prevención, hasta el 20 de enero de 2023</w:t>
      </w:r>
      <w:r w:rsidR="00085CAD">
        <w:t>.</w:t>
      </w:r>
    </w:p>
    <w:p w14:paraId="3FCC95AD" w14:textId="4A5E6045" w:rsidR="000C706A" w:rsidRPr="00C52B38" w:rsidRDefault="000C706A" w:rsidP="00085CAD">
      <w:pPr>
        <w:pStyle w:val="Bullet1G"/>
      </w:pPr>
      <w:r w:rsidRPr="00C52B38">
        <w:t>El mecanismo nacional de prevención de Australia consiste en una red cooperativa de órganos federales, de los estados y de los territorios encargados de visitar los lugares de detención y está coordinado por la Oficina del Ombudsman del Commonwealth. Seis de los ocho Gobiernos de los estados y territorios han establecido uno o varios mecanismos nacionales de prevención</w:t>
      </w:r>
      <w:r w:rsidR="00085CAD">
        <w:t>.</w:t>
      </w:r>
    </w:p>
    <w:p w14:paraId="2696D867" w14:textId="172DAAF0" w:rsidR="000C706A" w:rsidRPr="00C52B38" w:rsidRDefault="000C706A" w:rsidP="00085CAD">
      <w:pPr>
        <w:pStyle w:val="Bullet1G"/>
      </w:pPr>
      <w:r w:rsidRPr="00C52B38">
        <w:t>Con la creación de órganos independientes que realicen visitas a los lugares de detención, de conformidad con el Protocolo Facultativo de la Convención contra la Tortura y Otros Tratos o Penas Crueles, Inhumanos o Degradantes, se pretende prevenir cualquier perjuicio mediante la detección temprana y la solución de los problemas, lo que redundará en mejores condiciones para las personas privadas de libertad, incluidas las que se encuentran en una situación de mayor vulnerabilidad, como las personas con discapacidad, las personas con una enfermedad psiquiátrica, los pueblos de las Primeras Naciones y la juventud</w:t>
      </w:r>
      <w:r w:rsidR="00085CAD">
        <w:t>.</w:t>
      </w:r>
    </w:p>
    <w:p w14:paraId="70400768" w14:textId="74838664" w:rsidR="006F35EE" w:rsidRDefault="000C706A" w:rsidP="00085CAD">
      <w:pPr>
        <w:pStyle w:val="Bullet1G"/>
      </w:pPr>
      <w:r w:rsidRPr="00C52B38">
        <w:t>Las visitas de los mecanismos nacionales de prevención y del Subcomité para la Prevención de la Tortura son preventivas y de observación, y permiten formular recomendaciones a las autoridades competentes, incluidos el Gobierno federal y los Gobiernos de los estados y de los territorios.</w:t>
      </w:r>
      <w:bookmarkEnd w:id="52"/>
    </w:p>
    <w:p w14:paraId="0BF00771" w14:textId="77777777" w:rsidR="00DB52C8" w:rsidRDefault="00DB52C8" w:rsidP="000C706A"/>
    <w:p w14:paraId="423C9BC6" w14:textId="77777777" w:rsidR="00DB52C8" w:rsidRDefault="00DB52C8" w:rsidP="000C706A">
      <w:pPr>
        <w:sectPr w:rsidR="00DB52C8" w:rsidSect="000C706A">
          <w:headerReference w:type="even" r:id="rId29"/>
          <w:headerReference w:type="default" r:id="rId30"/>
          <w:footerReference w:type="even" r:id="rId31"/>
          <w:footerReference w:type="default" r:id="rId32"/>
          <w:footerReference w:type="first" r:id="rId33"/>
          <w:endnotePr>
            <w:numFmt w:val="decimal"/>
          </w:endnotePr>
          <w:pgSz w:w="11906" w:h="16838" w:code="9"/>
          <w:pgMar w:top="1417" w:right="1134" w:bottom="1134" w:left="1134" w:header="850" w:footer="567" w:gutter="0"/>
          <w:cols w:space="708"/>
          <w:titlePg/>
          <w:docGrid w:linePitch="360"/>
        </w:sectPr>
      </w:pPr>
    </w:p>
    <w:p w14:paraId="2A30CE1A" w14:textId="77777777" w:rsidR="00DB52C8" w:rsidRPr="00C52B38" w:rsidRDefault="00DB52C8" w:rsidP="00552214">
      <w:pPr>
        <w:pStyle w:val="HChG"/>
        <w:spacing w:before="0"/>
      </w:pPr>
      <w:bookmarkStart w:id="53" w:name="_Toc147326786"/>
      <w:r w:rsidRPr="00C52B38">
        <w:lastRenderedPageBreak/>
        <w:tab/>
        <w:t>Anexo I</w:t>
      </w:r>
      <w:bookmarkStart w:id="54" w:name="_Toc167980150"/>
      <w:bookmarkEnd w:id="54"/>
    </w:p>
    <w:p w14:paraId="2D5F86C0" w14:textId="3202C70C" w:rsidR="00DB52C8" w:rsidRPr="00C52B38" w:rsidRDefault="00E62AB4" w:rsidP="00E62AB4">
      <w:pPr>
        <w:pStyle w:val="HChG"/>
      </w:pPr>
      <w:r>
        <w:tab/>
      </w:r>
      <w:r w:rsidR="00DB52C8">
        <w:tab/>
      </w:r>
      <w:r w:rsidR="00DB52C8" w:rsidRPr="00C52B38">
        <w:t>Otros datos estadísticos</w:t>
      </w:r>
      <w:bookmarkStart w:id="55" w:name="_Toc167980151"/>
      <w:bookmarkEnd w:id="53"/>
      <w:bookmarkEnd w:id="55"/>
    </w:p>
    <w:p w14:paraId="44C13C48" w14:textId="77777777" w:rsidR="00DB52C8" w:rsidRPr="00C52B38" w:rsidRDefault="00DB52C8" w:rsidP="00E62AB4">
      <w:pPr>
        <w:pStyle w:val="SingleTxtG"/>
        <w:spacing w:after="0"/>
      </w:pPr>
      <w:r w:rsidRPr="00C52B38">
        <w:t xml:space="preserve">Cuadro </w:t>
      </w:r>
      <w:proofErr w:type="spellStart"/>
      <w:r w:rsidRPr="00C52B38">
        <w:t>A1</w:t>
      </w:r>
      <w:proofErr w:type="spellEnd"/>
    </w:p>
    <w:p w14:paraId="44326967" w14:textId="77777777" w:rsidR="00DB52C8" w:rsidRPr="00E62AB4" w:rsidRDefault="00DB52C8" w:rsidP="00E62AB4">
      <w:pPr>
        <w:pStyle w:val="SingleTxtG"/>
        <w:rPr>
          <w:b/>
          <w:bCs/>
        </w:rPr>
      </w:pPr>
      <w:r w:rsidRPr="00E62AB4">
        <w:rPr>
          <w:b/>
          <w:bCs/>
        </w:rPr>
        <w:t>Población de Australia por grupos quinquenales de edad en 2018 y 2022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1559"/>
        <w:gridCol w:w="1295"/>
        <w:gridCol w:w="1628"/>
        <w:gridCol w:w="1470"/>
      </w:tblGrid>
      <w:tr w:rsidR="00DB52C8" w:rsidRPr="00E62AB4" w14:paraId="38A74E69" w14:textId="77777777" w:rsidTr="003C6EFD">
        <w:trPr>
          <w:trHeight w:val="240"/>
          <w:tblHeader/>
        </w:trPr>
        <w:tc>
          <w:tcPr>
            <w:tcW w:w="1418" w:type="dxa"/>
            <w:vMerge w:val="restart"/>
            <w:tcBorders>
              <w:top w:val="single" w:sz="4" w:space="0" w:color="auto"/>
              <w:bottom w:val="single" w:sz="12" w:space="0" w:color="auto"/>
            </w:tcBorders>
            <w:shd w:val="clear" w:color="auto" w:fill="auto"/>
            <w:vAlign w:val="bottom"/>
          </w:tcPr>
          <w:p w14:paraId="5D0266B0" w14:textId="77777777" w:rsidR="00DB52C8" w:rsidRPr="00E62AB4" w:rsidRDefault="00DB52C8" w:rsidP="00E62AB4">
            <w:pPr>
              <w:spacing w:before="80" w:after="80" w:line="200" w:lineRule="exact"/>
              <w:rPr>
                <w:i/>
                <w:sz w:val="16"/>
              </w:rPr>
            </w:pPr>
            <w:r w:rsidRPr="00E62AB4">
              <w:rPr>
                <w:i/>
                <w:sz w:val="16"/>
              </w:rPr>
              <w:t>Grupo de edad (años)</w:t>
            </w:r>
          </w:p>
        </w:tc>
        <w:tc>
          <w:tcPr>
            <w:tcW w:w="2854" w:type="dxa"/>
            <w:gridSpan w:val="2"/>
            <w:tcBorders>
              <w:top w:val="single" w:sz="4" w:space="0" w:color="auto"/>
              <w:bottom w:val="single" w:sz="4" w:space="0" w:color="auto"/>
              <w:right w:val="single" w:sz="24" w:space="0" w:color="FFFFFF" w:themeColor="background1"/>
            </w:tcBorders>
            <w:shd w:val="clear" w:color="auto" w:fill="auto"/>
            <w:vAlign w:val="bottom"/>
          </w:tcPr>
          <w:p w14:paraId="402A58B6" w14:textId="77777777" w:rsidR="00DB52C8" w:rsidRPr="00E62AB4" w:rsidRDefault="00DB52C8" w:rsidP="00E62AB4">
            <w:pPr>
              <w:spacing w:before="80" w:after="80" w:line="200" w:lineRule="exact"/>
              <w:ind w:left="113"/>
              <w:jc w:val="center"/>
              <w:rPr>
                <w:i/>
                <w:sz w:val="16"/>
              </w:rPr>
            </w:pPr>
            <w:r w:rsidRPr="00E62AB4">
              <w:rPr>
                <w:i/>
                <w:sz w:val="16"/>
              </w:rPr>
              <w:t>2018</w:t>
            </w:r>
          </w:p>
        </w:tc>
        <w:tc>
          <w:tcPr>
            <w:tcW w:w="3098" w:type="dxa"/>
            <w:gridSpan w:val="2"/>
            <w:tcBorders>
              <w:top w:val="single" w:sz="4" w:space="0" w:color="auto"/>
              <w:left w:val="single" w:sz="24" w:space="0" w:color="FFFFFF" w:themeColor="background1"/>
              <w:bottom w:val="single" w:sz="4" w:space="0" w:color="auto"/>
            </w:tcBorders>
            <w:shd w:val="clear" w:color="auto" w:fill="auto"/>
            <w:vAlign w:val="bottom"/>
          </w:tcPr>
          <w:p w14:paraId="339A11BD" w14:textId="77777777" w:rsidR="00DB52C8" w:rsidRPr="00E62AB4" w:rsidRDefault="00DB52C8" w:rsidP="00E62AB4">
            <w:pPr>
              <w:spacing w:before="80" w:after="80" w:line="200" w:lineRule="exact"/>
              <w:ind w:left="113"/>
              <w:jc w:val="center"/>
              <w:rPr>
                <w:i/>
                <w:sz w:val="16"/>
              </w:rPr>
            </w:pPr>
            <w:r w:rsidRPr="00E62AB4">
              <w:rPr>
                <w:i/>
                <w:sz w:val="16"/>
              </w:rPr>
              <w:t>2022</w:t>
            </w:r>
          </w:p>
        </w:tc>
      </w:tr>
      <w:tr w:rsidR="00E62AB4" w:rsidRPr="00E62AB4" w14:paraId="0463AEE4" w14:textId="77777777" w:rsidTr="003C6EFD">
        <w:trPr>
          <w:trHeight w:val="240"/>
          <w:tblHeader/>
        </w:trPr>
        <w:tc>
          <w:tcPr>
            <w:tcW w:w="1418" w:type="dxa"/>
            <w:vMerge/>
            <w:tcBorders>
              <w:top w:val="single" w:sz="12" w:space="0" w:color="auto"/>
              <w:bottom w:val="single" w:sz="12" w:space="0" w:color="auto"/>
            </w:tcBorders>
            <w:shd w:val="clear" w:color="auto" w:fill="auto"/>
            <w:vAlign w:val="bottom"/>
          </w:tcPr>
          <w:p w14:paraId="0577E851" w14:textId="77777777" w:rsidR="00DB52C8" w:rsidRPr="00E62AB4" w:rsidRDefault="00DB52C8" w:rsidP="00E62AB4">
            <w:pPr>
              <w:spacing w:before="80" w:after="80" w:line="200" w:lineRule="exact"/>
              <w:rPr>
                <w:i/>
                <w:sz w:val="16"/>
              </w:rPr>
            </w:pPr>
          </w:p>
        </w:tc>
        <w:tc>
          <w:tcPr>
            <w:tcW w:w="1559" w:type="dxa"/>
            <w:tcBorders>
              <w:top w:val="single" w:sz="4" w:space="0" w:color="auto"/>
              <w:bottom w:val="single" w:sz="12" w:space="0" w:color="auto"/>
            </w:tcBorders>
            <w:shd w:val="clear" w:color="auto" w:fill="auto"/>
            <w:vAlign w:val="bottom"/>
          </w:tcPr>
          <w:p w14:paraId="64181A8E" w14:textId="77777777" w:rsidR="00DB52C8" w:rsidRPr="00E62AB4" w:rsidRDefault="00DB52C8" w:rsidP="00E62AB4">
            <w:pPr>
              <w:spacing w:before="80" w:after="80" w:line="200" w:lineRule="exact"/>
              <w:ind w:left="113"/>
              <w:jc w:val="right"/>
              <w:rPr>
                <w:i/>
                <w:sz w:val="16"/>
              </w:rPr>
            </w:pPr>
            <w:r w:rsidRPr="00E62AB4">
              <w:rPr>
                <w:i/>
                <w:sz w:val="16"/>
              </w:rPr>
              <w:t>Número de personas</w:t>
            </w:r>
          </w:p>
        </w:tc>
        <w:tc>
          <w:tcPr>
            <w:tcW w:w="1295" w:type="dxa"/>
            <w:tcBorders>
              <w:top w:val="single" w:sz="4" w:space="0" w:color="auto"/>
              <w:bottom w:val="single" w:sz="12" w:space="0" w:color="auto"/>
              <w:right w:val="single" w:sz="24" w:space="0" w:color="FFFFFF" w:themeColor="background1"/>
            </w:tcBorders>
            <w:shd w:val="clear" w:color="auto" w:fill="auto"/>
            <w:vAlign w:val="bottom"/>
          </w:tcPr>
          <w:p w14:paraId="0BBF9D18" w14:textId="77777777" w:rsidR="00DB52C8" w:rsidRPr="00E62AB4" w:rsidRDefault="00DB52C8" w:rsidP="00E62AB4">
            <w:pPr>
              <w:spacing w:before="80" w:after="80" w:line="200" w:lineRule="exact"/>
              <w:ind w:left="113"/>
              <w:jc w:val="right"/>
              <w:rPr>
                <w:i/>
                <w:sz w:val="16"/>
              </w:rPr>
            </w:pPr>
            <w:r w:rsidRPr="00E62AB4">
              <w:rPr>
                <w:i/>
                <w:sz w:val="16"/>
              </w:rPr>
              <w:t>Porcentaje</w:t>
            </w:r>
          </w:p>
        </w:tc>
        <w:tc>
          <w:tcPr>
            <w:tcW w:w="1628" w:type="dxa"/>
            <w:tcBorders>
              <w:top w:val="single" w:sz="4" w:space="0" w:color="auto"/>
              <w:left w:val="single" w:sz="24" w:space="0" w:color="FFFFFF" w:themeColor="background1"/>
              <w:bottom w:val="single" w:sz="12" w:space="0" w:color="auto"/>
            </w:tcBorders>
            <w:shd w:val="clear" w:color="auto" w:fill="auto"/>
            <w:vAlign w:val="bottom"/>
          </w:tcPr>
          <w:p w14:paraId="50FA5D96" w14:textId="77777777" w:rsidR="00DB52C8" w:rsidRPr="00E62AB4" w:rsidRDefault="00DB52C8" w:rsidP="00E62AB4">
            <w:pPr>
              <w:spacing w:before="80" w:after="80" w:line="200" w:lineRule="exact"/>
              <w:ind w:left="113"/>
              <w:jc w:val="right"/>
              <w:rPr>
                <w:i/>
                <w:sz w:val="16"/>
              </w:rPr>
            </w:pPr>
            <w:r w:rsidRPr="00E62AB4">
              <w:rPr>
                <w:i/>
                <w:sz w:val="16"/>
              </w:rPr>
              <w:t>Número de personas</w:t>
            </w:r>
          </w:p>
        </w:tc>
        <w:tc>
          <w:tcPr>
            <w:tcW w:w="1470" w:type="dxa"/>
            <w:tcBorders>
              <w:top w:val="single" w:sz="4" w:space="0" w:color="auto"/>
              <w:bottom w:val="single" w:sz="12" w:space="0" w:color="auto"/>
            </w:tcBorders>
            <w:shd w:val="clear" w:color="auto" w:fill="auto"/>
            <w:vAlign w:val="bottom"/>
          </w:tcPr>
          <w:p w14:paraId="2FE5225A" w14:textId="77777777" w:rsidR="00DB52C8" w:rsidRPr="00E62AB4" w:rsidRDefault="00DB52C8" w:rsidP="00E62AB4">
            <w:pPr>
              <w:spacing w:before="80" w:after="80" w:line="200" w:lineRule="exact"/>
              <w:ind w:left="113"/>
              <w:jc w:val="right"/>
              <w:rPr>
                <w:i/>
                <w:sz w:val="16"/>
              </w:rPr>
            </w:pPr>
            <w:r w:rsidRPr="00E62AB4">
              <w:rPr>
                <w:i/>
                <w:sz w:val="16"/>
              </w:rPr>
              <w:t>Porcentaje</w:t>
            </w:r>
          </w:p>
        </w:tc>
      </w:tr>
      <w:tr w:rsidR="00E62AB4" w:rsidRPr="00E62AB4" w14:paraId="6BB5223E" w14:textId="77777777" w:rsidTr="00E62AB4">
        <w:trPr>
          <w:trHeight w:val="240"/>
        </w:trPr>
        <w:tc>
          <w:tcPr>
            <w:tcW w:w="1418" w:type="dxa"/>
            <w:tcBorders>
              <w:top w:val="single" w:sz="12" w:space="0" w:color="auto"/>
            </w:tcBorders>
            <w:shd w:val="clear" w:color="auto" w:fill="auto"/>
          </w:tcPr>
          <w:p w14:paraId="7F390C48" w14:textId="77777777" w:rsidR="00DB52C8" w:rsidRPr="00E62AB4" w:rsidRDefault="00DB52C8" w:rsidP="004A01CB">
            <w:pPr>
              <w:spacing w:before="40" w:after="40" w:line="210" w:lineRule="exact"/>
              <w:rPr>
                <w:sz w:val="18"/>
              </w:rPr>
            </w:pPr>
            <w:r w:rsidRPr="00E62AB4">
              <w:rPr>
                <w:sz w:val="18"/>
              </w:rPr>
              <w:t>De 0 a 4</w:t>
            </w:r>
          </w:p>
        </w:tc>
        <w:tc>
          <w:tcPr>
            <w:tcW w:w="1559" w:type="dxa"/>
            <w:tcBorders>
              <w:top w:val="single" w:sz="12" w:space="0" w:color="auto"/>
            </w:tcBorders>
            <w:shd w:val="clear" w:color="auto" w:fill="auto"/>
            <w:vAlign w:val="bottom"/>
          </w:tcPr>
          <w:p w14:paraId="4A9933D8" w14:textId="30813416"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464</w:t>
            </w:r>
            <w:r w:rsidR="00E62AB4">
              <w:rPr>
                <w:sz w:val="18"/>
              </w:rPr>
              <w:t xml:space="preserve"> </w:t>
            </w:r>
            <w:r w:rsidRPr="00E62AB4">
              <w:rPr>
                <w:sz w:val="18"/>
              </w:rPr>
              <w:t xml:space="preserve">779 </w:t>
            </w:r>
          </w:p>
        </w:tc>
        <w:tc>
          <w:tcPr>
            <w:tcW w:w="1295" w:type="dxa"/>
            <w:tcBorders>
              <w:top w:val="single" w:sz="12" w:space="0" w:color="auto"/>
            </w:tcBorders>
            <w:shd w:val="clear" w:color="auto" w:fill="auto"/>
            <w:vAlign w:val="bottom"/>
          </w:tcPr>
          <w:p w14:paraId="7266D1E3" w14:textId="77777777" w:rsidR="00DB52C8" w:rsidRPr="00E62AB4" w:rsidRDefault="00DB52C8" w:rsidP="004A01CB">
            <w:pPr>
              <w:spacing w:before="40" w:after="40" w:line="210" w:lineRule="exact"/>
              <w:ind w:left="113"/>
              <w:jc w:val="right"/>
              <w:rPr>
                <w:sz w:val="18"/>
              </w:rPr>
            </w:pPr>
            <w:r w:rsidRPr="00E62AB4">
              <w:rPr>
                <w:sz w:val="18"/>
              </w:rPr>
              <w:t>6,33</w:t>
            </w:r>
          </w:p>
        </w:tc>
        <w:tc>
          <w:tcPr>
            <w:tcW w:w="1628" w:type="dxa"/>
            <w:tcBorders>
              <w:top w:val="single" w:sz="12" w:space="0" w:color="auto"/>
            </w:tcBorders>
            <w:shd w:val="clear" w:color="auto" w:fill="auto"/>
            <w:vAlign w:val="bottom"/>
          </w:tcPr>
          <w:p w14:paraId="6D8EEB4C" w14:textId="636207C3"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510</w:t>
            </w:r>
            <w:r w:rsidR="00E62AB4">
              <w:rPr>
                <w:sz w:val="18"/>
              </w:rPr>
              <w:t xml:space="preserve"> </w:t>
            </w:r>
            <w:r w:rsidRPr="00E62AB4">
              <w:rPr>
                <w:sz w:val="18"/>
              </w:rPr>
              <w:t>519</w:t>
            </w:r>
          </w:p>
        </w:tc>
        <w:tc>
          <w:tcPr>
            <w:tcW w:w="1470" w:type="dxa"/>
            <w:tcBorders>
              <w:top w:val="single" w:sz="12" w:space="0" w:color="auto"/>
            </w:tcBorders>
            <w:shd w:val="clear" w:color="auto" w:fill="auto"/>
            <w:vAlign w:val="bottom"/>
          </w:tcPr>
          <w:p w14:paraId="1EE5A9F0" w14:textId="77777777" w:rsidR="00DB52C8" w:rsidRPr="00E62AB4" w:rsidRDefault="00DB52C8" w:rsidP="004A01CB">
            <w:pPr>
              <w:spacing w:before="40" w:after="40" w:line="210" w:lineRule="exact"/>
              <w:ind w:left="113"/>
              <w:jc w:val="right"/>
              <w:rPr>
                <w:sz w:val="18"/>
              </w:rPr>
            </w:pPr>
            <w:r w:rsidRPr="00E62AB4">
              <w:rPr>
                <w:sz w:val="18"/>
              </w:rPr>
              <w:t>6,0</w:t>
            </w:r>
          </w:p>
        </w:tc>
      </w:tr>
      <w:tr w:rsidR="00E62AB4" w:rsidRPr="00E62AB4" w14:paraId="31EC64D6" w14:textId="77777777" w:rsidTr="00E62AB4">
        <w:trPr>
          <w:trHeight w:val="240"/>
        </w:trPr>
        <w:tc>
          <w:tcPr>
            <w:tcW w:w="1418" w:type="dxa"/>
            <w:shd w:val="clear" w:color="auto" w:fill="auto"/>
          </w:tcPr>
          <w:p w14:paraId="1EEF9E5C" w14:textId="77777777" w:rsidR="00DB52C8" w:rsidRPr="00E62AB4" w:rsidRDefault="00DB52C8" w:rsidP="004A01CB">
            <w:pPr>
              <w:spacing w:before="40" w:after="40" w:line="210" w:lineRule="exact"/>
              <w:rPr>
                <w:sz w:val="18"/>
              </w:rPr>
            </w:pPr>
            <w:r w:rsidRPr="00E62AB4">
              <w:rPr>
                <w:sz w:val="18"/>
              </w:rPr>
              <w:t>De 5 a 9</w:t>
            </w:r>
          </w:p>
        </w:tc>
        <w:tc>
          <w:tcPr>
            <w:tcW w:w="1559" w:type="dxa"/>
            <w:shd w:val="clear" w:color="auto" w:fill="auto"/>
            <w:vAlign w:val="bottom"/>
          </w:tcPr>
          <w:p w14:paraId="699AF062" w14:textId="40D01EE0"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502</w:t>
            </w:r>
            <w:r w:rsidR="00E62AB4">
              <w:rPr>
                <w:sz w:val="18"/>
              </w:rPr>
              <w:t xml:space="preserve"> </w:t>
            </w:r>
            <w:r w:rsidRPr="00E62AB4">
              <w:rPr>
                <w:sz w:val="18"/>
              </w:rPr>
              <w:t xml:space="preserve">646 </w:t>
            </w:r>
          </w:p>
        </w:tc>
        <w:tc>
          <w:tcPr>
            <w:tcW w:w="1295" w:type="dxa"/>
            <w:shd w:val="clear" w:color="auto" w:fill="auto"/>
            <w:vAlign w:val="bottom"/>
          </w:tcPr>
          <w:p w14:paraId="7804CBF2" w14:textId="77777777" w:rsidR="00DB52C8" w:rsidRPr="00E62AB4" w:rsidRDefault="00DB52C8" w:rsidP="004A01CB">
            <w:pPr>
              <w:spacing w:before="40" w:after="40" w:line="210" w:lineRule="exact"/>
              <w:ind w:left="113"/>
              <w:jc w:val="right"/>
              <w:rPr>
                <w:sz w:val="18"/>
              </w:rPr>
            </w:pPr>
            <w:r w:rsidRPr="00E62AB4">
              <w:rPr>
                <w:sz w:val="18"/>
              </w:rPr>
              <w:t>6,42</w:t>
            </w:r>
          </w:p>
        </w:tc>
        <w:tc>
          <w:tcPr>
            <w:tcW w:w="1628" w:type="dxa"/>
            <w:shd w:val="clear" w:color="auto" w:fill="auto"/>
            <w:vAlign w:val="bottom"/>
          </w:tcPr>
          <w:p w14:paraId="6B10F5C7" w14:textId="7CD3E1F7"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612</w:t>
            </w:r>
            <w:r w:rsidR="00E62AB4">
              <w:rPr>
                <w:sz w:val="18"/>
              </w:rPr>
              <w:t xml:space="preserve"> </w:t>
            </w:r>
            <w:r w:rsidRPr="00E62AB4">
              <w:rPr>
                <w:sz w:val="18"/>
              </w:rPr>
              <w:t>017</w:t>
            </w:r>
          </w:p>
        </w:tc>
        <w:tc>
          <w:tcPr>
            <w:tcW w:w="1470" w:type="dxa"/>
            <w:shd w:val="clear" w:color="auto" w:fill="auto"/>
            <w:vAlign w:val="bottom"/>
          </w:tcPr>
          <w:p w14:paraId="04B1BEAB" w14:textId="77777777" w:rsidR="00DB52C8" w:rsidRPr="00E62AB4" w:rsidRDefault="00DB52C8" w:rsidP="004A01CB">
            <w:pPr>
              <w:spacing w:before="40" w:after="40" w:line="210" w:lineRule="exact"/>
              <w:ind w:left="113"/>
              <w:jc w:val="right"/>
              <w:rPr>
                <w:sz w:val="18"/>
              </w:rPr>
            </w:pPr>
            <w:r w:rsidRPr="00E62AB4">
              <w:rPr>
                <w:sz w:val="18"/>
              </w:rPr>
              <w:t>6,4</w:t>
            </w:r>
          </w:p>
        </w:tc>
      </w:tr>
      <w:tr w:rsidR="00E62AB4" w:rsidRPr="00E62AB4" w14:paraId="07E68324" w14:textId="77777777" w:rsidTr="00E62AB4">
        <w:trPr>
          <w:trHeight w:val="240"/>
        </w:trPr>
        <w:tc>
          <w:tcPr>
            <w:tcW w:w="1418" w:type="dxa"/>
            <w:shd w:val="clear" w:color="auto" w:fill="auto"/>
          </w:tcPr>
          <w:p w14:paraId="54E540DB" w14:textId="77777777" w:rsidR="00DB52C8" w:rsidRPr="00E62AB4" w:rsidRDefault="00DB52C8" w:rsidP="004A01CB">
            <w:pPr>
              <w:spacing w:before="40" w:after="40" w:line="210" w:lineRule="exact"/>
              <w:rPr>
                <w:sz w:val="18"/>
              </w:rPr>
            </w:pPr>
            <w:r w:rsidRPr="00E62AB4">
              <w:rPr>
                <w:sz w:val="18"/>
              </w:rPr>
              <w:t>De 10 a 14</w:t>
            </w:r>
          </w:p>
        </w:tc>
        <w:tc>
          <w:tcPr>
            <w:tcW w:w="1559" w:type="dxa"/>
            <w:shd w:val="clear" w:color="auto" w:fill="auto"/>
            <w:vAlign w:val="bottom"/>
          </w:tcPr>
          <w:p w14:paraId="79F5E699" w14:textId="667A8EBA"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397</w:t>
            </w:r>
            <w:r w:rsidR="00E62AB4">
              <w:rPr>
                <w:sz w:val="18"/>
              </w:rPr>
              <w:t xml:space="preserve"> </w:t>
            </w:r>
            <w:r w:rsidRPr="00E62AB4">
              <w:rPr>
                <w:sz w:val="18"/>
              </w:rPr>
              <w:t>183</w:t>
            </w:r>
          </w:p>
        </w:tc>
        <w:tc>
          <w:tcPr>
            <w:tcW w:w="1295" w:type="dxa"/>
            <w:shd w:val="clear" w:color="auto" w:fill="auto"/>
            <w:vAlign w:val="bottom"/>
          </w:tcPr>
          <w:p w14:paraId="699C8200" w14:textId="77777777" w:rsidR="00DB52C8" w:rsidRPr="00E62AB4" w:rsidRDefault="00DB52C8" w:rsidP="004A01CB">
            <w:pPr>
              <w:spacing w:before="40" w:after="40" w:line="210" w:lineRule="exact"/>
              <w:ind w:left="113"/>
              <w:jc w:val="right"/>
              <w:rPr>
                <w:sz w:val="18"/>
              </w:rPr>
            </w:pPr>
            <w:r w:rsidRPr="00E62AB4">
              <w:rPr>
                <w:sz w:val="18"/>
              </w:rPr>
              <w:t>6,06</w:t>
            </w:r>
          </w:p>
        </w:tc>
        <w:tc>
          <w:tcPr>
            <w:tcW w:w="1628" w:type="dxa"/>
            <w:shd w:val="clear" w:color="auto" w:fill="auto"/>
            <w:vAlign w:val="bottom"/>
          </w:tcPr>
          <w:p w14:paraId="3434351C" w14:textId="6BBA6365"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638</w:t>
            </w:r>
            <w:r w:rsidR="00E62AB4">
              <w:rPr>
                <w:sz w:val="18"/>
              </w:rPr>
              <w:t xml:space="preserve"> </w:t>
            </w:r>
            <w:r w:rsidRPr="00E62AB4">
              <w:rPr>
                <w:sz w:val="18"/>
              </w:rPr>
              <w:t>721</w:t>
            </w:r>
          </w:p>
        </w:tc>
        <w:tc>
          <w:tcPr>
            <w:tcW w:w="1470" w:type="dxa"/>
            <w:shd w:val="clear" w:color="auto" w:fill="auto"/>
            <w:vAlign w:val="bottom"/>
          </w:tcPr>
          <w:p w14:paraId="51E6375B" w14:textId="77777777" w:rsidR="00DB52C8" w:rsidRPr="00E62AB4" w:rsidRDefault="00DB52C8" w:rsidP="004A01CB">
            <w:pPr>
              <w:spacing w:before="40" w:after="40" w:line="210" w:lineRule="exact"/>
              <w:ind w:left="113"/>
              <w:jc w:val="right"/>
              <w:rPr>
                <w:sz w:val="18"/>
              </w:rPr>
            </w:pPr>
            <w:r w:rsidRPr="00E62AB4">
              <w:rPr>
                <w:sz w:val="18"/>
              </w:rPr>
              <w:t>6,5</w:t>
            </w:r>
          </w:p>
        </w:tc>
      </w:tr>
      <w:tr w:rsidR="00E62AB4" w:rsidRPr="00E62AB4" w14:paraId="636634E0" w14:textId="77777777" w:rsidTr="00E62AB4">
        <w:trPr>
          <w:trHeight w:val="240"/>
        </w:trPr>
        <w:tc>
          <w:tcPr>
            <w:tcW w:w="1418" w:type="dxa"/>
            <w:shd w:val="clear" w:color="auto" w:fill="auto"/>
          </w:tcPr>
          <w:p w14:paraId="3141B0D4" w14:textId="77777777" w:rsidR="00DB52C8" w:rsidRPr="00E62AB4" w:rsidRDefault="00DB52C8" w:rsidP="004A01CB">
            <w:pPr>
              <w:spacing w:before="40" w:after="40" w:line="210" w:lineRule="exact"/>
              <w:rPr>
                <w:sz w:val="18"/>
              </w:rPr>
            </w:pPr>
            <w:r w:rsidRPr="00E62AB4">
              <w:rPr>
                <w:sz w:val="18"/>
              </w:rPr>
              <w:t>De 15 a 19</w:t>
            </w:r>
          </w:p>
        </w:tc>
        <w:tc>
          <w:tcPr>
            <w:tcW w:w="1559" w:type="dxa"/>
            <w:shd w:val="clear" w:color="auto" w:fill="auto"/>
            <w:vAlign w:val="bottom"/>
          </w:tcPr>
          <w:p w14:paraId="40298A0F" w14:textId="0B40E15B"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421</w:t>
            </w:r>
            <w:r w:rsidR="00E62AB4">
              <w:rPr>
                <w:sz w:val="18"/>
              </w:rPr>
              <w:t xml:space="preserve"> </w:t>
            </w:r>
            <w:r w:rsidRPr="00E62AB4">
              <w:rPr>
                <w:sz w:val="18"/>
              </w:rPr>
              <w:t>595</w:t>
            </w:r>
          </w:p>
        </w:tc>
        <w:tc>
          <w:tcPr>
            <w:tcW w:w="1295" w:type="dxa"/>
            <w:shd w:val="clear" w:color="auto" w:fill="auto"/>
            <w:vAlign w:val="bottom"/>
          </w:tcPr>
          <w:p w14:paraId="14A24183" w14:textId="77777777" w:rsidR="00DB52C8" w:rsidRPr="00E62AB4" w:rsidRDefault="00DB52C8" w:rsidP="004A01CB">
            <w:pPr>
              <w:spacing w:before="40" w:after="40" w:line="210" w:lineRule="exact"/>
              <w:ind w:left="113"/>
              <w:jc w:val="right"/>
              <w:rPr>
                <w:sz w:val="18"/>
              </w:rPr>
            </w:pPr>
            <w:r w:rsidRPr="00E62AB4">
              <w:rPr>
                <w:sz w:val="18"/>
              </w:rPr>
              <w:t>5,97</w:t>
            </w:r>
          </w:p>
        </w:tc>
        <w:tc>
          <w:tcPr>
            <w:tcW w:w="1628" w:type="dxa"/>
            <w:shd w:val="clear" w:color="auto" w:fill="auto"/>
            <w:vAlign w:val="bottom"/>
          </w:tcPr>
          <w:p w14:paraId="2FB7ECD2" w14:textId="6D297A7E"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533</w:t>
            </w:r>
            <w:r w:rsidR="00E62AB4">
              <w:rPr>
                <w:sz w:val="18"/>
              </w:rPr>
              <w:t xml:space="preserve"> </w:t>
            </w:r>
            <w:r w:rsidRPr="00E62AB4">
              <w:rPr>
                <w:sz w:val="18"/>
              </w:rPr>
              <w:t>583</w:t>
            </w:r>
          </w:p>
        </w:tc>
        <w:tc>
          <w:tcPr>
            <w:tcW w:w="1470" w:type="dxa"/>
            <w:shd w:val="clear" w:color="auto" w:fill="auto"/>
            <w:vAlign w:val="bottom"/>
          </w:tcPr>
          <w:p w14:paraId="3E0510E7" w14:textId="77777777" w:rsidR="00DB52C8" w:rsidRPr="00E62AB4" w:rsidRDefault="00DB52C8" w:rsidP="004A01CB">
            <w:pPr>
              <w:spacing w:before="40" w:after="40" w:line="210" w:lineRule="exact"/>
              <w:ind w:left="113"/>
              <w:jc w:val="right"/>
              <w:rPr>
                <w:sz w:val="18"/>
              </w:rPr>
            </w:pPr>
            <w:r w:rsidRPr="00E62AB4">
              <w:rPr>
                <w:sz w:val="18"/>
              </w:rPr>
              <w:t>6,1</w:t>
            </w:r>
          </w:p>
        </w:tc>
      </w:tr>
      <w:tr w:rsidR="00E62AB4" w:rsidRPr="00E62AB4" w14:paraId="327A836B" w14:textId="77777777" w:rsidTr="00E62AB4">
        <w:trPr>
          <w:trHeight w:val="240"/>
        </w:trPr>
        <w:tc>
          <w:tcPr>
            <w:tcW w:w="1418" w:type="dxa"/>
            <w:shd w:val="clear" w:color="auto" w:fill="auto"/>
          </w:tcPr>
          <w:p w14:paraId="63074FBD" w14:textId="77777777" w:rsidR="00DB52C8" w:rsidRPr="00E62AB4" w:rsidRDefault="00DB52C8" w:rsidP="004A01CB">
            <w:pPr>
              <w:spacing w:before="40" w:after="40" w:line="210" w:lineRule="exact"/>
              <w:rPr>
                <w:sz w:val="18"/>
              </w:rPr>
            </w:pPr>
            <w:r w:rsidRPr="00E62AB4">
              <w:rPr>
                <w:sz w:val="18"/>
              </w:rPr>
              <w:t>De 20 a 24</w:t>
            </w:r>
          </w:p>
        </w:tc>
        <w:tc>
          <w:tcPr>
            <w:tcW w:w="1559" w:type="dxa"/>
            <w:shd w:val="clear" w:color="auto" w:fill="auto"/>
            <w:vAlign w:val="bottom"/>
          </w:tcPr>
          <w:p w14:paraId="2A8AE1C0" w14:textId="47523A6C"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566</w:t>
            </w:r>
            <w:r w:rsidR="00E62AB4">
              <w:rPr>
                <w:sz w:val="18"/>
              </w:rPr>
              <w:t xml:space="preserve"> </w:t>
            </w:r>
            <w:r w:rsidRPr="00E62AB4">
              <w:rPr>
                <w:sz w:val="18"/>
              </w:rPr>
              <w:t xml:space="preserve">793 </w:t>
            </w:r>
          </w:p>
        </w:tc>
        <w:tc>
          <w:tcPr>
            <w:tcW w:w="1295" w:type="dxa"/>
            <w:shd w:val="clear" w:color="auto" w:fill="auto"/>
            <w:vAlign w:val="bottom"/>
          </w:tcPr>
          <w:p w14:paraId="2D033F4B" w14:textId="77777777" w:rsidR="00DB52C8" w:rsidRPr="00E62AB4" w:rsidRDefault="00DB52C8" w:rsidP="004A01CB">
            <w:pPr>
              <w:spacing w:before="40" w:after="40" w:line="210" w:lineRule="exact"/>
              <w:ind w:left="113"/>
              <w:jc w:val="right"/>
              <w:rPr>
                <w:sz w:val="18"/>
              </w:rPr>
            </w:pPr>
            <w:r w:rsidRPr="00E62AB4">
              <w:rPr>
                <w:sz w:val="18"/>
              </w:rPr>
              <w:t>6,96</w:t>
            </w:r>
          </w:p>
        </w:tc>
        <w:tc>
          <w:tcPr>
            <w:tcW w:w="1628" w:type="dxa"/>
            <w:shd w:val="clear" w:color="auto" w:fill="auto"/>
            <w:vAlign w:val="bottom"/>
          </w:tcPr>
          <w:p w14:paraId="709FF117" w14:textId="337BEDAA"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637</w:t>
            </w:r>
            <w:r w:rsidR="00E62AB4">
              <w:rPr>
                <w:sz w:val="18"/>
              </w:rPr>
              <w:t xml:space="preserve"> </w:t>
            </w:r>
            <w:r w:rsidRPr="00E62AB4">
              <w:rPr>
                <w:sz w:val="18"/>
              </w:rPr>
              <w:t>036</w:t>
            </w:r>
          </w:p>
        </w:tc>
        <w:tc>
          <w:tcPr>
            <w:tcW w:w="1470" w:type="dxa"/>
            <w:shd w:val="clear" w:color="auto" w:fill="auto"/>
            <w:vAlign w:val="bottom"/>
          </w:tcPr>
          <w:p w14:paraId="42F0FF2F" w14:textId="77777777" w:rsidR="00DB52C8" w:rsidRPr="00E62AB4" w:rsidRDefault="00DB52C8" w:rsidP="004A01CB">
            <w:pPr>
              <w:spacing w:before="40" w:after="40" w:line="210" w:lineRule="exact"/>
              <w:ind w:left="113"/>
              <w:jc w:val="right"/>
              <w:rPr>
                <w:sz w:val="18"/>
              </w:rPr>
            </w:pPr>
            <w:r w:rsidRPr="00E62AB4">
              <w:rPr>
                <w:sz w:val="18"/>
              </w:rPr>
              <w:t>6,6</w:t>
            </w:r>
          </w:p>
        </w:tc>
      </w:tr>
      <w:tr w:rsidR="00E62AB4" w:rsidRPr="00E62AB4" w14:paraId="63ED64FA" w14:textId="77777777" w:rsidTr="00E62AB4">
        <w:trPr>
          <w:trHeight w:val="240"/>
        </w:trPr>
        <w:tc>
          <w:tcPr>
            <w:tcW w:w="1418" w:type="dxa"/>
            <w:shd w:val="clear" w:color="auto" w:fill="auto"/>
          </w:tcPr>
          <w:p w14:paraId="21107571" w14:textId="77777777" w:rsidR="00DB52C8" w:rsidRPr="00E62AB4" w:rsidRDefault="00DB52C8" w:rsidP="004A01CB">
            <w:pPr>
              <w:spacing w:before="40" w:after="40" w:line="210" w:lineRule="exact"/>
              <w:rPr>
                <w:sz w:val="18"/>
              </w:rPr>
            </w:pPr>
            <w:r w:rsidRPr="00E62AB4">
              <w:rPr>
                <w:sz w:val="18"/>
              </w:rPr>
              <w:t>De 25 a 29</w:t>
            </w:r>
          </w:p>
        </w:tc>
        <w:tc>
          <w:tcPr>
            <w:tcW w:w="1559" w:type="dxa"/>
            <w:shd w:val="clear" w:color="auto" w:fill="auto"/>
            <w:vAlign w:val="bottom"/>
          </w:tcPr>
          <w:p w14:paraId="0F76342A" w14:textId="509421BD"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664</w:t>
            </w:r>
            <w:r w:rsidR="00E62AB4">
              <w:rPr>
                <w:sz w:val="18"/>
              </w:rPr>
              <w:t xml:space="preserve"> </w:t>
            </w:r>
            <w:r w:rsidRPr="00E62AB4">
              <w:rPr>
                <w:sz w:val="18"/>
              </w:rPr>
              <w:t xml:space="preserve">602 </w:t>
            </w:r>
          </w:p>
        </w:tc>
        <w:tc>
          <w:tcPr>
            <w:tcW w:w="1295" w:type="dxa"/>
            <w:shd w:val="clear" w:color="auto" w:fill="auto"/>
            <w:vAlign w:val="bottom"/>
          </w:tcPr>
          <w:p w14:paraId="44BBE701" w14:textId="77777777" w:rsidR="00DB52C8" w:rsidRPr="00E62AB4" w:rsidRDefault="00DB52C8" w:rsidP="004A01CB">
            <w:pPr>
              <w:spacing w:before="40" w:after="40" w:line="210" w:lineRule="exact"/>
              <w:ind w:left="113"/>
              <w:jc w:val="right"/>
              <w:rPr>
                <w:sz w:val="18"/>
              </w:rPr>
            </w:pPr>
            <w:r w:rsidRPr="00E62AB4">
              <w:rPr>
                <w:sz w:val="18"/>
              </w:rPr>
              <w:t>7,51</w:t>
            </w:r>
          </w:p>
        </w:tc>
        <w:tc>
          <w:tcPr>
            <w:tcW w:w="1628" w:type="dxa"/>
            <w:shd w:val="clear" w:color="auto" w:fill="auto"/>
            <w:vAlign w:val="bottom"/>
          </w:tcPr>
          <w:p w14:paraId="7799F098" w14:textId="0B5DDF6B"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824</w:t>
            </w:r>
            <w:r w:rsidR="00E62AB4">
              <w:rPr>
                <w:sz w:val="18"/>
              </w:rPr>
              <w:t xml:space="preserve"> </w:t>
            </w:r>
            <w:r w:rsidRPr="00E62AB4">
              <w:rPr>
                <w:sz w:val="18"/>
              </w:rPr>
              <w:t>957</w:t>
            </w:r>
          </w:p>
        </w:tc>
        <w:tc>
          <w:tcPr>
            <w:tcW w:w="1470" w:type="dxa"/>
            <w:shd w:val="clear" w:color="auto" w:fill="auto"/>
            <w:vAlign w:val="bottom"/>
          </w:tcPr>
          <w:p w14:paraId="67AFF240" w14:textId="77777777" w:rsidR="00DB52C8" w:rsidRPr="00E62AB4" w:rsidRDefault="00DB52C8" w:rsidP="004A01CB">
            <w:pPr>
              <w:spacing w:before="40" w:after="40" w:line="210" w:lineRule="exact"/>
              <w:ind w:left="113"/>
              <w:jc w:val="right"/>
              <w:rPr>
                <w:sz w:val="18"/>
              </w:rPr>
            </w:pPr>
            <w:r w:rsidRPr="00E62AB4">
              <w:rPr>
                <w:sz w:val="18"/>
              </w:rPr>
              <w:t>7,2</w:t>
            </w:r>
          </w:p>
        </w:tc>
      </w:tr>
      <w:tr w:rsidR="00E62AB4" w:rsidRPr="00E62AB4" w14:paraId="65A9B1E1" w14:textId="77777777" w:rsidTr="00E62AB4">
        <w:trPr>
          <w:trHeight w:val="240"/>
        </w:trPr>
        <w:tc>
          <w:tcPr>
            <w:tcW w:w="1418" w:type="dxa"/>
            <w:shd w:val="clear" w:color="auto" w:fill="auto"/>
          </w:tcPr>
          <w:p w14:paraId="2547C1F5" w14:textId="77777777" w:rsidR="00DB52C8" w:rsidRPr="00E62AB4" w:rsidRDefault="00DB52C8" w:rsidP="004A01CB">
            <w:pPr>
              <w:spacing w:before="40" w:after="40" w:line="210" w:lineRule="exact"/>
              <w:rPr>
                <w:sz w:val="18"/>
              </w:rPr>
            </w:pPr>
            <w:r w:rsidRPr="00E62AB4">
              <w:rPr>
                <w:sz w:val="18"/>
              </w:rPr>
              <w:t>De 30 a 34</w:t>
            </w:r>
          </w:p>
        </w:tc>
        <w:tc>
          <w:tcPr>
            <w:tcW w:w="1559" w:type="dxa"/>
            <w:shd w:val="clear" w:color="auto" w:fill="auto"/>
            <w:vAlign w:val="bottom"/>
          </w:tcPr>
          <w:p w14:paraId="4CE8A680" w14:textId="50D95B11"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703</w:t>
            </w:r>
            <w:r w:rsidR="00E62AB4">
              <w:rPr>
                <w:sz w:val="18"/>
              </w:rPr>
              <w:t xml:space="preserve"> </w:t>
            </w:r>
            <w:r w:rsidRPr="00E62AB4">
              <w:rPr>
                <w:sz w:val="18"/>
              </w:rPr>
              <w:t xml:space="preserve">847 </w:t>
            </w:r>
          </w:p>
        </w:tc>
        <w:tc>
          <w:tcPr>
            <w:tcW w:w="1295" w:type="dxa"/>
            <w:shd w:val="clear" w:color="auto" w:fill="auto"/>
            <w:vAlign w:val="bottom"/>
          </w:tcPr>
          <w:p w14:paraId="144855D1" w14:textId="77777777" w:rsidR="00DB52C8" w:rsidRPr="00E62AB4" w:rsidRDefault="00DB52C8" w:rsidP="004A01CB">
            <w:pPr>
              <w:spacing w:before="40" w:after="40" w:line="210" w:lineRule="exact"/>
              <w:ind w:left="113"/>
              <w:jc w:val="right"/>
              <w:rPr>
                <w:sz w:val="18"/>
              </w:rPr>
            </w:pPr>
            <w:r w:rsidRPr="00E62AB4">
              <w:rPr>
                <w:sz w:val="18"/>
              </w:rPr>
              <w:t>7,45</w:t>
            </w:r>
          </w:p>
        </w:tc>
        <w:tc>
          <w:tcPr>
            <w:tcW w:w="1628" w:type="dxa"/>
            <w:shd w:val="clear" w:color="auto" w:fill="auto"/>
            <w:vAlign w:val="bottom"/>
          </w:tcPr>
          <w:p w14:paraId="3610FA2F" w14:textId="2084C6B5"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914</w:t>
            </w:r>
            <w:r w:rsidR="00E62AB4">
              <w:rPr>
                <w:sz w:val="18"/>
              </w:rPr>
              <w:t xml:space="preserve"> </w:t>
            </w:r>
            <w:r w:rsidRPr="00E62AB4">
              <w:rPr>
                <w:sz w:val="18"/>
              </w:rPr>
              <w:t>394</w:t>
            </w:r>
          </w:p>
        </w:tc>
        <w:tc>
          <w:tcPr>
            <w:tcW w:w="1470" w:type="dxa"/>
            <w:shd w:val="clear" w:color="auto" w:fill="auto"/>
            <w:vAlign w:val="bottom"/>
          </w:tcPr>
          <w:p w14:paraId="445AACF3" w14:textId="77777777" w:rsidR="00DB52C8" w:rsidRPr="00E62AB4" w:rsidRDefault="00DB52C8" w:rsidP="004A01CB">
            <w:pPr>
              <w:spacing w:before="40" w:after="40" w:line="210" w:lineRule="exact"/>
              <w:ind w:left="113"/>
              <w:jc w:val="right"/>
              <w:rPr>
                <w:sz w:val="18"/>
              </w:rPr>
            </w:pPr>
            <w:r w:rsidRPr="00E62AB4">
              <w:rPr>
                <w:sz w:val="18"/>
              </w:rPr>
              <w:t>7,3</w:t>
            </w:r>
          </w:p>
        </w:tc>
      </w:tr>
      <w:tr w:rsidR="00E62AB4" w:rsidRPr="00E62AB4" w14:paraId="63AE8DD4" w14:textId="77777777" w:rsidTr="00E62AB4">
        <w:trPr>
          <w:trHeight w:val="240"/>
        </w:trPr>
        <w:tc>
          <w:tcPr>
            <w:tcW w:w="1418" w:type="dxa"/>
            <w:shd w:val="clear" w:color="auto" w:fill="auto"/>
          </w:tcPr>
          <w:p w14:paraId="3A19E925" w14:textId="77777777" w:rsidR="00DB52C8" w:rsidRPr="00E62AB4" w:rsidRDefault="00DB52C8" w:rsidP="004A01CB">
            <w:pPr>
              <w:spacing w:before="40" w:after="40" w:line="210" w:lineRule="exact"/>
              <w:rPr>
                <w:sz w:val="18"/>
              </w:rPr>
            </w:pPr>
            <w:r w:rsidRPr="00E62AB4">
              <w:rPr>
                <w:sz w:val="18"/>
              </w:rPr>
              <w:t>De 35 a 39</w:t>
            </w:r>
          </w:p>
        </w:tc>
        <w:tc>
          <w:tcPr>
            <w:tcW w:w="1559" w:type="dxa"/>
            <w:shd w:val="clear" w:color="auto" w:fill="auto"/>
            <w:vAlign w:val="bottom"/>
          </w:tcPr>
          <w:p w14:paraId="0F11F335" w14:textId="47C5C3F7"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561</w:t>
            </w:r>
            <w:r w:rsidR="00E62AB4">
              <w:rPr>
                <w:sz w:val="18"/>
              </w:rPr>
              <w:t xml:space="preserve"> </w:t>
            </w:r>
            <w:r w:rsidRPr="00E62AB4">
              <w:rPr>
                <w:sz w:val="18"/>
              </w:rPr>
              <w:t xml:space="preserve">679 </w:t>
            </w:r>
          </w:p>
        </w:tc>
        <w:tc>
          <w:tcPr>
            <w:tcW w:w="1295" w:type="dxa"/>
            <w:shd w:val="clear" w:color="auto" w:fill="auto"/>
            <w:vAlign w:val="bottom"/>
          </w:tcPr>
          <w:p w14:paraId="3EABE5A9" w14:textId="77777777" w:rsidR="00DB52C8" w:rsidRPr="00E62AB4" w:rsidRDefault="00DB52C8" w:rsidP="004A01CB">
            <w:pPr>
              <w:spacing w:before="40" w:after="40" w:line="210" w:lineRule="exact"/>
              <w:ind w:left="113"/>
              <w:jc w:val="right"/>
              <w:rPr>
                <w:sz w:val="18"/>
              </w:rPr>
            </w:pPr>
            <w:r w:rsidRPr="00E62AB4">
              <w:rPr>
                <w:sz w:val="18"/>
              </w:rPr>
              <w:t>6,89</w:t>
            </w:r>
          </w:p>
        </w:tc>
        <w:tc>
          <w:tcPr>
            <w:tcW w:w="1628" w:type="dxa"/>
            <w:shd w:val="clear" w:color="auto" w:fill="auto"/>
            <w:vAlign w:val="bottom"/>
          </w:tcPr>
          <w:p w14:paraId="63966114" w14:textId="0FDD761B"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894</w:t>
            </w:r>
            <w:r w:rsidR="00E62AB4">
              <w:rPr>
                <w:sz w:val="18"/>
              </w:rPr>
              <w:t xml:space="preserve"> </w:t>
            </w:r>
            <w:r w:rsidRPr="00E62AB4">
              <w:rPr>
                <w:sz w:val="18"/>
              </w:rPr>
              <w:t>010</w:t>
            </w:r>
          </w:p>
        </w:tc>
        <w:tc>
          <w:tcPr>
            <w:tcW w:w="1470" w:type="dxa"/>
            <w:shd w:val="clear" w:color="auto" w:fill="auto"/>
            <w:vAlign w:val="bottom"/>
          </w:tcPr>
          <w:p w14:paraId="1B17308F" w14:textId="77777777" w:rsidR="00DB52C8" w:rsidRPr="00E62AB4" w:rsidRDefault="00DB52C8" w:rsidP="004A01CB">
            <w:pPr>
              <w:spacing w:before="40" w:after="40" w:line="210" w:lineRule="exact"/>
              <w:ind w:left="113"/>
              <w:jc w:val="right"/>
              <w:rPr>
                <w:sz w:val="18"/>
              </w:rPr>
            </w:pPr>
            <w:r w:rsidRPr="00E62AB4">
              <w:rPr>
                <w:sz w:val="18"/>
              </w:rPr>
              <w:t>7,3</w:t>
            </w:r>
          </w:p>
        </w:tc>
      </w:tr>
      <w:tr w:rsidR="00E62AB4" w:rsidRPr="00E62AB4" w14:paraId="13C4C47B" w14:textId="77777777" w:rsidTr="00E62AB4">
        <w:trPr>
          <w:trHeight w:val="240"/>
        </w:trPr>
        <w:tc>
          <w:tcPr>
            <w:tcW w:w="1418" w:type="dxa"/>
            <w:shd w:val="clear" w:color="auto" w:fill="auto"/>
          </w:tcPr>
          <w:p w14:paraId="3A83DA7A" w14:textId="77777777" w:rsidR="00DB52C8" w:rsidRPr="00E62AB4" w:rsidRDefault="00DB52C8" w:rsidP="004A01CB">
            <w:pPr>
              <w:spacing w:before="40" w:after="40" w:line="210" w:lineRule="exact"/>
              <w:rPr>
                <w:sz w:val="18"/>
              </w:rPr>
            </w:pPr>
            <w:r w:rsidRPr="00E62AB4">
              <w:rPr>
                <w:sz w:val="18"/>
              </w:rPr>
              <w:t>De 40 a 44</w:t>
            </w:r>
          </w:p>
        </w:tc>
        <w:tc>
          <w:tcPr>
            <w:tcW w:w="1559" w:type="dxa"/>
            <w:shd w:val="clear" w:color="auto" w:fill="auto"/>
            <w:vAlign w:val="bottom"/>
          </w:tcPr>
          <w:p w14:paraId="6F6159B4" w14:textId="35693413"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583</w:t>
            </w:r>
            <w:r w:rsidR="00E62AB4">
              <w:rPr>
                <w:sz w:val="18"/>
              </w:rPr>
              <w:t xml:space="preserve"> </w:t>
            </w:r>
            <w:r w:rsidRPr="00E62AB4">
              <w:rPr>
                <w:sz w:val="18"/>
              </w:rPr>
              <w:t>257</w:t>
            </w:r>
          </w:p>
        </w:tc>
        <w:tc>
          <w:tcPr>
            <w:tcW w:w="1295" w:type="dxa"/>
            <w:shd w:val="clear" w:color="auto" w:fill="auto"/>
            <w:vAlign w:val="bottom"/>
          </w:tcPr>
          <w:p w14:paraId="04BB3100" w14:textId="77777777" w:rsidR="00DB52C8" w:rsidRPr="00E62AB4" w:rsidRDefault="00DB52C8" w:rsidP="004A01CB">
            <w:pPr>
              <w:spacing w:before="40" w:after="40" w:line="210" w:lineRule="exact"/>
              <w:ind w:left="113"/>
              <w:jc w:val="right"/>
              <w:rPr>
                <w:sz w:val="18"/>
              </w:rPr>
            </w:pPr>
            <w:r w:rsidRPr="00E62AB4">
              <w:rPr>
                <w:sz w:val="18"/>
              </w:rPr>
              <w:t>6,38</w:t>
            </w:r>
          </w:p>
        </w:tc>
        <w:tc>
          <w:tcPr>
            <w:tcW w:w="1628" w:type="dxa"/>
            <w:shd w:val="clear" w:color="auto" w:fill="auto"/>
            <w:vAlign w:val="bottom"/>
          </w:tcPr>
          <w:p w14:paraId="1C5381FA" w14:textId="06B2B189"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704</w:t>
            </w:r>
            <w:r w:rsidR="00E62AB4">
              <w:rPr>
                <w:sz w:val="18"/>
              </w:rPr>
              <w:t xml:space="preserve"> </w:t>
            </w:r>
            <w:r w:rsidRPr="00E62AB4">
              <w:rPr>
                <w:sz w:val="18"/>
              </w:rPr>
              <w:t>611</w:t>
            </w:r>
          </w:p>
        </w:tc>
        <w:tc>
          <w:tcPr>
            <w:tcW w:w="1470" w:type="dxa"/>
            <w:shd w:val="clear" w:color="auto" w:fill="auto"/>
            <w:vAlign w:val="bottom"/>
          </w:tcPr>
          <w:p w14:paraId="4AAE1768" w14:textId="77777777" w:rsidR="00DB52C8" w:rsidRPr="00E62AB4" w:rsidRDefault="00DB52C8" w:rsidP="004A01CB">
            <w:pPr>
              <w:spacing w:before="40" w:after="40" w:line="210" w:lineRule="exact"/>
              <w:ind w:left="113"/>
              <w:jc w:val="right"/>
              <w:rPr>
                <w:sz w:val="18"/>
              </w:rPr>
            </w:pPr>
            <w:r w:rsidRPr="00E62AB4">
              <w:rPr>
                <w:sz w:val="18"/>
              </w:rPr>
              <w:t>6,5</w:t>
            </w:r>
          </w:p>
        </w:tc>
      </w:tr>
      <w:tr w:rsidR="00E62AB4" w:rsidRPr="00E62AB4" w14:paraId="0DEDC550" w14:textId="77777777" w:rsidTr="00E62AB4">
        <w:trPr>
          <w:trHeight w:val="240"/>
        </w:trPr>
        <w:tc>
          <w:tcPr>
            <w:tcW w:w="1418" w:type="dxa"/>
            <w:shd w:val="clear" w:color="auto" w:fill="auto"/>
          </w:tcPr>
          <w:p w14:paraId="7EB25209" w14:textId="77777777" w:rsidR="00DB52C8" w:rsidRPr="00E62AB4" w:rsidRDefault="00DB52C8" w:rsidP="004A01CB">
            <w:pPr>
              <w:spacing w:before="40" w:after="40" w:line="210" w:lineRule="exact"/>
              <w:rPr>
                <w:sz w:val="18"/>
              </w:rPr>
            </w:pPr>
            <w:r w:rsidRPr="00E62AB4">
              <w:rPr>
                <w:sz w:val="18"/>
              </w:rPr>
              <w:t>De 45 a 49</w:t>
            </w:r>
          </w:p>
        </w:tc>
        <w:tc>
          <w:tcPr>
            <w:tcW w:w="1559" w:type="dxa"/>
            <w:shd w:val="clear" w:color="auto" w:fill="auto"/>
            <w:vAlign w:val="bottom"/>
          </w:tcPr>
          <w:p w14:paraId="1A021BAF" w14:textId="7B08A286"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581</w:t>
            </w:r>
            <w:r w:rsidR="00E62AB4">
              <w:rPr>
                <w:sz w:val="18"/>
              </w:rPr>
              <w:t xml:space="preserve"> </w:t>
            </w:r>
            <w:r w:rsidRPr="00E62AB4">
              <w:rPr>
                <w:sz w:val="18"/>
              </w:rPr>
              <w:t>455</w:t>
            </w:r>
          </w:p>
        </w:tc>
        <w:tc>
          <w:tcPr>
            <w:tcW w:w="1295" w:type="dxa"/>
            <w:shd w:val="clear" w:color="auto" w:fill="auto"/>
            <w:vAlign w:val="bottom"/>
          </w:tcPr>
          <w:p w14:paraId="5DECB827" w14:textId="77777777" w:rsidR="00DB52C8" w:rsidRPr="00E62AB4" w:rsidRDefault="00DB52C8" w:rsidP="004A01CB">
            <w:pPr>
              <w:spacing w:before="40" w:after="40" w:line="210" w:lineRule="exact"/>
              <w:ind w:left="113"/>
              <w:jc w:val="right"/>
              <w:rPr>
                <w:sz w:val="18"/>
              </w:rPr>
            </w:pPr>
            <w:r w:rsidRPr="00E62AB4">
              <w:rPr>
                <w:sz w:val="18"/>
              </w:rPr>
              <w:t>6,68</w:t>
            </w:r>
          </w:p>
        </w:tc>
        <w:tc>
          <w:tcPr>
            <w:tcW w:w="1628" w:type="dxa"/>
            <w:shd w:val="clear" w:color="auto" w:fill="auto"/>
            <w:vAlign w:val="bottom"/>
          </w:tcPr>
          <w:p w14:paraId="5D61971E" w14:textId="4C45E620"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621</w:t>
            </w:r>
            <w:r w:rsidR="00E62AB4">
              <w:rPr>
                <w:sz w:val="18"/>
              </w:rPr>
              <w:t xml:space="preserve"> </w:t>
            </w:r>
            <w:r w:rsidRPr="00E62AB4">
              <w:rPr>
                <w:sz w:val="18"/>
              </w:rPr>
              <w:t>720</w:t>
            </w:r>
          </w:p>
        </w:tc>
        <w:tc>
          <w:tcPr>
            <w:tcW w:w="1470" w:type="dxa"/>
            <w:shd w:val="clear" w:color="auto" w:fill="auto"/>
            <w:vAlign w:val="bottom"/>
          </w:tcPr>
          <w:p w14:paraId="03EF49C5" w14:textId="77777777" w:rsidR="00DB52C8" w:rsidRPr="00E62AB4" w:rsidRDefault="00DB52C8" w:rsidP="004A01CB">
            <w:pPr>
              <w:spacing w:before="40" w:after="40" w:line="210" w:lineRule="exact"/>
              <w:ind w:left="113"/>
              <w:jc w:val="right"/>
              <w:rPr>
                <w:sz w:val="18"/>
              </w:rPr>
            </w:pPr>
            <w:r w:rsidRPr="00E62AB4">
              <w:rPr>
                <w:sz w:val="18"/>
              </w:rPr>
              <w:t>6,2</w:t>
            </w:r>
          </w:p>
        </w:tc>
      </w:tr>
      <w:tr w:rsidR="00E62AB4" w:rsidRPr="00E62AB4" w14:paraId="5B9FF6C8" w14:textId="77777777" w:rsidTr="00E62AB4">
        <w:trPr>
          <w:trHeight w:val="240"/>
        </w:trPr>
        <w:tc>
          <w:tcPr>
            <w:tcW w:w="1418" w:type="dxa"/>
            <w:shd w:val="clear" w:color="auto" w:fill="auto"/>
          </w:tcPr>
          <w:p w14:paraId="75B7511F" w14:textId="77777777" w:rsidR="00DB52C8" w:rsidRPr="00E62AB4" w:rsidRDefault="00DB52C8" w:rsidP="004A01CB">
            <w:pPr>
              <w:spacing w:before="40" w:after="40" w:line="210" w:lineRule="exact"/>
              <w:rPr>
                <w:sz w:val="18"/>
              </w:rPr>
            </w:pPr>
            <w:r w:rsidRPr="00E62AB4">
              <w:rPr>
                <w:sz w:val="18"/>
              </w:rPr>
              <w:t>De 50 a 54</w:t>
            </w:r>
          </w:p>
        </w:tc>
        <w:tc>
          <w:tcPr>
            <w:tcW w:w="1559" w:type="dxa"/>
            <w:shd w:val="clear" w:color="auto" w:fill="auto"/>
            <w:vAlign w:val="bottom"/>
          </w:tcPr>
          <w:p w14:paraId="14B001E8" w14:textId="6FBBCEEA"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523</w:t>
            </w:r>
            <w:r w:rsidR="00E62AB4">
              <w:rPr>
                <w:sz w:val="18"/>
              </w:rPr>
              <w:t xml:space="preserve"> </w:t>
            </w:r>
            <w:r w:rsidRPr="00E62AB4">
              <w:rPr>
                <w:sz w:val="18"/>
              </w:rPr>
              <w:t xml:space="preserve">551 </w:t>
            </w:r>
          </w:p>
        </w:tc>
        <w:tc>
          <w:tcPr>
            <w:tcW w:w="1295" w:type="dxa"/>
            <w:shd w:val="clear" w:color="auto" w:fill="auto"/>
            <w:vAlign w:val="bottom"/>
          </w:tcPr>
          <w:p w14:paraId="3F45EDA2" w14:textId="77777777" w:rsidR="00DB52C8" w:rsidRPr="00E62AB4" w:rsidRDefault="00DB52C8" w:rsidP="004A01CB">
            <w:pPr>
              <w:spacing w:before="40" w:after="40" w:line="210" w:lineRule="exact"/>
              <w:ind w:left="113"/>
              <w:jc w:val="right"/>
              <w:rPr>
                <w:sz w:val="18"/>
              </w:rPr>
            </w:pPr>
            <w:r w:rsidRPr="00E62AB4">
              <w:rPr>
                <w:sz w:val="18"/>
              </w:rPr>
              <w:t>6,12</w:t>
            </w:r>
          </w:p>
        </w:tc>
        <w:tc>
          <w:tcPr>
            <w:tcW w:w="1628" w:type="dxa"/>
            <w:shd w:val="clear" w:color="auto" w:fill="auto"/>
            <w:vAlign w:val="bottom"/>
          </w:tcPr>
          <w:p w14:paraId="78BA3D36" w14:textId="00C1B912"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653</w:t>
            </w:r>
            <w:r w:rsidR="00E62AB4">
              <w:rPr>
                <w:sz w:val="18"/>
              </w:rPr>
              <w:t xml:space="preserve"> </w:t>
            </w:r>
            <w:r w:rsidRPr="00E62AB4">
              <w:rPr>
                <w:sz w:val="18"/>
              </w:rPr>
              <w:t>384</w:t>
            </w:r>
          </w:p>
        </w:tc>
        <w:tc>
          <w:tcPr>
            <w:tcW w:w="1470" w:type="dxa"/>
            <w:shd w:val="clear" w:color="auto" w:fill="auto"/>
            <w:vAlign w:val="bottom"/>
          </w:tcPr>
          <w:p w14:paraId="1BCB26E6" w14:textId="77777777" w:rsidR="00DB52C8" w:rsidRPr="00E62AB4" w:rsidRDefault="00DB52C8" w:rsidP="004A01CB">
            <w:pPr>
              <w:spacing w:before="40" w:after="40" w:line="210" w:lineRule="exact"/>
              <w:ind w:left="113"/>
              <w:jc w:val="right"/>
              <w:rPr>
                <w:sz w:val="18"/>
              </w:rPr>
            </w:pPr>
            <w:r w:rsidRPr="00E62AB4">
              <w:rPr>
                <w:sz w:val="18"/>
              </w:rPr>
              <w:t>6,3</w:t>
            </w:r>
          </w:p>
        </w:tc>
      </w:tr>
      <w:tr w:rsidR="00E62AB4" w:rsidRPr="00E62AB4" w14:paraId="6D825564" w14:textId="77777777" w:rsidTr="00E62AB4">
        <w:trPr>
          <w:trHeight w:val="240"/>
        </w:trPr>
        <w:tc>
          <w:tcPr>
            <w:tcW w:w="1418" w:type="dxa"/>
            <w:shd w:val="clear" w:color="auto" w:fill="auto"/>
          </w:tcPr>
          <w:p w14:paraId="22CB3D76" w14:textId="77777777" w:rsidR="00DB52C8" w:rsidRPr="00E62AB4" w:rsidRDefault="00DB52C8" w:rsidP="004A01CB">
            <w:pPr>
              <w:spacing w:before="40" w:after="40" w:line="210" w:lineRule="exact"/>
              <w:rPr>
                <w:sz w:val="18"/>
              </w:rPr>
            </w:pPr>
            <w:r w:rsidRPr="00E62AB4">
              <w:rPr>
                <w:sz w:val="18"/>
              </w:rPr>
              <w:t>De 55 a 59</w:t>
            </w:r>
          </w:p>
        </w:tc>
        <w:tc>
          <w:tcPr>
            <w:tcW w:w="1559" w:type="dxa"/>
            <w:shd w:val="clear" w:color="auto" w:fill="auto"/>
            <w:vAlign w:val="bottom"/>
          </w:tcPr>
          <w:p w14:paraId="6A01936F" w14:textId="4372FD8E"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454</w:t>
            </w:r>
            <w:r w:rsidR="00E62AB4">
              <w:rPr>
                <w:sz w:val="18"/>
              </w:rPr>
              <w:t xml:space="preserve"> </w:t>
            </w:r>
            <w:r w:rsidRPr="00E62AB4">
              <w:rPr>
                <w:sz w:val="18"/>
              </w:rPr>
              <w:t xml:space="preserve">332 </w:t>
            </w:r>
          </w:p>
        </w:tc>
        <w:tc>
          <w:tcPr>
            <w:tcW w:w="1295" w:type="dxa"/>
            <w:shd w:val="clear" w:color="auto" w:fill="auto"/>
            <w:vAlign w:val="bottom"/>
          </w:tcPr>
          <w:p w14:paraId="5981F2AC" w14:textId="77777777" w:rsidR="00DB52C8" w:rsidRPr="00E62AB4" w:rsidRDefault="00DB52C8" w:rsidP="004A01CB">
            <w:pPr>
              <w:spacing w:before="40" w:after="40" w:line="210" w:lineRule="exact"/>
              <w:ind w:left="113"/>
              <w:jc w:val="right"/>
              <w:rPr>
                <w:sz w:val="18"/>
              </w:rPr>
            </w:pPr>
            <w:r w:rsidRPr="00E62AB4">
              <w:rPr>
                <w:sz w:val="18"/>
              </w:rPr>
              <w:t>6,12</w:t>
            </w:r>
          </w:p>
        </w:tc>
        <w:tc>
          <w:tcPr>
            <w:tcW w:w="1628" w:type="dxa"/>
            <w:shd w:val="clear" w:color="auto" w:fill="auto"/>
            <w:vAlign w:val="bottom"/>
          </w:tcPr>
          <w:p w14:paraId="69479928" w14:textId="316868BA"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533</w:t>
            </w:r>
            <w:r w:rsidR="00E62AB4">
              <w:rPr>
                <w:sz w:val="18"/>
              </w:rPr>
              <w:t xml:space="preserve"> </w:t>
            </w:r>
            <w:r w:rsidRPr="00E62AB4">
              <w:rPr>
                <w:sz w:val="18"/>
              </w:rPr>
              <w:t>577</w:t>
            </w:r>
          </w:p>
        </w:tc>
        <w:tc>
          <w:tcPr>
            <w:tcW w:w="1470" w:type="dxa"/>
            <w:shd w:val="clear" w:color="auto" w:fill="auto"/>
            <w:vAlign w:val="bottom"/>
          </w:tcPr>
          <w:p w14:paraId="7ACB8A37" w14:textId="77777777" w:rsidR="00DB52C8" w:rsidRPr="00E62AB4" w:rsidRDefault="00DB52C8" w:rsidP="004A01CB">
            <w:pPr>
              <w:spacing w:before="40" w:after="40" w:line="210" w:lineRule="exact"/>
              <w:ind w:left="113"/>
              <w:jc w:val="right"/>
              <w:rPr>
                <w:sz w:val="18"/>
              </w:rPr>
            </w:pPr>
            <w:r w:rsidRPr="00E62AB4">
              <w:rPr>
                <w:sz w:val="18"/>
              </w:rPr>
              <w:t>5,8</w:t>
            </w:r>
          </w:p>
        </w:tc>
      </w:tr>
      <w:tr w:rsidR="00E62AB4" w:rsidRPr="00E62AB4" w14:paraId="4B7AA0DE" w14:textId="77777777" w:rsidTr="00E62AB4">
        <w:trPr>
          <w:trHeight w:val="240"/>
        </w:trPr>
        <w:tc>
          <w:tcPr>
            <w:tcW w:w="1418" w:type="dxa"/>
            <w:shd w:val="clear" w:color="auto" w:fill="auto"/>
          </w:tcPr>
          <w:p w14:paraId="3C12CF72" w14:textId="77777777" w:rsidR="00DB52C8" w:rsidRPr="00E62AB4" w:rsidRDefault="00DB52C8" w:rsidP="004A01CB">
            <w:pPr>
              <w:spacing w:before="40" w:after="40" w:line="210" w:lineRule="exact"/>
              <w:rPr>
                <w:sz w:val="18"/>
              </w:rPr>
            </w:pPr>
            <w:r w:rsidRPr="00E62AB4">
              <w:rPr>
                <w:sz w:val="18"/>
              </w:rPr>
              <w:t>De 60 a 64</w:t>
            </w:r>
          </w:p>
        </w:tc>
        <w:tc>
          <w:tcPr>
            <w:tcW w:w="1559" w:type="dxa"/>
            <w:shd w:val="clear" w:color="auto" w:fill="auto"/>
            <w:vAlign w:val="bottom"/>
          </w:tcPr>
          <w:p w14:paraId="38AD1478" w14:textId="7ACEAF1C"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299</w:t>
            </w:r>
            <w:r w:rsidR="00E62AB4">
              <w:rPr>
                <w:sz w:val="18"/>
              </w:rPr>
              <w:t xml:space="preserve"> </w:t>
            </w:r>
            <w:r w:rsidRPr="00E62AB4">
              <w:rPr>
                <w:sz w:val="18"/>
              </w:rPr>
              <w:t>397</w:t>
            </w:r>
          </w:p>
        </w:tc>
        <w:tc>
          <w:tcPr>
            <w:tcW w:w="1295" w:type="dxa"/>
            <w:shd w:val="clear" w:color="auto" w:fill="auto"/>
            <w:vAlign w:val="bottom"/>
          </w:tcPr>
          <w:p w14:paraId="62F70114" w14:textId="77777777" w:rsidR="00DB52C8" w:rsidRPr="00E62AB4" w:rsidRDefault="00DB52C8" w:rsidP="004A01CB">
            <w:pPr>
              <w:spacing w:before="40" w:after="40" w:line="210" w:lineRule="exact"/>
              <w:ind w:left="113"/>
              <w:jc w:val="right"/>
              <w:rPr>
                <w:sz w:val="18"/>
              </w:rPr>
            </w:pPr>
            <w:r w:rsidRPr="00E62AB4">
              <w:rPr>
                <w:sz w:val="18"/>
              </w:rPr>
              <w:t>5,44</w:t>
            </w:r>
          </w:p>
        </w:tc>
        <w:tc>
          <w:tcPr>
            <w:tcW w:w="1628" w:type="dxa"/>
            <w:shd w:val="clear" w:color="auto" w:fill="auto"/>
            <w:vAlign w:val="bottom"/>
          </w:tcPr>
          <w:p w14:paraId="38F15307" w14:textId="2C9545C7"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491</w:t>
            </w:r>
            <w:r w:rsidR="00E62AB4">
              <w:rPr>
                <w:sz w:val="18"/>
              </w:rPr>
              <w:t xml:space="preserve"> </w:t>
            </w:r>
            <w:r w:rsidRPr="00E62AB4">
              <w:rPr>
                <w:sz w:val="18"/>
              </w:rPr>
              <w:t>748</w:t>
            </w:r>
          </w:p>
        </w:tc>
        <w:tc>
          <w:tcPr>
            <w:tcW w:w="1470" w:type="dxa"/>
            <w:shd w:val="clear" w:color="auto" w:fill="auto"/>
            <w:vAlign w:val="bottom"/>
          </w:tcPr>
          <w:p w14:paraId="1D0B0990" w14:textId="77777777" w:rsidR="00DB52C8" w:rsidRPr="00E62AB4" w:rsidRDefault="00DB52C8" w:rsidP="004A01CB">
            <w:pPr>
              <w:spacing w:before="40" w:after="40" w:line="210" w:lineRule="exact"/>
              <w:ind w:left="113"/>
              <w:jc w:val="right"/>
              <w:rPr>
                <w:sz w:val="18"/>
              </w:rPr>
            </w:pPr>
            <w:r w:rsidRPr="00E62AB4">
              <w:rPr>
                <w:sz w:val="18"/>
              </w:rPr>
              <w:t>5,6</w:t>
            </w:r>
          </w:p>
        </w:tc>
      </w:tr>
      <w:tr w:rsidR="00E62AB4" w:rsidRPr="00E62AB4" w14:paraId="15931F8D" w14:textId="77777777" w:rsidTr="00E62AB4">
        <w:trPr>
          <w:trHeight w:val="240"/>
        </w:trPr>
        <w:tc>
          <w:tcPr>
            <w:tcW w:w="1418" w:type="dxa"/>
            <w:shd w:val="clear" w:color="auto" w:fill="auto"/>
          </w:tcPr>
          <w:p w14:paraId="3A7A5065" w14:textId="77777777" w:rsidR="00DB52C8" w:rsidRPr="00E62AB4" w:rsidRDefault="00DB52C8" w:rsidP="004A01CB">
            <w:pPr>
              <w:spacing w:before="40" w:after="40" w:line="210" w:lineRule="exact"/>
              <w:rPr>
                <w:sz w:val="18"/>
              </w:rPr>
            </w:pPr>
            <w:r w:rsidRPr="00E62AB4">
              <w:rPr>
                <w:sz w:val="18"/>
              </w:rPr>
              <w:t>De 65 a 69</w:t>
            </w:r>
          </w:p>
        </w:tc>
        <w:tc>
          <w:tcPr>
            <w:tcW w:w="1559" w:type="dxa"/>
            <w:shd w:val="clear" w:color="auto" w:fill="auto"/>
            <w:vAlign w:val="bottom"/>
          </w:tcPr>
          <w:p w14:paraId="016B142D" w14:textId="4086254D"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188</w:t>
            </w:r>
            <w:r w:rsidR="00E62AB4">
              <w:rPr>
                <w:sz w:val="18"/>
              </w:rPr>
              <w:t xml:space="preserve"> </w:t>
            </w:r>
            <w:r w:rsidRPr="00E62AB4">
              <w:rPr>
                <w:sz w:val="18"/>
              </w:rPr>
              <w:t xml:space="preserve">999 </w:t>
            </w:r>
          </w:p>
        </w:tc>
        <w:tc>
          <w:tcPr>
            <w:tcW w:w="1295" w:type="dxa"/>
            <w:shd w:val="clear" w:color="auto" w:fill="auto"/>
            <w:vAlign w:val="bottom"/>
          </w:tcPr>
          <w:p w14:paraId="03F1C1E4" w14:textId="77777777" w:rsidR="00DB52C8" w:rsidRPr="00E62AB4" w:rsidRDefault="00DB52C8" w:rsidP="004A01CB">
            <w:pPr>
              <w:spacing w:before="40" w:after="40" w:line="210" w:lineRule="exact"/>
              <w:ind w:left="113"/>
              <w:jc w:val="right"/>
              <w:rPr>
                <w:sz w:val="18"/>
              </w:rPr>
            </w:pPr>
            <w:r w:rsidRPr="00E62AB4">
              <w:rPr>
                <w:sz w:val="18"/>
              </w:rPr>
              <w:t>4,83</w:t>
            </w:r>
          </w:p>
        </w:tc>
        <w:tc>
          <w:tcPr>
            <w:tcW w:w="1628" w:type="dxa"/>
            <w:shd w:val="clear" w:color="auto" w:fill="auto"/>
            <w:vAlign w:val="bottom"/>
          </w:tcPr>
          <w:p w14:paraId="6CA7FC80" w14:textId="1B4DD158"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302</w:t>
            </w:r>
            <w:r w:rsidR="00E62AB4">
              <w:rPr>
                <w:sz w:val="18"/>
              </w:rPr>
              <w:t xml:space="preserve"> </w:t>
            </w:r>
            <w:r w:rsidRPr="00E62AB4">
              <w:rPr>
                <w:sz w:val="18"/>
              </w:rPr>
              <w:t>214</w:t>
            </w:r>
          </w:p>
        </w:tc>
        <w:tc>
          <w:tcPr>
            <w:tcW w:w="1470" w:type="dxa"/>
            <w:shd w:val="clear" w:color="auto" w:fill="auto"/>
            <w:vAlign w:val="bottom"/>
          </w:tcPr>
          <w:p w14:paraId="038EBA70" w14:textId="77777777" w:rsidR="00DB52C8" w:rsidRPr="00E62AB4" w:rsidRDefault="00DB52C8" w:rsidP="004A01CB">
            <w:pPr>
              <w:spacing w:before="40" w:after="40" w:line="210" w:lineRule="exact"/>
              <w:ind w:left="113"/>
              <w:jc w:val="right"/>
              <w:rPr>
                <w:sz w:val="18"/>
              </w:rPr>
            </w:pPr>
            <w:r w:rsidRPr="00E62AB4">
              <w:rPr>
                <w:sz w:val="18"/>
              </w:rPr>
              <w:t>4,9</w:t>
            </w:r>
          </w:p>
        </w:tc>
      </w:tr>
      <w:tr w:rsidR="00E62AB4" w:rsidRPr="00E62AB4" w14:paraId="2151AE2F" w14:textId="77777777" w:rsidTr="00E62AB4">
        <w:trPr>
          <w:trHeight w:val="240"/>
        </w:trPr>
        <w:tc>
          <w:tcPr>
            <w:tcW w:w="1418" w:type="dxa"/>
            <w:shd w:val="clear" w:color="auto" w:fill="auto"/>
          </w:tcPr>
          <w:p w14:paraId="482E14ED" w14:textId="77777777" w:rsidR="00DB52C8" w:rsidRPr="00E62AB4" w:rsidRDefault="00DB52C8" w:rsidP="004A01CB">
            <w:pPr>
              <w:spacing w:before="40" w:after="40" w:line="210" w:lineRule="exact"/>
              <w:rPr>
                <w:sz w:val="18"/>
              </w:rPr>
            </w:pPr>
            <w:r w:rsidRPr="00E62AB4">
              <w:rPr>
                <w:sz w:val="18"/>
              </w:rPr>
              <w:t>De 70 a 74</w:t>
            </w:r>
          </w:p>
        </w:tc>
        <w:tc>
          <w:tcPr>
            <w:tcW w:w="1559" w:type="dxa"/>
            <w:shd w:val="clear" w:color="auto" w:fill="auto"/>
            <w:vAlign w:val="bottom"/>
          </w:tcPr>
          <w:p w14:paraId="2AE5A47C" w14:textId="1DCB7505" w:rsidR="00DB52C8" w:rsidRPr="00E62AB4" w:rsidRDefault="00DB52C8" w:rsidP="004A01CB">
            <w:pPr>
              <w:spacing w:before="40" w:after="40" w:line="210" w:lineRule="exact"/>
              <w:ind w:left="113"/>
              <w:jc w:val="right"/>
              <w:rPr>
                <w:sz w:val="18"/>
              </w:rPr>
            </w:pPr>
            <w:r w:rsidRPr="00E62AB4">
              <w:rPr>
                <w:sz w:val="18"/>
              </w:rPr>
              <w:t>887</w:t>
            </w:r>
            <w:r w:rsidR="00E62AB4">
              <w:rPr>
                <w:sz w:val="18"/>
              </w:rPr>
              <w:t xml:space="preserve"> </w:t>
            </w:r>
            <w:r w:rsidRPr="00E62AB4">
              <w:rPr>
                <w:sz w:val="18"/>
              </w:rPr>
              <w:t xml:space="preserve">716 </w:t>
            </w:r>
          </w:p>
        </w:tc>
        <w:tc>
          <w:tcPr>
            <w:tcW w:w="1295" w:type="dxa"/>
            <w:shd w:val="clear" w:color="auto" w:fill="auto"/>
            <w:vAlign w:val="bottom"/>
          </w:tcPr>
          <w:p w14:paraId="46E40176" w14:textId="77777777" w:rsidR="00DB52C8" w:rsidRPr="00E62AB4" w:rsidRDefault="00DB52C8" w:rsidP="004A01CB">
            <w:pPr>
              <w:spacing w:before="40" w:after="40" w:line="210" w:lineRule="exact"/>
              <w:ind w:left="113"/>
              <w:jc w:val="right"/>
              <w:rPr>
                <w:sz w:val="18"/>
              </w:rPr>
            </w:pPr>
            <w:r w:rsidRPr="00E62AB4">
              <w:rPr>
                <w:sz w:val="18"/>
              </w:rPr>
              <w:t>4,07</w:t>
            </w:r>
          </w:p>
        </w:tc>
        <w:tc>
          <w:tcPr>
            <w:tcW w:w="1628" w:type="dxa"/>
            <w:shd w:val="clear" w:color="auto" w:fill="auto"/>
            <w:vAlign w:val="bottom"/>
          </w:tcPr>
          <w:p w14:paraId="3418F298" w14:textId="00A4D50D" w:rsidR="00DB52C8" w:rsidRPr="00E62AB4" w:rsidRDefault="00DB52C8" w:rsidP="004A01CB">
            <w:pPr>
              <w:spacing w:before="40" w:after="40" w:line="210" w:lineRule="exact"/>
              <w:ind w:left="113"/>
              <w:jc w:val="right"/>
              <w:rPr>
                <w:sz w:val="18"/>
              </w:rPr>
            </w:pPr>
            <w:r w:rsidRPr="00E62AB4">
              <w:rPr>
                <w:sz w:val="18"/>
              </w:rPr>
              <w:t>1</w:t>
            </w:r>
            <w:r w:rsidR="00E62AB4">
              <w:rPr>
                <w:sz w:val="18"/>
              </w:rPr>
              <w:t xml:space="preserve"> </w:t>
            </w:r>
            <w:r w:rsidRPr="00E62AB4">
              <w:rPr>
                <w:sz w:val="18"/>
              </w:rPr>
              <w:t>143</w:t>
            </w:r>
            <w:r w:rsidR="00E62AB4">
              <w:rPr>
                <w:sz w:val="18"/>
              </w:rPr>
              <w:t xml:space="preserve"> </w:t>
            </w:r>
            <w:r w:rsidRPr="00E62AB4">
              <w:rPr>
                <w:sz w:val="18"/>
              </w:rPr>
              <w:t>727</w:t>
            </w:r>
          </w:p>
        </w:tc>
        <w:tc>
          <w:tcPr>
            <w:tcW w:w="1470" w:type="dxa"/>
            <w:shd w:val="clear" w:color="auto" w:fill="auto"/>
            <w:vAlign w:val="bottom"/>
          </w:tcPr>
          <w:p w14:paraId="3C1F8C2F" w14:textId="77777777" w:rsidR="00DB52C8" w:rsidRPr="00E62AB4" w:rsidRDefault="00DB52C8" w:rsidP="004A01CB">
            <w:pPr>
              <w:spacing w:before="40" w:after="40" w:line="210" w:lineRule="exact"/>
              <w:ind w:left="113"/>
              <w:jc w:val="right"/>
              <w:rPr>
                <w:sz w:val="18"/>
              </w:rPr>
            </w:pPr>
            <w:r w:rsidRPr="00E62AB4">
              <w:rPr>
                <w:sz w:val="18"/>
              </w:rPr>
              <w:t>4,3</w:t>
            </w:r>
          </w:p>
        </w:tc>
      </w:tr>
      <w:tr w:rsidR="00E62AB4" w:rsidRPr="00E62AB4" w14:paraId="58DB587B" w14:textId="77777777" w:rsidTr="00E62AB4">
        <w:trPr>
          <w:trHeight w:val="240"/>
        </w:trPr>
        <w:tc>
          <w:tcPr>
            <w:tcW w:w="1418" w:type="dxa"/>
            <w:shd w:val="clear" w:color="auto" w:fill="auto"/>
          </w:tcPr>
          <w:p w14:paraId="55940303" w14:textId="77777777" w:rsidR="00DB52C8" w:rsidRPr="00E62AB4" w:rsidRDefault="00DB52C8" w:rsidP="004A01CB">
            <w:pPr>
              <w:spacing w:before="40" w:after="40" w:line="210" w:lineRule="exact"/>
              <w:rPr>
                <w:sz w:val="18"/>
              </w:rPr>
            </w:pPr>
            <w:r w:rsidRPr="00E62AB4">
              <w:rPr>
                <w:sz w:val="18"/>
              </w:rPr>
              <w:t>De 75 a 79</w:t>
            </w:r>
          </w:p>
        </w:tc>
        <w:tc>
          <w:tcPr>
            <w:tcW w:w="1559" w:type="dxa"/>
            <w:shd w:val="clear" w:color="auto" w:fill="auto"/>
            <w:vAlign w:val="bottom"/>
          </w:tcPr>
          <w:p w14:paraId="2A445DF0" w14:textId="39834387" w:rsidR="00DB52C8" w:rsidRPr="00E62AB4" w:rsidRDefault="00DB52C8" w:rsidP="004A01CB">
            <w:pPr>
              <w:spacing w:before="40" w:after="40" w:line="210" w:lineRule="exact"/>
              <w:ind w:left="113"/>
              <w:jc w:val="right"/>
              <w:rPr>
                <w:sz w:val="18"/>
              </w:rPr>
            </w:pPr>
            <w:r w:rsidRPr="00E62AB4">
              <w:rPr>
                <w:sz w:val="18"/>
              </w:rPr>
              <w:t>652</w:t>
            </w:r>
            <w:r w:rsidR="00E62AB4">
              <w:rPr>
                <w:sz w:val="18"/>
              </w:rPr>
              <w:t xml:space="preserve"> </w:t>
            </w:r>
            <w:r w:rsidRPr="00E62AB4">
              <w:rPr>
                <w:sz w:val="18"/>
              </w:rPr>
              <w:t xml:space="preserve">657 </w:t>
            </w:r>
          </w:p>
        </w:tc>
        <w:tc>
          <w:tcPr>
            <w:tcW w:w="1295" w:type="dxa"/>
            <w:shd w:val="clear" w:color="auto" w:fill="auto"/>
            <w:vAlign w:val="bottom"/>
          </w:tcPr>
          <w:p w14:paraId="1BD47D7B" w14:textId="77777777" w:rsidR="00DB52C8" w:rsidRPr="00E62AB4" w:rsidRDefault="00DB52C8" w:rsidP="004A01CB">
            <w:pPr>
              <w:spacing w:before="40" w:after="40" w:line="210" w:lineRule="exact"/>
              <w:ind w:left="113"/>
              <w:jc w:val="right"/>
              <w:rPr>
                <w:sz w:val="18"/>
              </w:rPr>
            </w:pPr>
            <w:r w:rsidRPr="00E62AB4">
              <w:rPr>
                <w:sz w:val="18"/>
              </w:rPr>
              <w:t>2,80</w:t>
            </w:r>
          </w:p>
        </w:tc>
        <w:tc>
          <w:tcPr>
            <w:tcW w:w="1628" w:type="dxa"/>
            <w:shd w:val="clear" w:color="auto" w:fill="auto"/>
            <w:vAlign w:val="bottom"/>
          </w:tcPr>
          <w:p w14:paraId="41DEA17D" w14:textId="6DF66028" w:rsidR="00DB52C8" w:rsidRPr="00E62AB4" w:rsidRDefault="00DB52C8" w:rsidP="004A01CB">
            <w:pPr>
              <w:spacing w:before="40" w:after="40" w:line="210" w:lineRule="exact"/>
              <w:ind w:left="113"/>
              <w:jc w:val="right"/>
              <w:rPr>
                <w:sz w:val="18"/>
              </w:rPr>
            </w:pPr>
            <w:r w:rsidRPr="00E62AB4">
              <w:rPr>
                <w:sz w:val="18"/>
              </w:rPr>
              <w:t>874</w:t>
            </w:r>
            <w:r w:rsidR="00E62AB4">
              <w:rPr>
                <w:sz w:val="18"/>
              </w:rPr>
              <w:t xml:space="preserve"> </w:t>
            </w:r>
            <w:r w:rsidRPr="00E62AB4">
              <w:rPr>
                <w:sz w:val="18"/>
              </w:rPr>
              <w:t>264</w:t>
            </w:r>
          </w:p>
        </w:tc>
        <w:tc>
          <w:tcPr>
            <w:tcW w:w="1470" w:type="dxa"/>
            <w:shd w:val="clear" w:color="auto" w:fill="auto"/>
            <w:vAlign w:val="bottom"/>
          </w:tcPr>
          <w:p w14:paraId="14E60F08" w14:textId="77777777" w:rsidR="00DB52C8" w:rsidRPr="00E62AB4" w:rsidRDefault="00DB52C8" w:rsidP="004A01CB">
            <w:pPr>
              <w:spacing w:before="40" w:after="40" w:line="210" w:lineRule="exact"/>
              <w:ind w:left="113"/>
              <w:jc w:val="right"/>
              <w:rPr>
                <w:sz w:val="18"/>
              </w:rPr>
            </w:pPr>
            <w:r w:rsidRPr="00E62AB4">
              <w:rPr>
                <w:sz w:val="18"/>
              </w:rPr>
              <w:t>3,3</w:t>
            </w:r>
          </w:p>
        </w:tc>
      </w:tr>
      <w:tr w:rsidR="00E62AB4" w:rsidRPr="00E62AB4" w14:paraId="46621B0E" w14:textId="77777777" w:rsidTr="00E62AB4">
        <w:trPr>
          <w:trHeight w:val="240"/>
        </w:trPr>
        <w:tc>
          <w:tcPr>
            <w:tcW w:w="1418" w:type="dxa"/>
            <w:shd w:val="clear" w:color="auto" w:fill="auto"/>
          </w:tcPr>
          <w:p w14:paraId="71DE57D3" w14:textId="77777777" w:rsidR="00DB52C8" w:rsidRPr="00E62AB4" w:rsidRDefault="00DB52C8" w:rsidP="004A01CB">
            <w:pPr>
              <w:spacing w:before="40" w:after="40" w:line="210" w:lineRule="exact"/>
              <w:rPr>
                <w:sz w:val="18"/>
              </w:rPr>
            </w:pPr>
            <w:r w:rsidRPr="00E62AB4">
              <w:rPr>
                <w:sz w:val="18"/>
              </w:rPr>
              <w:t>De 80 a 84</w:t>
            </w:r>
          </w:p>
        </w:tc>
        <w:tc>
          <w:tcPr>
            <w:tcW w:w="1559" w:type="dxa"/>
            <w:shd w:val="clear" w:color="auto" w:fill="auto"/>
            <w:vAlign w:val="bottom"/>
          </w:tcPr>
          <w:p w14:paraId="79DC1E21" w14:textId="1D3A2DE0" w:rsidR="00DB52C8" w:rsidRPr="00E62AB4" w:rsidRDefault="00DB52C8" w:rsidP="004A01CB">
            <w:pPr>
              <w:spacing w:before="40" w:after="40" w:line="210" w:lineRule="exact"/>
              <w:ind w:left="113"/>
              <w:jc w:val="right"/>
              <w:rPr>
                <w:sz w:val="18"/>
              </w:rPr>
            </w:pPr>
            <w:r w:rsidRPr="00E62AB4">
              <w:rPr>
                <w:sz w:val="18"/>
              </w:rPr>
              <w:t>460</w:t>
            </w:r>
            <w:r w:rsidR="00E62AB4">
              <w:rPr>
                <w:sz w:val="18"/>
              </w:rPr>
              <w:t xml:space="preserve"> </w:t>
            </w:r>
            <w:r w:rsidRPr="00E62AB4">
              <w:rPr>
                <w:sz w:val="18"/>
              </w:rPr>
              <w:t>549</w:t>
            </w:r>
          </w:p>
        </w:tc>
        <w:tc>
          <w:tcPr>
            <w:tcW w:w="1295" w:type="dxa"/>
            <w:shd w:val="clear" w:color="auto" w:fill="auto"/>
            <w:vAlign w:val="bottom"/>
          </w:tcPr>
          <w:p w14:paraId="0C7CC829" w14:textId="77777777" w:rsidR="00DB52C8" w:rsidRPr="00E62AB4" w:rsidRDefault="00DB52C8" w:rsidP="004A01CB">
            <w:pPr>
              <w:spacing w:before="40" w:after="40" w:line="210" w:lineRule="exact"/>
              <w:ind w:left="113"/>
              <w:jc w:val="right"/>
              <w:rPr>
                <w:sz w:val="18"/>
              </w:rPr>
            </w:pPr>
            <w:r w:rsidRPr="00E62AB4">
              <w:rPr>
                <w:sz w:val="18"/>
              </w:rPr>
              <w:t>1,94</w:t>
            </w:r>
          </w:p>
        </w:tc>
        <w:tc>
          <w:tcPr>
            <w:tcW w:w="1628" w:type="dxa"/>
            <w:shd w:val="clear" w:color="auto" w:fill="auto"/>
            <w:vAlign w:val="bottom"/>
          </w:tcPr>
          <w:p w14:paraId="2A177D3A" w14:textId="53E60FC0" w:rsidR="00DB52C8" w:rsidRPr="00E62AB4" w:rsidRDefault="00DB52C8" w:rsidP="004A01CB">
            <w:pPr>
              <w:spacing w:before="40" w:after="40" w:line="210" w:lineRule="exact"/>
              <w:ind w:left="113"/>
              <w:jc w:val="right"/>
              <w:rPr>
                <w:sz w:val="18"/>
              </w:rPr>
            </w:pPr>
            <w:r w:rsidRPr="00E62AB4">
              <w:rPr>
                <w:sz w:val="18"/>
              </w:rPr>
              <w:t>566</w:t>
            </w:r>
            <w:r w:rsidR="00E62AB4">
              <w:rPr>
                <w:sz w:val="18"/>
              </w:rPr>
              <w:t xml:space="preserve"> </w:t>
            </w:r>
            <w:r w:rsidRPr="00E62AB4">
              <w:rPr>
                <w:sz w:val="18"/>
              </w:rPr>
              <w:t>069</w:t>
            </w:r>
          </w:p>
        </w:tc>
        <w:tc>
          <w:tcPr>
            <w:tcW w:w="1470" w:type="dxa"/>
            <w:shd w:val="clear" w:color="auto" w:fill="auto"/>
            <w:vAlign w:val="bottom"/>
          </w:tcPr>
          <w:p w14:paraId="622BD39D" w14:textId="77777777" w:rsidR="00DB52C8" w:rsidRPr="00E62AB4" w:rsidRDefault="00DB52C8" w:rsidP="004A01CB">
            <w:pPr>
              <w:spacing w:before="40" w:after="40" w:line="210" w:lineRule="exact"/>
              <w:ind w:left="113"/>
              <w:jc w:val="right"/>
              <w:rPr>
                <w:sz w:val="18"/>
              </w:rPr>
            </w:pPr>
            <w:r w:rsidRPr="00E62AB4">
              <w:rPr>
                <w:sz w:val="18"/>
              </w:rPr>
              <w:t>2,0</w:t>
            </w:r>
          </w:p>
        </w:tc>
      </w:tr>
      <w:tr w:rsidR="00E62AB4" w:rsidRPr="00E62AB4" w14:paraId="5DEBF4A9" w14:textId="77777777" w:rsidTr="00E62AB4">
        <w:trPr>
          <w:trHeight w:val="240"/>
        </w:trPr>
        <w:tc>
          <w:tcPr>
            <w:tcW w:w="1418" w:type="dxa"/>
            <w:tcBorders>
              <w:bottom w:val="single" w:sz="12" w:space="0" w:color="auto"/>
            </w:tcBorders>
            <w:shd w:val="clear" w:color="auto" w:fill="auto"/>
          </w:tcPr>
          <w:p w14:paraId="3CB4CCF1" w14:textId="5FD084A0" w:rsidR="00DB52C8" w:rsidRPr="00E62AB4" w:rsidRDefault="004A01CB" w:rsidP="004A01CB">
            <w:pPr>
              <w:spacing w:before="40" w:after="40" w:line="210" w:lineRule="exact"/>
              <w:rPr>
                <w:sz w:val="18"/>
              </w:rPr>
            </w:pPr>
            <w:r>
              <w:rPr>
                <w:sz w:val="18"/>
              </w:rPr>
              <w:t>De 85 o más</w:t>
            </w:r>
          </w:p>
        </w:tc>
        <w:tc>
          <w:tcPr>
            <w:tcW w:w="1559" w:type="dxa"/>
            <w:tcBorders>
              <w:bottom w:val="single" w:sz="12" w:space="0" w:color="auto"/>
            </w:tcBorders>
            <w:shd w:val="clear" w:color="auto" w:fill="auto"/>
            <w:vAlign w:val="bottom"/>
          </w:tcPr>
          <w:p w14:paraId="7F26FFC1" w14:textId="14203389" w:rsidR="00DB52C8" w:rsidRPr="00E62AB4" w:rsidRDefault="00DB52C8" w:rsidP="004A01CB">
            <w:pPr>
              <w:spacing w:before="40" w:after="40" w:line="210" w:lineRule="exact"/>
              <w:ind w:left="113"/>
              <w:jc w:val="right"/>
              <w:rPr>
                <w:sz w:val="18"/>
              </w:rPr>
            </w:pPr>
            <w:r w:rsidRPr="00E62AB4">
              <w:rPr>
                <w:sz w:val="18"/>
              </w:rPr>
              <w:t>486</w:t>
            </w:r>
            <w:r w:rsidR="00E62AB4">
              <w:rPr>
                <w:sz w:val="18"/>
              </w:rPr>
              <w:t xml:space="preserve"> </w:t>
            </w:r>
            <w:r w:rsidRPr="00E62AB4">
              <w:rPr>
                <w:sz w:val="18"/>
              </w:rPr>
              <w:t xml:space="preserve">842 </w:t>
            </w:r>
          </w:p>
        </w:tc>
        <w:tc>
          <w:tcPr>
            <w:tcW w:w="1295" w:type="dxa"/>
            <w:tcBorders>
              <w:bottom w:val="single" w:sz="12" w:space="0" w:color="auto"/>
            </w:tcBorders>
            <w:shd w:val="clear" w:color="auto" w:fill="auto"/>
            <w:vAlign w:val="bottom"/>
          </w:tcPr>
          <w:p w14:paraId="162E96E3" w14:textId="77777777" w:rsidR="00DB52C8" w:rsidRPr="00E62AB4" w:rsidRDefault="00DB52C8" w:rsidP="004A01CB">
            <w:pPr>
              <w:spacing w:before="40" w:after="40" w:line="210" w:lineRule="exact"/>
              <w:ind w:left="113"/>
              <w:jc w:val="right"/>
              <w:rPr>
                <w:sz w:val="18"/>
              </w:rPr>
            </w:pPr>
            <w:r w:rsidRPr="00E62AB4">
              <w:rPr>
                <w:sz w:val="18"/>
              </w:rPr>
              <w:t>2,02</w:t>
            </w:r>
          </w:p>
        </w:tc>
        <w:tc>
          <w:tcPr>
            <w:tcW w:w="1628" w:type="dxa"/>
            <w:tcBorders>
              <w:bottom w:val="single" w:sz="12" w:space="0" w:color="auto"/>
            </w:tcBorders>
            <w:shd w:val="clear" w:color="auto" w:fill="auto"/>
            <w:vAlign w:val="bottom"/>
          </w:tcPr>
          <w:p w14:paraId="145F3B0A" w14:textId="047AE0D5" w:rsidR="00DB52C8" w:rsidRPr="00E62AB4" w:rsidRDefault="00DB52C8" w:rsidP="004A01CB">
            <w:pPr>
              <w:spacing w:before="40" w:after="40" w:line="210" w:lineRule="exact"/>
              <w:ind w:left="113"/>
              <w:jc w:val="right"/>
              <w:rPr>
                <w:sz w:val="18"/>
              </w:rPr>
            </w:pPr>
            <w:r w:rsidRPr="00E62AB4">
              <w:rPr>
                <w:sz w:val="18"/>
              </w:rPr>
              <w:t>217</w:t>
            </w:r>
            <w:r w:rsidR="00E62AB4">
              <w:rPr>
                <w:sz w:val="18"/>
              </w:rPr>
              <w:t xml:space="preserve"> </w:t>
            </w:r>
            <w:r w:rsidRPr="00E62AB4">
              <w:rPr>
                <w:sz w:val="18"/>
              </w:rPr>
              <w:t xml:space="preserve">336 </w:t>
            </w:r>
          </w:p>
        </w:tc>
        <w:tc>
          <w:tcPr>
            <w:tcW w:w="1470" w:type="dxa"/>
            <w:tcBorders>
              <w:bottom w:val="single" w:sz="12" w:space="0" w:color="auto"/>
            </w:tcBorders>
            <w:shd w:val="clear" w:color="auto" w:fill="auto"/>
            <w:vAlign w:val="bottom"/>
          </w:tcPr>
          <w:p w14:paraId="2468A76E" w14:textId="77777777" w:rsidR="00DB52C8" w:rsidRPr="00E62AB4" w:rsidRDefault="00DB52C8" w:rsidP="004A01CB">
            <w:pPr>
              <w:spacing w:before="40" w:after="40" w:line="210" w:lineRule="exact"/>
              <w:ind w:left="113"/>
              <w:jc w:val="right"/>
              <w:rPr>
                <w:sz w:val="18"/>
              </w:rPr>
            </w:pPr>
            <w:r w:rsidRPr="00E62AB4">
              <w:rPr>
                <w:sz w:val="18"/>
              </w:rPr>
              <w:t>1,7</w:t>
            </w:r>
          </w:p>
        </w:tc>
      </w:tr>
    </w:tbl>
    <w:p w14:paraId="4015DF18" w14:textId="77777777" w:rsidR="00DB52C8" w:rsidRPr="00E62AB4" w:rsidRDefault="00DB52C8" w:rsidP="00E62AB4">
      <w:pPr>
        <w:spacing w:before="120" w:after="240"/>
        <w:ind w:left="1134" w:firstLine="170"/>
        <w:rPr>
          <w:sz w:val="18"/>
          <w:szCs w:val="18"/>
        </w:rPr>
      </w:pPr>
      <w:r w:rsidRPr="00552214">
        <w:rPr>
          <w:i/>
          <w:iCs/>
          <w:sz w:val="18"/>
          <w:szCs w:val="18"/>
        </w:rPr>
        <w:t>Fuente:</w:t>
      </w:r>
      <w:r w:rsidRPr="00E62AB4">
        <w:rPr>
          <w:sz w:val="18"/>
          <w:szCs w:val="18"/>
        </w:rPr>
        <w:t xml:space="preserve"> Oficina Australiana de Estadística, </w:t>
      </w:r>
      <w:r w:rsidRPr="00E62AB4">
        <w:rPr>
          <w:i/>
          <w:iCs/>
          <w:sz w:val="18"/>
          <w:szCs w:val="18"/>
        </w:rPr>
        <w:t>3101.0 – Estadísticas demográficas australianas</w:t>
      </w:r>
      <w:r w:rsidRPr="00E62AB4">
        <w:rPr>
          <w:sz w:val="18"/>
          <w:szCs w:val="18"/>
        </w:rPr>
        <w:t>, 2022.</w:t>
      </w:r>
    </w:p>
    <w:p w14:paraId="221C848C" w14:textId="77777777" w:rsidR="00DB52C8" w:rsidRPr="00C52B38" w:rsidRDefault="00DB52C8" w:rsidP="00E62AB4">
      <w:pPr>
        <w:pStyle w:val="SingleTxtG"/>
        <w:spacing w:after="0"/>
        <w:ind w:left="0"/>
      </w:pPr>
      <w:r w:rsidRPr="00C52B38">
        <w:t xml:space="preserve">Cuadro </w:t>
      </w:r>
      <w:proofErr w:type="spellStart"/>
      <w:r w:rsidRPr="00C52B38">
        <w:t>A2</w:t>
      </w:r>
      <w:proofErr w:type="spellEnd"/>
    </w:p>
    <w:p w14:paraId="3B15A6C2" w14:textId="77777777" w:rsidR="00DB52C8" w:rsidRDefault="00DB52C8" w:rsidP="00E62AB4">
      <w:pPr>
        <w:pStyle w:val="SingleTxtG"/>
        <w:ind w:left="0"/>
        <w:rPr>
          <w:b/>
          <w:bCs/>
        </w:rPr>
      </w:pPr>
      <w:r w:rsidRPr="00C52B38">
        <w:rPr>
          <w:b/>
          <w:bCs/>
        </w:rPr>
        <w:t>Nacimientos y defunciones en Australia, de 2013 a 2019</w:t>
      </w:r>
    </w:p>
    <w:tbl>
      <w:tblPr>
        <w:tblW w:w="9631" w:type="dxa"/>
        <w:tblInd w:w="28" w:type="dxa"/>
        <w:tblBorders>
          <w:top w:val="single" w:sz="4" w:space="0" w:color="auto"/>
        </w:tblBorders>
        <w:tblCellMar>
          <w:left w:w="0" w:type="dxa"/>
          <w:right w:w="0" w:type="dxa"/>
        </w:tblCellMar>
        <w:tblLook w:val="04A0" w:firstRow="1" w:lastRow="0" w:firstColumn="1" w:lastColumn="0" w:noHBand="0" w:noVBand="1"/>
      </w:tblPr>
      <w:tblGrid>
        <w:gridCol w:w="3500"/>
        <w:gridCol w:w="882"/>
        <w:gridCol w:w="882"/>
        <w:gridCol w:w="853"/>
        <w:gridCol w:w="882"/>
        <w:gridCol w:w="882"/>
        <w:gridCol w:w="854"/>
        <w:gridCol w:w="896"/>
      </w:tblGrid>
      <w:tr w:rsidR="00552214" w:rsidRPr="00E62AB4" w14:paraId="112D7775" w14:textId="77777777" w:rsidTr="00552214">
        <w:trPr>
          <w:trHeight w:val="240"/>
          <w:tblHeader/>
        </w:trPr>
        <w:tc>
          <w:tcPr>
            <w:tcW w:w="3500" w:type="dxa"/>
            <w:tcBorders>
              <w:top w:val="single" w:sz="4" w:space="0" w:color="auto"/>
              <w:bottom w:val="single" w:sz="12" w:space="0" w:color="auto"/>
            </w:tcBorders>
            <w:shd w:val="clear" w:color="auto" w:fill="auto"/>
            <w:vAlign w:val="bottom"/>
          </w:tcPr>
          <w:p w14:paraId="48AB2749" w14:textId="77777777" w:rsidR="00DB52C8" w:rsidRPr="00E62AB4" w:rsidRDefault="00DB52C8" w:rsidP="00E62AB4">
            <w:pPr>
              <w:spacing w:before="80" w:after="80" w:line="200" w:lineRule="exact"/>
              <w:rPr>
                <w:i/>
                <w:sz w:val="16"/>
              </w:rPr>
            </w:pPr>
            <w:r w:rsidRPr="00E62AB4">
              <w:rPr>
                <w:i/>
                <w:iCs/>
                <w:sz w:val="16"/>
              </w:rPr>
              <w:t>Indicador</w:t>
            </w:r>
          </w:p>
        </w:tc>
        <w:tc>
          <w:tcPr>
            <w:tcW w:w="882" w:type="dxa"/>
            <w:tcBorders>
              <w:top w:val="single" w:sz="4" w:space="0" w:color="auto"/>
              <w:bottom w:val="single" w:sz="12" w:space="0" w:color="auto"/>
            </w:tcBorders>
            <w:shd w:val="clear" w:color="auto" w:fill="auto"/>
            <w:vAlign w:val="bottom"/>
          </w:tcPr>
          <w:p w14:paraId="690EE7F2" w14:textId="77777777" w:rsidR="00DB52C8" w:rsidRPr="00E62AB4" w:rsidRDefault="00DB52C8" w:rsidP="00E62AB4">
            <w:pPr>
              <w:spacing w:before="80" w:after="80" w:line="200" w:lineRule="exact"/>
              <w:ind w:left="113"/>
              <w:jc w:val="right"/>
              <w:rPr>
                <w:i/>
                <w:sz w:val="16"/>
              </w:rPr>
            </w:pPr>
            <w:r w:rsidRPr="00E62AB4">
              <w:rPr>
                <w:i/>
                <w:iCs/>
                <w:sz w:val="16"/>
              </w:rPr>
              <w:t>2015</w:t>
            </w:r>
          </w:p>
        </w:tc>
        <w:tc>
          <w:tcPr>
            <w:tcW w:w="882" w:type="dxa"/>
            <w:tcBorders>
              <w:top w:val="single" w:sz="4" w:space="0" w:color="auto"/>
              <w:bottom w:val="single" w:sz="12" w:space="0" w:color="auto"/>
            </w:tcBorders>
            <w:shd w:val="clear" w:color="auto" w:fill="auto"/>
            <w:vAlign w:val="bottom"/>
          </w:tcPr>
          <w:p w14:paraId="7BE5133D" w14:textId="77777777" w:rsidR="00DB52C8" w:rsidRPr="00E62AB4" w:rsidRDefault="00DB52C8" w:rsidP="00E62AB4">
            <w:pPr>
              <w:spacing w:before="80" w:after="80" w:line="200" w:lineRule="exact"/>
              <w:ind w:left="113"/>
              <w:jc w:val="right"/>
              <w:rPr>
                <w:i/>
                <w:sz w:val="16"/>
              </w:rPr>
            </w:pPr>
            <w:r w:rsidRPr="00E62AB4">
              <w:rPr>
                <w:i/>
                <w:iCs/>
                <w:sz w:val="16"/>
              </w:rPr>
              <w:t>2016</w:t>
            </w:r>
          </w:p>
        </w:tc>
        <w:tc>
          <w:tcPr>
            <w:tcW w:w="853" w:type="dxa"/>
            <w:tcBorders>
              <w:top w:val="single" w:sz="4" w:space="0" w:color="auto"/>
              <w:bottom w:val="single" w:sz="12" w:space="0" w:color="auto"/>
            </w:tcBorders>
            <w:shd w:val="clear" w:color="auto" w:fill="auto"/>
            <w:vAlign w:val="bottom"/>
          </w:tcPr>
          <w:p w14:paraId="1E2013AF" w14:textId="77777777" w:rsidR="00DB52C8" w:rsidRPr="00E62AB4" w:rsidRDefault="00DB52C8" w:rsidP="00E62AB4">
            <w:pPr>
              <w:spacing w:before="80" w:after="80" w:line="200" w:lineRule="exact"/>
              <w:ind w:left="113"/>
              <w:jc w:val="right"/>
              <w:rPr>
                <w:i/>
                <w:sz w:val="16"/>
              </w:rPr>
            </w:pPr>
            <w:r w:rsidRPr="00E62AB4">
              <w:rPr>
                <w:i/>
                <w:iCs/>
                <w:sz w:val="16"/>
              </w:rPr>
              <w:t>2017</w:t>
            </w:r>
          </w:p>
        </w:tc>
        <w:tc>
          <w:tcPr>
            <w:tcW w:w="882" w:type="dxa"/>
            <w:tcBorders>
              <w:top w:val="single" w:sz="4" w:space="0" w:color="auto"/>
              <w:bottom w:val="single" w:sz="12" w:space="0" w:color="auto"/>
            </w:tcBorders>
            <w:shd w:val="clear" w:color="auto" w:fill="auto"/>
            <w:vAlign w:val="bottom"/>
          </w:tcPr>
          <w:p w14:paraId="4F9FD240" w14:textId="77777777" w:rsidR="00DB52C8" w:rsidRPr="00E62AB4" w:rsidRDefault="00DB52C8" w:rsidP="00E62AB4">
            <w:pPr>
              <w:spacing w:before="80" w:after="80" w:line="200" w:lineRule="exact"/>
              <w:ind w:left="113"/>
              <w:jc w:val="right"/>
              <w:rPr>
                <w:i/>
                <w:sz w:val="16"/>
              </w:rPr>
            </w:pPr>
            <w:r w:rsidRPr="00E62AB4">
              <w:rPr>
                <w:i/>
                <w:iCs/>
                <w:sz w:val="16"/>
              </w:rPr>
              <w:t>2018</w:t>
            </w:r>
          </w:p>
        </w:tc>
        <w:tc>
          <w:tcPr>
            <w:tcW w:w="882" w:type="dxa"/>
            <w:tcBorders>
              <w:top w:val="single" w:sz="4" w:space="0" w:color="auto"/>
              <w:bottom w:val="single" w:sz="12" w:space="0" w:color="auto"/>
            </w:tcBorders>
            <w:shd w:val="clear" w:color="auto" w:fill="auto"/>
            <w:vAlign w:val="bottom"/>
          </w:tcPr>
          <w:p w14:paraId="4151CB80" w14:textId="77777777" w:rsidR="00DB52C8" w:rsidRPr="00E62AB4" w:rsidRDefault="00DB52C8" w:rsidP="00E62AB4">
            <w:pPr>
              <w:spacing w:before="80" w:after="80" w:line="200" w:lineRule="exact"/>
              <w:ind w:left="113"/>
              <w:jc w:val="right"/>
              <w:rPr>
                <w:i/>
                <w:sz w:val="16"/>
              </w:rPr>
            </w:pPr>
            <w:r w:rsidRPr="00E62AB4">
              <w:rPr>
                <w:i/>
                <w:iCs/>
                <w:sz w:val="16"/>
              </w:rPr>
              <w:t>2019</w:t>
            </w:r>
          </w:p>
        </w:tc>
        <w:tc>
          <w:tcPr>
            <w:tcW w:w="854" w:type="dxa"/>
            <w:tcBorders>
              <w:top w:val="single" w:sz="4" w:space="0" w:color="auto"/>
              <w:bottom w:val="single" w:sz="12" w:space="0" w:color="auto"/>
            </w:tcBorders>
            <w:shd w:val="clear" w:color="auto" w:fill="auto"/>
            <w:vAlign w:val="bottom"/>
          </w:tcPr>
          <w:p w14:paraId="79F8B6B4" w14:textId="77777777" w:rsidR="00DB52C8" w:rsidRPr="00E62AB4" w:rsidRDefault="00DB52C8" w:rsidP="00E62AB4">
            <w:pPr>
              <w:spacing w:before="80" w:after="80" w:line="200" w:lineRule="exact"/>
              <w:ind w:left="113"/>
              <w:jc w:val="right"/>
              <w:rPr>
                <w:i/>
                <w:sz w:val="16"/>
              </w:rPr>
            </w:pPr>
            <w:r w:rsidRPr="00E62AB4">
              <w:rPr>
                <w:i/>
                <w:iCs/>
                <w:sz w:val="16"/>
              </w:rPr>
              <w:t>2020</w:t>
            </w:r>
          </w:p>
        </w:tc>
        <w:tc>
          <w:tcPr>
            <w:tcW w:w="896" w:type="dxa"/>
            <w:tcBorders>
              <w:top w:val="single" w:sz="4" w:space="0" w:color="auto"/>
              <w:bottom w:val="single" w:sz="12" w:space="0" w:color="auto"/>
            </w:tcBorders>
            <w:shd w:val="clear" w:color="auto" w:fill="auto"/>
            <w:vAlign w:val="bottom"/>
          </w:tcPr>
          <w:p w14:paraId="558602FD" w14:textId="77777777" w:rsidR="00DB52C8" w:rsidRPr="00E62AB4" w:rsidRDefault="00DB52C8" w:rsidP="00E62AB4">
            <w:pPr>
              <w:spacing w:before="80" w:after="80" w:line="200" w:lineRule="exact"/>
              <w:ind w:left="113"/>
              <w:jc w:val="right"/>
              <w:rPr>
                <w:i/>
                <w:sz w:val="16"/>
              </w:rPr>
            </w:pPr>
            <w:r w:rsidRPr="00E62AB4">
              <w:rPr>
                <w:i/>
                <w:iCs/>
                <w:sz w:val="16"/>
              </w:rPr>
              <w:t>2021</w:t>
            </w:r>
          </w:p>
        </w:tc>
      </w:tr>
      <w:tr w:rsidR="00552214" w:rsidRPr="00E62AB4" w14:paraId="471FA37E" w14:textId="77777777" w:rsidTr="00552214">
        <w:trPr>
          <w:trHeight w:val="240"/>
        </w:trPr>
        <w:tc>
          <w:tcPr>
            <w:tcW w:w="3500" w:type="dxa"/>
            <w:tcBorders>
              <w:top w:val="single" w:sz="12" w:space="0" w:color="auto"/>
            </w:tcBorders>
            <w:shd w:val="clear" w:color="auto" w:fill="auto"/>
          </w:tcPr>
          <w:p w14:paraId="184C8B4A" w14:textId="77777777" w:rsidR="00DB52C8" w:rsidRPr="00E62AB4" w:rsidRDefault="00DB52C8" w:rsidP="00E62AB4">
            <w:pPr>
              <w:spacing w:before="40" w:after="40" w:line="220" w:lineRule="exact"/>
              <w:rPr>
                <w:sz w:val="18"/>
              </w:rPr>
            </w:pPr>
            <w:r w:rsidRPr="00E62AB4">
              <w:rPr>
                <w:sz w:val="18"/>
              </w:rPr>
              <w:t>Número de nacimientos</w:t>
            </w:r>
          </w:p>
        </w:tc>
        <w:tc>
          <w:tcPr>
            <w:tcW w:w="882" w:type="dxa"/>
            <w:tcBorders>
              <w:top w:val="single" w:sz="12" w:space="0" w:color="auto"/>
            </w:tcBorders>
            <w:shd w:val="clear" w:color="auto" w:fill="auto"/>
            <w:vAlign w:val="bottom"/>
          </w:tcPr>
          <w:p w14:paraId="4B8849CF" w14:textId="7301E823" w:rsidR="00DB52C8" w:rsidRPr="00E62AB4" w:rsidRDefault="00DB52C8" w:rsidP="00E62AB4">
            <w:pPr>
              <w:spacing w:before="40" w:after="40" w:line="220" w:lineRule="exact"/>
              <w:ind w:left="113"/>
              <w:jc w:val="right"/>
              <w:rPr>
                <w:sz w:val="18"/>
              </w:rPr>
            </w:pPr>
            <w:r w:rsidRPr="00E62AB4">
              <w:rPr>
                <w:sz w:val="18"/>
              </w:rPr>
              <w:t>305</w:t>
            </w:r>
            <w:r w:rsidR="00E62AB4">
              <w:rPr>
                <w:sz w:val="18"/>
              </w:rPr>
              <w:t xml:space="preserve"> </w:t>
            </w:r>
            <w:r w:rsidRPr="00E62AB4">
              <w:rPr>
                <w:sz w:val="18"/>
              </w:rPr>
              <w:t>377</w:t>
            </w:r>
          </w:p>
        </w:tc>
        <w:tc>
          <w:tcPr>
            <w:tcW w:w="882" w:type="dxa"/>
            <w:tcBorders>
              <w:top w:val="single" w:sz="12" w:space="0" w:color="auto"/>
            </w:tcBorders>
            <w:shd w:val="clear" w:color="auto" w:fill="auto"/>
            <w:vAlign w:val="bottom"/>
          </w:tcPr>
          <w:p w14:paraId="46845F51" w14:textId="70DD4D5C" w:rsidR="00DB52C8" w:rsidRPr="00E62AB4" w:rsidRDefault="00DB52C8" w:rsidP="00E62AB4">
            <w:pPr>
              <w:spacing w:before="40" w:after="40" w:line="220" w:lineRule="exact"/>
              <w:ind w:left="113"/>
              <w:jc w:val="right"/>
              <w:rPr>
                <w:sz w:val="18"/>
              </w:rPr>
            </w:pPr>
            <w:r w:rsidRPr="00E62AB4">
              <w:rPr>
                <w:sz w:val="18"/>
              </w:rPr>
              <w:t>311</w:t>
            </w:r>
            <w:r w:rsidR="00E62AB4">
              <w:rPr>
                <w:sz w:val="18"/>
              </w:rPr>
              <w:t xml:space="preserve"> </w:t>
            </w:r>
            <w:r w:rsidRPr="00E62AB4">
              <w:rPr>
                <w:sz w:val="18"/>
              </w:rPr>
              <w:t>104</w:t>
            </w:r>
          </w:p>
        </w:tc>
        <w:tc>
          <w:tcPr>
            <w:tcW w:w="853" w:type="dxa"/>
            <w:tcBorders>
              <w:top w:val="single" w:sz="12" w:space="0" w:color="auto"/>
            </w:tcBorders>
            <w:shd w:val="clear" w:color="auto" w:fill="auto"/>
            <w:vAlign w:val="bottom"/>
          </w:tcPr>
          <w:p w14:paraId="5F498D73" w14:textId="5E47FD5A" w:rsidR="00DB52C8" w:rsidRPr="00E62AB4" w:rsidRDefault="00DB52C8" w:rsidP="00E62AB4">
            <w:pPr>
              <w:spacing w:before="40" w:after="40" w:line="220" w:lineRule="exact"/>
              <w:ind w:left="113"/>
              <w:jc w:val="right"/>
              <w:rPr>
                <w:sz w:val="18"/>
              </w:rPr>
            </w:pPr>
            <w:r w:rsidRPr="00E62AB4">
              <w:rPr>
                <w:sz w:val="18"/>
              </w:rPr>
              <w:t>309</w:t>
            </w:r>
            <w:r w:rsidR="00E62AB4">
              <w:rPr>
                <w:sz w:val="18"/>
              </w:rPr>
              <w:t xml:space="preserve"> </w:t>
            </w:r>
            <w:r w:rsidRPr="00E62AB4">
              <w:rPr>
                <w:sz w:val="18"/>
              </w:rPr>
              <w:t>142</w:t>
            </w:r>
          </w:p>
        </w:tc>
        <w:tc>
          <w:tcPr>
            <w:tcW w:w="882" w:type="dxa"/>
            <w:tcBorders>
              <w:top w:val="single" w:sz="12" w:space="0" w:color="auto"/>
            </w:tcBorders>
            <w:shd w:val="clear" w:color="auto" w:fill="auto"/>
            <w:vAlign w:val="bottom"/>
          </w:tcPr>
          <w:p w14:paraId="23C46B9E" w14:textId="505A07AD" w:rsidR="00DB52C8" w:rsidRPr="00E62AB4" w:rsidRDefault="00DB52C8" w:rsidP="00E62AB4">
            <w:pPr>
              <w:spacing w:before="40" w:after="40" w:line="220" w:lineRule="exact"/>
              <w:ind w:left="113"/>
              <w:jc w:val="right"/>
              <w:rPr>
                <w:sz w:val="18"/>
              </w:rPr>
            </w:pPr>
            <w:r w:rsidRPr="00E62AB4">
              <w:rPr>
                <w:sz w:val="18"/>
              </w:rPr>
              <w:t>315</w:t>
            </w:r>
            <w:r w:rsidR="00E62AB4">
              <w:rPr>
                <w:sz w:val="18"/>
              </w:rPr>
              <w:t xml:space="preserve"> </w:t>
            </w:r>
            <w:r w:rsidRPr="00E62AB4">
              <w:rPr>
                <w:sz w:val="18"/>
              </w:rPr>
              <w:t>147</w:t>
            </w:r>
          </w:p>
        </w:tc>
        <w:tc>
          <w:tcPr>
            <w:tcW w:w="882" w:type="dxa"/>
            <w:tcBorders>
              <w:top w:val="single" w:sz="12" w:space="0" w:color="auto"/>
            </w:tcBorders>
            <w:shd w:val="clear" w:color="auto" w:fill="auto"/>
            <w:vAlign w:val="bottom"/>
          </w:tcPr>
          <w:p w14:paraId="41614305" w14:textId="01675402" w:rsidR="00DB52C8" w:rsidRPr="00E62AB4" w:rsidRDefault="00DB52C8" w:rsidP="00E62AB4">
            <w:pPr>
              <w:spacing w:before="40" w:after="40" w:line="220" w:lineRule="exact"/>
              <w:ind w:left="113"/>
              <w:jc w:val="right"/>
              <w:rPr>
                <w:sz w:val="18"/>
              </w:rPr>
            </w:pPr>
            <w:r w:rsidRPr="00E62AB4">
              <w:rPr>
                <w:sz w:val="18"/>
              </w:rPr>
              <w:t>305</w:t>
            </w:r>
            <w:r w:rsidR="00E62AB4">
              <w:rPr>
                <w:sz w:val="18"/>
              </w:rPr>
              <w:t xml:space="preserve"> </w:t>
            </w:r>
            <w:r w:rsidRPr="00E62AB4">
              <w:rPr>
                <w:sz w:val="18"/>
              </w:rPr>
              <w:t>832</w:t>
            </w:r>
          </w:p>
        </w:tc>
        <w:tc>
          <w:tcPr>
            <w:tcW w:w="854" w:type="dxa"/>
            <w:tcBorders>
              <w:top w:val="single" w:sz="12" w:space="0" w:color="auto"/>
            </w:tcBorders>
            <w:shd w:val="clear" w:color="auto" w:fill="auto"/>
            <w:vAlign w:val="bottom"/>
          </w:tcPr>
          <w:p w14:paraId="4B55009D" w14:textId="6CFB04AA" w:rsidR="00DB52C8" w:rsidRPr="00E62AB4" w:rsidRDefault="00DB52C8" w:rsidP="00E62AB4">
            <w:pPr>
              <w:spacing w:before="40" w:after="40" w:line="220" w:lineRule="exact"/>
              <w:ind w:left="113"/>
              <w:jc w:val="right"/>
              <w:rPr>
                <w:sz w:val="18"/>
              </w:rPr>
            </w:pPr>
            <w:r w:rsidRPr="00E62AB4">
              <w:rPr>
                <w:sz w:val="18"/>
              </w:rPr>
              <w:t>294</w:t>
            </w:r>
            <w:r w:rsidR="00E62AB4">
              <w:rPr>
                <w:sz w:val="18"/>
              </w:rPr>
              <w:t xml:space="preserve"> </w:t>
            </w:r>
            <w:r w:rsidRPr="00E62AB4">
              <w:rPr>
                <w:sz w:val="18"/>
              </w:rPr>
              <w:t>369</w:t>
            </w:r>
          </w:p>
        </w:tc>
        <w:tc>
          <w:tcPr>
            <w:tcW w:w="896" w:type="dxa"/>
            <w:tcBorders>
              <w:top w:val="single" w:sz="12" w:space="0" w:color="auto"/>
            </w:tcBorders>
            <w:shd w:val="clear" w:color="auto" w:fill="auto"/>
            <w:vAlign w:val="bottom"/>
          </w:tcPr>
          <w:p w14:paraId="17057329" w14:textId="09C1EF6F" w:rsidR="00DB52C8" w:rsidRPr="00E62AB4" w:rsidRDefault="00DB52C8" w:rsidP="00E62AB4">
            <w:pPr>
              <w:spacing w:before="40" w:after="40" w:line="220" w:lineRule="exact"/>
              <w:ind w:left="113"/>
              <w:jc w:val="right"/>
              <w:rPr>
                <w:sz w:val="18"/>
              </w:rPr>
            </w:pPr>
            <w:r w:rsidRPr="00E62AB4">
              <w:rPr>
                <w:sz w:val="18"/>
              </w:rPr>
              <w:t>309</w:t>
            </w:r>
            <w:r w:rsidR="00E62AB4">
              <w:rPr>
                <w:sz w:val="18"/>
              </w:rPr>
              <w:t xml:space="preserve"> </w:t>
            </w:r>
            <w:r w:rsidRPr="00E62AB4">
              <w:rPr>
                <w:sz w:val="18"/>
              </w:rPr>
              <w:t>996</w:t>
            </w:r>
          </w:p>
        </w:tc>
      </w:tr>
      <w:tr w:rsidR="00552214" w:rsidRPr="00E62AB4" w14:paraId="4C66989B" w14:textId="77777777" w:rsidTr="00552214">
        <w:trPr>
          <w:trHeight w:val="240"/>
        </w:trPr>
        <w:tc>
          <w:tcPr>
            <w:tcW w:w="3500" w:type="dxa"/>
            <w:shd w:val="clear" w:color="auto" w:fill="auto"/>
          </w:tcPr>
          <w:p w14:paraId="23CFEA13" w14:textId="77777777" w:rsidR="00DB52C8" w:rsidRPr="00E62AB4" w:rsidRDefault="00DB52C8" w:rsidP="00E62AB4">
            <w:pPr>
              <w:spacing w:before="40" w:after="40" w:line="220" w:lineRule="exact"/>
              <w:rPr>
                <w:sz w:val="18"/>
              </w:rPr>
            </w:pPr>
            <w:r w:rsidRPr="00E62AB4">
              <w:rPr>
                <w:sz w:val="18"/>
              </w:rPr>
              <w:t xml:space="preserve">Tasa global de </w:t>
            </w:r>
            <w:proofErr w:type="spellStart"/>
            <w:r w:rsidRPr="00E62AB4">
              <w:rPr>
                <w:sz w:val="18"/>
              </w:rPr>
              <w:t>fecundidad</w:t>
            </w:r>
            <w:r w:rsidRPr="00552214">
              <w:rPr>
                <w:sz w:val="18"/>
                <w:vertAlign w:val="superscript"/>
              </w:rPr>
              <w:t>1</w:t>
            </w:r>
            <w:proofErr w:type="spellEnd"/>
          </w:p>
          <w:p w14:paraId="7A539172" w14:textId="77777777" w:rsidR="00DB52C8" w:rsidRPr="00E62AB4" w:rsidRDefault="00DB52C8" w:rsidP="00E62AB4">
            <w:pPr>
              <w:spacing w:before="40" w:after="40" w:line="220" w:lineRule="exact"/>
              <w:rPr>
                <w:sz w:val="18"/>
              </w:rPr>
            </w:pPr>
            <w:r w:rsidRPr="00E62AB4">
              <w:rPr>
                <w:sz w:val="18"/>
              </w:rPr>
              <w:t>(nacidos vivos por mujer)</w:t>
            </w:r>
          </w:p>
        </w:tc>
        <w:tc>
          <w:tcPr>
            <w:tcW w:w="882" w:type="dxa"/>
            <w:shd w:val="clear" w:color="auto" w:fill="auto"/>
            <w:vAlign w:val="bottom"/>
          </w:tcPr>
          <w:p w14:paraId="72FFCB9B" w14:textId="77777777" w:rsidR="00DB52C8" w:rsidRPr="00E62AB4" w:rsidRDefault="00DB52C8" w:rsidP="00E62AB4">
            <w:pPr>
              <w:spacing w:before="40" w:after="40" w:line="220" w:lineRule="exact"/>
              <w:ind w:left="113"/>
              <w:jc w:val="right"/>
              <w:rPr>
                <w:sz w:val="18"/>
              </w:rPr>
            </w:pPr>
            <w:r w:rsidRPr="00E62AB4">
              <w:rPr>
                <w:sz w:val="18"/>
              </w:rPr>
              <w:t>1,8</w:t>
            </w:r>
          </w:p>
        </w:tc>
        <w:tc>
          <w:tcPr>
            <w:tcW w:w="882" w:type="dxa"/>
            <w:shd w:val="clear" w:color="auto" w:fill="auto"/>
            <w:vAlign w:val="bottom"/>
          </w:tcPr>
          <w:p w14:paraId="5A32E9A0" w14:textId="77777777" w:rsidR="00DB52C8" w:rsidRPr="00E62AB4" w:rsidRDefault="00DB52C8" w:rsidP="00E62AB4">
            <w:pPr>
              <w:spacing w:before="40" w:after="40" w:line="220" w:lineRule="exact"/>
              <w:ind w:left="113"/>
              <w:jc w:val="right"/>
              <w:rPr>
                <w:sz w:val="18"/>
              </w:rPr>
            </w:pPr>
            <w:r w:rsidRPr="00E62AB4">
              <w:rPr>
                <w:sz w:val="18"/>
              </w:rPr>
              <w:t>1,8</w:t>
            </w:r>
          </w:p>
        </w:tc>
        <w:tc>
          <w:tcPr>
            <w:tcW w:w="853" w:type="dxa"/>
            <w:shd w:val="clear" w:color="auto" w:fill="auto"/>
            <w:vAlign w:val="bottom"/>
          </w:tcPr>
          <w:p w14:paraId="6E3983C0" w14:textId="77777777" w:rsidR="00DB52C8" w:rsidRPr="00E62AB4" w:rsidRDefault="00DB52C8" w:rsidP="00E62AB4">
            <w:pPr>
              <w:spacing w:before="40" w:after="40" w:line="220" w:lineRule="exact"/>
              <w:ind w:left="113"/>
              <w:jc w:val="right"/>
              <w:rPr>
                <w:sz w:val="18"/>
              </w:rPr>
            </w:pPr>
            <w:r w:rsidRPr="00E62AB4">
              <w:rPr>
                <w:sz w:val="18"/>
              </w:rPr>
              <w:t>1,7</w:t>
            </w:r>
          </w:p>
        </w:tc>
        <w:tc>
          <w:tcPr>
            <w:tcW w:w="882" w:type="dxa"/>
            <w:shd w:val="clear" w:color="auto" w:fill="auto"/>
            <w:vAlign w:val="bottom"/>
          </w:tcPr>
          <w:p w14:paraId="2F805AC8" w14:textId="77777777" w:rsidR="00DB52C8" w:rsidRPr="00E62AB4" w:rsidRDefault="00DB52C8" w:rsidP="00E62AB4">
            <w:pPr>
              <w:spacing w:before="40" w:after="40" w:line="220" w:lineRule="exact"/>
              <w:ind w:left="113"/>
              <w:jc w:val="right"/>
              <w:rPr>
                <w:sz w:val="18"/>
              </w:rPr>
            </w:pPr>
            <w:r w:rsidRPr="00E62AB4">
              <w:rPr>
                <w:sz w:val="18"/>
              </w:rPr>
              <w:t>1,74</w:t>
            </w:r>
          </w:p>
        </w:tc>
        <w:tc>
          <w:tcPr>
            <w:tcW w:w="882" w:type="dxa"/>
            <w:shd w:val="clear" w:color="auto" w:fill="auto"/>
            <w:vAlign w:val="bottom"/>
          </w:tcPr>
          <w:p w14:paraId="6A277236" w14:textId="77777777" w:rsidR="00DB52C8" w:rsidRPr="00E62AB4" w:rsidRDefault="00DB52C8" w:rsidP="00E62AB4">
            <w:pPr>
              <w:spacing w:before="40" w:after="40" w:line="220" w:lineRule="exact"/>
              <w:ind w:left="113"/>
              <w:jc w:val="right"/>
              <w:rPr>
                <w:sz w:val="18"/>
              </w:rPr>
            </w:pPr>
            <w:r w:rsidRPr="00E62AB4">
              <w:rPr>
                <w:sz w:val="18"/>
              </w:rPr>
              <w:t>1,66</w:t>
            </w:r>
          </w:p>
        </w:tc>
        <w:tc>
          <w:tcPr>
            <w:tcW w:w="854" w:type="dxa"/>
            <w:shd w:val="clear" w:color="auto" w:fill="auto"/>
            <w:vAlign w:val="bottom"/>
          </w:tcPr>
          <w:p w14:paraId="06556D5E" w14:textId="77777777" w:rsidR="00DB52C8" w:rsidRPr="00E62AB4" w:rsidRDefault="00DB52C8" w:rsidP="00E62AB4">
            <w:pPr>
              <w:spacing w:before="40" w:after="40" w:line="220" w:lineRule="exact"/>
              <w:ind w:left="113"/>
              <w:jc w:val="right"/>
              <w:rPr>
                <w:sz w:val="18"/>
              </w:rPr>
            </w:pPr>
            <w:r w:rsidRPr="00E62AB4">
              <w:rPr>
                <w:sz w:val="18"/>
              </w:rPr>
              <w:t>1,59</w:t>
            </w:r>
          </w:p>
        </w:tc>
        <w:tc>
          <w:tcPr>
            <w:tcW w:w="896" w:type="dxa"/>
            <w:shd w:val="clear" w:color="auto" w:fill="auto"/>
            <w:vAlign w:val="bottom"/>
          </w:tcPr>
          <w:p w14:paraId="16516A45" w14:textId="77777777" w:rsidR="00DB52C8" w:rsidRPr="00E62AB4" w:rsidRDefault="00DB52C8" w:rsidP="00E62AB4">
            <w:pPr>
              <w:spacing w:before="40" w:after="40" w:line="220" w:lineRule="exact"/>
              <w:ind w:left="113"/>
              <w:jc w:val="right"/>
              <w:rPr>
                <w:sz w:val="18"/>
              </w:rPr>
            </w:pPr>
            <w:r w:rsidRPr="00E62AB4">
              <w:rPr>
                <w:sz w:val="18"/>
              </w:rPr>
              <w:t>1,70</w:t>
            </w:r>
          </w:p>
        </w:tc>
      </w:tr>
      <w:tr w:rsidR="00552214" w:rsidRPr="00E62AB4" w14:paraId="1A7E57FF" w14:textId="77777777" w:rsidTr="00552214">
        <w:trPr>
          <w:trHeight w:val="240"/>
        </w:trPr>
        <w:tc>
          <w:tcPr>
            <w:tcW w:w="3500" w:type="dxa"/>
            <w:shd w:val="clear" w:color="auto" w:fill="auto"/>
          </w:tcPr>
          <w:p w14:paraId="16F94D59" w14:textId="77777777" w:rsidR="00DB52C8" w:rsidRPr="00E62AB4" w:rsidRDefault="00DB52C8" w:rsidP="00E62AB4">
            <w:pPr>
              <w:spacing w:before="40" w:after="40" w:line="220" w:lineRule="exact"/>
              <w:rPr>
                <w:sz w:val="18"/>
              </w:rPr>
            </w:pPr>
            <w:r w:rsidRPr="00E62AB4">
              <w:rPr>
                <w:sz w:val="18"/>
              </w:rPr>
              <w:t>Número de defunciones</w:t>
            </w:r>
          </w:p>
        </w:tc>
        <w:tc>
          <w:tcPr>
            <w:tcW w:w="882" w:type="dxa"/>
            <w:shd w:val="clear" w:color="auto" w:fill="auto"/>
            <w:vAlign w:val="bottom"/>
          </w:tcPr>
          <w:p w14:paraId="75191D68" w14:textId="762C1D86" w:rsidR="00DB52C8" w:rsidRPr="00E62AB4" w:rsidRDefault="00DB52C8" w:rsidP="00E62AB4">
            <w:pPr>
              <w:spacing w:before="40" w:after="40" w:line="220" w:lineRule="exact"/>
              <w:ind w:left="113"/>
              <w:jc w:val="right"/>
              <w:rPr>
                <w:sz w:val="18"/>
              </w:rPr>
            </w:pPr>
            <w:r w:rsidRPr="00E62AB4">
              <w:rPr>
                <w:sz w:val="18"/>
              </w:rPr>
              <w:t>159</w:t>
            </w:r>
            <w:r w:rsidR="00E62AB4">
              <w:rPr>
                <w:sz w:val="18"/>
              </w:rPr>
              <w:t xml:space="preserve"> </w:t>
            </w:r>
            <w:r w:rsidRPr="00E62AB4">
              <w:rPr>
                <w:sz w:val="18"/>
              </w:rPr>
              <w:t>052</w:t>
            </w:r>
          </w:p>
        </w:tc>
        <w:tc>
          <w:tcPr>
            <w:tcW w:w="882" w:type="dxa"/>
            <w:shd w:val="clear" w:color="auto" w:fill="auto"/>
            <w:vAlign w:val="bottom"/>
          </w:tcPr>
          <w:p w14:paraId="5F8A02F5" w14:textId="59065D93" w:rsidR="00DB52C8" w:rsidRPr="00E62AB4" w:rsidRDefault="00DB52C8" w:rsidP="00E62AB4">
            <w:pPr>
              <w:spacing w:before="40" w:after="40" w:line="220" w:lineRule="exact"/>
              <w:ind w:left="113"/>
              <w:jc w:val="right"/>
              <w:rPr>
                <w:sz w:val="18"/>
              </w:rPr>
            </w:pPr>
            <w:r w:rsidRPr="00E62AB4">
              <w:rPr>
                <w:sz w:val="18"/>
              </w:rPr>
              <w:t>158</w:t>
            </w:r>
            <w:r w:rsidR="00E62AB4">
              <w:rPr>
                <w:sz w:val="18"/>
              </w:rPr>
              <w:t xml:space="preserve"> </w:t>
            </w:r>
            <w:r w:rsidRPr="00E62AB4">
              <w:rPr>
                <w:sz w:val="18"/>
              </w:rPr>
              <w:t>504</w:t>
            </w:r>
          </w:p>
        </w:tc>
        <w:tc>
          <w:tcPr>
            <w:tcW w:w="853" w:type="dxa"/>
            <w:shd w:val="clear" w:color="auto" w:fill="auto"/>
            <w:vAlign w:val="bottom"/>
          </w:tcPr>
          <w:p w14:paraId="4CA06BA9" w14:textId="23B55152" w:rsidR="00DB52C8" w:rsidRPr="00E62AB4" w:rsidRDefault="00DB52C8" w:rsidP="00E62AB4">
            <w:pPr>
              <w:spacing w:before="40" w:after="40" w:line="220" w:lineRule="exact"/>
              <w:ind w:left="113"/>
              <w:jc w:val="right"/>
              <w:rPr>
                <w:sz w:val="18"/>
              </w:rPr>
            </w:pPr>
            <w:r w:rsidRPr="00E62AB4">
              <w:rPr>
                <w:sz w:val="18"/>
              </w:rPr>
              <w:t>160</w:t>
            </w:r>
            <w:r w:rsidR="00E62AB4">
              <w:rPr>
                <w:sz w:val="18"/>
              </w:rPr>
              <w:t xml:space="preserve"> </w:t>
            </w:r>
            <w:r w:rsidRPr="00E62AB4">
              <w:rPr>
                <w:sz w:val="18"/>
              </w:rPr>
              <w:t>909</w:t>
            </w:r>
          </w:p>
        </w:tc>
        <w:tc>
          <w:tcPr>
            <w:tcW w:w="882" w:type="dxa"/>
            <w:shd w:val="clear" w:color="auto" w:fill="auto"/>
            <w:vAlign w:val="bottom"/>
          </w:tcPr>
          <w:p w14:paraId="414F197F" w14:textId="01FBB52D" w:rsidR="00DB52C8" w:rsidRPr="00E62AB4" w:rsidRDefault="00DB52C8" w:rsidP="00E62AB4">
            <w:pPr>
              <w:spacing w:before="40" w:after="40" w:line="220" w:lineRule="exact"/>
              <w:ind w:left="113"/>
              <w:jc w:val="right"/>
              <w:rPr>
                <w:sz w:val="18"/>
              </w:rPr>
            </w:pPr>
            <w:r w:rsidRPr="00E62AB4">
              <w:rPr>
                <w:sz w:val="18"/>
              </w:rPr>
              <w:t>158</w:t>
            </w:r>
            <w:r w:rsidR="00E62AB4">
              <w:rPr>
                <w:sz w:val="18"/>
              </w:rPr>
              <w:t xml:space="preserve"> </w:t>
            </w:r>
            <w:r w:rsidRPr="00E62AB4">
              <w:rPr>
                <w:sz w:val="18"/>
              </w:rPr>
              <w:t>493</w:t>
            </w:r>
          </w:p>
        </w:tc>
        <w:tc>
          <w:tcPr>
            <w:tcW w:w="882" w:type="dxa"/>
            <w:shd w:val="clear" w:color="auto" w:fill="auto"/>
            <w:vAlign w:val="bottom"/>
          </w:tcPr>
          <w:p w14:paraId="1291F495" w14:textId="4102A8D0" w:rsidR="00DB52C8" w:rsidRPr="00E62AB4" w:rsidRDefault="00DB52C8" w:rsidP="00E62AB4">
            <w:pPr>
              <w:spacing w:before="40" w:after="40" w:line="220" w:lineRule="exact"/>
              <w:ind w:left="113"/>
              <w:jc w:val="right"/>
              <w:rPr>
                <w:sz w:val="18"/>
              </w:rPr>
            </w:pPr>
            <w:r w:rsidRPr="00E62AB4">
              <w:rPr>
                <w:sz w:val="18"/>
              </w:rPr>
              <w:t>169</w:t>
            </w:r>
            <w:r w:rsidR="00E62AB4">
              <w:rPr>
                <w:sz w:val="18"/>
              </w:rPr>
              <w:t xml:space="preserve"> </w:t>
            </w:r>
            <w:r w:rsidRPr="00E62AB4">
              <w:rPr>
                <w:sz w:val="18"/>
              </w:rPr>
              <w:t>301</w:t>
            </w:r>
          </w:p>
        </w:tc>
        <w:tc>
          <w:tcPr>
            <w:tcW w:w="854" w:type="dxa"/>
            <w:shd w:val="clear" w:color="auto" w:fill="auto"/>
            <w:vAlign w:val="bottom"/>
          </w:tcPr>
          <w:p w14:paraId="0460AAA2" w14:textId="59C5734F" w:rsidR="00DB52C8" w:rsidRPr="00E62AB4" w:rsidRDefault="00DB52C8" w:rsidP="00E62AB4">
            <w:pPr>
              <w:spacing w:before="40" w:after="40" w:line="220" w:lineRule="exact"/>
              <w:ind w:left="113"/>
              <w:jc w:val="right"/>
              <w:rPr>
                <w:sz w:val="18"/>
              </w:rPr>
            </w:pPr>
            <w:r w:rsidRPr="00E62AB4">
              <w:rPr>
                <w:sz w:val="18"/>
              </w:rPr>
              <w:t>161</w:t>
            </w:r>
            <w:r w:rsidR="00E62AB4">
              <w:rPr>
                <w:sz w:val="18"/>
              </w:rPr>
              <w:t xml:space="preserve"> </w:t>
            </w:r>
            <w:r w:rsidRPr="00E62AB4">
              <w:rPr>
                <w:sz w:val="18"/>
              </w:rPr>
              <w:t>300</w:t>
            </w:r>
          </w:p>
        </w:tc>
        <w:tc>
          <w:tcPr>
            <w:tcW w:w="896" w:type="dxa"/>
            <w:shd w:val="clear" w:color="auto" w:fill="auto"/>
            <w:vAlign w:val="bottom"/>
          </w:tcPr>
          <w:p w14:paraId="0B7ECCAA" w14:textId="2BC8DF13" w:rsidR="00DB52C8" w:rsidRPr="00E62AB4" w:rsidRDefault="00DB52C8" w:rsidP="00E62AB4">
            <w:pPr>
              <w:spacing w:before="40" w:after="40" w:line="220" w:lineRule="exact"/>
              <w:ind w:left="113"/>
              <w:jc w:val="right"/>
              <w:rPr>
                <w:sz w:val="18"/>
              </w:rPr>
            </w:pPr>
            <w:r w:rsidRPr="00E62AB4">
              <w:rPr>
                <w:sz w:val="18"/>
              </w:rPr>
              <w:t>171</w:t>
            </w:r>
            <w:r w:rsidR="00E62AB4">
              <w:rPr>
                <w:sz w:val="18"/>
              </w:rPr>
              <w:t xml:space="preserve"> </w:t>
            </w:r>
            <w:r w:rsidRPr="00E62AB4">
              <w:rPr>
                <w:sz w:val="18"/>
              </w:rPr>
              <w:t>469</w:t>
            </w:r>
          </w:p>
        </w:tc>
      </w:tr>
      <w:tr w:rsidR="00552214" w:rsidRPr="00E62AB4" w14:paraId="287C8A65" w14:textId="77777777" w:rsidTr="00552214">
        <w:trPr>
          <w:trHeight w:val="240"/>
        </w:trPr>
        <w:tc>
          <w:tcPr>
            <w:tcW w:w="3500" w:type="dxa"/>
            <w:shd w:val="clear" w:color="auto" w:fill="auto"/>
          </w:tcPr>
          <w:p w14:paraId="7C029AFD" w14:textId="77777777" w:rsidR="00DB52C8" w:rsidRPr="00E62AB4" w:rsidRDefault="00DB52C8" w:rsidP="00E62AB4">
            <w:pPr>
              <w:spacing w:before="40" w:after="40" w:line="220" w:lineRule="exact"/>
              <w:rPr>
                <w:sz w:val="18"/>
              </w:rPr>
            </w:pPr>
            <w:r w:rsidRPr="00E62AB4">
              <w:rPr>
                <w:sz w:val="18"/>
              </w:rPr>
              <w:t>Tasa bruta de mortalidad</w:t>
            </w:r>
          </w:p>
          <w:p w14:paraId="0B00D573" w14:textId="77777777" w:rsidR="00DB52C8" w:rsidRPr="00E62AB4" w:rsidRDefault="00DB52C8" w:rsidP="00E62AB4">
            <w:pPr>
              <w:spacing w:before="40" w:after="40" w:line="220" w:lineRule="exact"/>
              <w:rPr>
                <w:sz w:val="18"/>
              </w:rPr>
            </w:pPr>
            <w:r w:rsidRPr="00E62AB4">
              <w:rPr>
                <w:sz w:val="18"/>
              </w:rPr>
              <w:t>(defunciones por cada 1.000 personas)</w:t>
            </w:r>
          </w:p>
        </w:tc>
        <w:tc>
          <w:tcPr>
            <w:tcW w:w="882" w:type="dxa"/>
            <w:shd w:val="clear" w:color="auto" w:fill="auto"/>
            <w:vAlign w:val="bottom"/>
          </w:tcPr>
          <w:p w14:paraId="3A0941DE" w14:textId="77777777" w:rsidR="00DB52C8" w:rsidRPr="00E62AB4" w:rsidRDefault="00DB52C8" w:rsidP="00E62AB4">
            <w:pPr>
              <w:spacing w:before="40" w:after="40" w:line="220" w:lineRule="exact"/>
              <w:ind w:left="113"/>
              <w:jc w:val="right"/>
              <w:rPr>
                <w:sz w:val="18"/>
              </w:rPr>
            </w:pPr>
            <w:r w:rsidRPr="00E62AB4">
              <w:rPr>
                <w:sz w:val="18"/>
              </w:rPr>
              <w:t>6,7</w:t>
            </w:r>
          </w:p>
        </w:tc>
        <w:tc>
          <w:tcPr>
            <w:tcW w:w="882" w:type="dxa"/>
            <w:shd w:val="clear" w:color="auto" w:fill="auto"/>
            <w:vAlign w:val="bottom"/>
          </w:tcPr>
          <w:p w14:paraId="1030B81E" w14:textId="77777777" w:rsidR="00DB52C8" w:rsidRPr="00E62AB4" w:rsidRDefault="00DB52C8" w:rsidP="00E62AB4">
            <w:pPr>
              <w:spacing w:before="40" w:after="40" w:line="220" w:lineRule="exact"/>
              <w:ind w:left="113"/>
              <w:jc w:val="right"/>
              <w:rPr>
                <w:sz w:val="18"/>
              </w:rPr>
            </w:pPr>
            <w:r w:rsidRPr="00E62AB4">
              <w:rPr>
                <w:sz w:val="18"/>
              </w:rPr>
              <w:t>6,6</w:t>
            </w:r>
          </w:p>
        </w:tc>
        <w:tc>
          <w:tcPr>
            <w:tcW w:w="853" w:type="dxa"/>
            <w:shd w:val="clear" w:color="auto" w:fill="auto"/>
            <w:vAlign w:val="bottom"/>
          </w:tcPr>
          <w:p w14:paraId="381421E7" w14:textId="77777777" w:rsidR="00DB52C8" w:rsidRPr="00E62AB4" w:rsidRDefault="00DB52C8" w:rsidP="00E62AB4">
            <w:pPr>
              <w:spacing w:before="40" w:after="40" w:line="220" w:lineRule="exact"/>
              <w:ind w:left="113"/>
              <w:jc w:val="right"/>
              <w:rPr>
                <w:sz w:val="18"/>
              </w:rPr>
            </w:pPr>
            <w:r w:rsidRPr="00E62AB4">
              <w:rPr>
                <w:sz w:val="18"/>
              </w:rPr>
              <w:t>6,5</w:t>
            </w:r>
          </w:p>
        </w:tc>
        <w:tc>
          <w:tcPr>
            <w:tcW w:w="882" w:type="dxa"/>
            <w:shd w:val="clear" w:color="auto" w:fill="auto"/>
            <w:vAlign w:val="bottom"/>
          </w:tcPr>
          <w:p w14:paraId="77656DEF" w14:textId="77777777" w:rsidR="00DB52C8" w:rsidRPr="00E62AB4" w:rsidRDefault="00DB52C8" w:rsidP="00E62AB4">
            <w:pPr>
              <w:spacing w:before="40" w:after="40" w:line="220" w:lineRule="exact"/>
              <w:ind w:left="113"/>
              <w:jc w:val="right"/>
              <w:rPr>
                <w:sz w:val="18"/>
              </w:rPr>
            </w:pPr>
            <w:r w:rsidRPr="00E62AB4">
              <w:rPr>
                <w:sz w:val="18"/>
              </w:rPr>
              <w:t>6,3</w:t>
            </w:r>
          </w:p>
        </w:tc>
        <w:tc>
          <w:tcPr>
            <w:tcW w:w="882" w:type="dxa"/>
            <w:shd w:val="clear" w:color="auto" w:fill="auto"/>
            <w:vAlign w:val="bottom"/>
          </w:tcPr>
          <w:p w14:paraId="093773EC" w14:textId="77777777" w:rsidR="00DB52C8" w:rsidRPr="00E62AB4" w:rsidRDefault="00DB52C8" w:rsidP="00E62AB4">
            <w:pPr>
              <w:spacing w:before="40" w:after="40" w:line="220" w:lineRule="exact"/>
              <w:ind w:left="113"/>
              <w:jc w:val="right"/>
              <w:rPr>
                <w:sz w:val="18"/>
              </w:rPr>
            </w:pPr>
            <w:r w:rsidRPr="00E62AB4">
              <w:rPr>
                <w:sz w:val="18"/>
              </w:rPr>
              <w:t>6,7</w:t>
            </w:r>
          </w:p>
        </w:tc>
        <w:tc>
          <w:tcPr>
            <w:tcW w:w="854" w:type="dxa"/>
            <w:shd w:val="clear" w:color="auto" w:fill="auto"/>
            <w:vAlign w:val="bottom"/>
          </w:tcPr>
          <w:p w14:paraId="2F66CF38" w14:textId="77777777" w:rsidR="00DB52C8" w:rsidRPr="00E62AB4" w:rsidRDefault="00DB52C8" w:rsidP="00E62AB4">
            <w:pPr>
              <w:spacing w:before="40" w:after="40" w:line="220" w:lineRule="exact"/>
              <w:ind w:left="113"/>
              <w:jc w:val="right"/>
              <w:rPr>
                <w:sz w:val="18"/>
              </w:rPr>
            </w:pPr>
            <w:r w:rsidRPr="00E62AB4">
              <w:rPr>
                <w:sz w:val="18"/>
              </w:rPr>
              <w:t>6,3</w:t>
            </w:r>
          </w:p>
        </w:tc>
        <w:tc>
          <w:tcPr>
            <w:tcW w:w="896" w:type="dxa"/>
            <w:shd w:val="clear" w:color="auto" w:fill="auto"/>
            <w:vAlign w:val="bottom"/>
          </w:tcPr>
          <w:p w14:paraId="162870D0" w14:textId="77777777" w:rsidR="00DB52C8" w:rsidRPr="00E62AB4" w:rsidRDefault="00DB52C8" w:rsidP="00E62AB4">
            <w:pPr>
              <w:spacing w:before="40" w:after="40" w:line="220" w:lineRule="exact"/>
              <w:ind w:left="113"/>
              <w:jc w:val="right"/>
              <w:rPr>
                <w:sz w:val="18"/>
              </w:rPr>
            </w:pPr>
            <w:r w:rsidRPr="00E62AB4">
              <w:rPr>
                <w:sz w:val="18"/>
              </w:rPr>
              <w:t>6,7</w:t>
            </w:r>
          </w:p>
        </w:tc>
      </w:tr>
      <w:tr w:rsidR="00552214" w:rsidRPr="00E62AB4" w14:paraId="0B4ED3C2" w14:textId="77777777" w:rsidTr="00552214">
        <w:trPr>
          <w:trHeight w:val="240"/>
        </w:trPr>
        <w:tc>
          <w:tcPr>
            <w:tcW w:w="3500" w:type="dxa"/>
            <w:shd w:val="clear" w:color="auto" w:fill="auto"/>
          </w:tcPr>
          <w:p w14:paraId="4CD60C53" w14:textId="77777777" w:rsidR="00DB52C8" w:rsidRPr="00E62AB4" w:rsidRDefault="00DB52C8" w:rsidP="00E62AB4">
            <w:pPr>
              <w:spacing w:before="40" w:after="40" w:line="220" w:lineRule="exact"/>
              <w:rPr>
                <w:sz w:val="18"/>
              </w:rPr>
            </w:pPr>
            <w:r w:rsidRPr="00E62AB4">
              <w:rPr>
                <w:sz w:val="18"/>
              </w:rPr>
              <w:t xml:space="preserve">Tasa de mortalidad </w:t>
            </w:r>
            <w:proofErr w:type="spellStart"/>
            <w:r w:rsidRPr="00E62AB4">
              <w:rPr>
                <w:sz w:val="18"/>
              </w:rPr>
              <w:t>estandarizada</w:t>
            </w:r>
            <w:r w:rsidRPr="00552214">
              <w:rPr>
                <w:sz w:val="18"/>
                <w:vertAlign w:val="superscript"/>
              </w:rPr>
              <w:t>2</w:t>
            </w:r>
            <w:proofErr w:type="spellEnd"/>
          </w:p>
          <w:p w14:paraId="4AA39881" w14:textId="77777777" w:rsidR="00DB52C8" w:rsidRPr="00E62AB4" w:rsidRDefault="00DB52C8" w:rsidP="00E62AB4">
            <w:pPr>
              <w:spacing w:before="40" w:after="40" w:line="220" w:lineRule="exact"/>
              <w:rPr>
                <w:sz w:val="18"/>
              </w:rPr>
            </w:pPr>
            <w:r w:rsidRPr="00E62AB4">
              <w:rPr>
                <w:sz w:val="18"/>
              </w:rPr>
              <w:t>(defunciones por cada 1.000 personas)</w:t>
            </w:r>
          </w:p>
        </w:tc>
        <w:tc>
          <w:tcPr>
            <w:tcW w:w="882" w:type="dxa"/>
            <w:shd w:val="clear" w:color="auto" w:fill="auto"/>
            <w:vAlign w:val="bottom"/>
          </w:tcPr>
          <w:p w14:paraId="011E6A3A" w14:textId="77777777" w:rsidR="00DB52C8" w:rsidRPr="00E62AB4" w:rsidRDefault="00DB52C8" w:rsidP="00E62AB4">
            <w:pPr>
              <w:spacing w:before="40" w:after="40" w:line="220" w:lineRule="exact"/>
              <w:ind w:left="113"/>
              <w:jc w:val="right"/>
              <w:rPr>
                <w:sz w:val="18"/>
              </w:rPr>
            </w:pPr>
            <w:r w:rsidRPr="00E62AB4">
              <w:rPr>
                <w:sz w:val="18"/>
              </w:rPr>
              <w:t>5,5</w:t>
            </w:r>
          </w:p>
        </w:tc>
        <w:tc>
          <w:tcPr>
            <w:tcW w:w="882" w:type="dxa"/>
            <w:shd w:val="clear" w:color="auto" w:fill="auto"/>
            <w:vAlign w:val="bottom"/>
          </w:tcPr>
          <w:p w14:paraId="06DDF2FD" w14:textId="77777777" w:rsidR="00DB52C8" w:rsidRPr="00E62AB4" w:rsidRDefault="00DB52C8" w:rsidP="00E62AB4">
            <w:pPr>
              <w:spacing w:before="40" w:after="40" w:line="220" w:lineRule="exact"/>
              <w:ind w:left="113"/>
              <w:jc w:val="right"/>
              <w:rPr>
                <w:sz w:val="18"/>
              </w:rPr>
            </w:pPr>
            <w:r w:rsidRPr="00E62AB4">
              <w:rPr>
                <w:sz w:val="18"/>
              </w:rPr>
              <w:t>5,4</w:t>
            </w:r>
          </w:p>
        </w:tc>
        <w:tc>
          <w:tcPr>
            <w:tcW w:w="853" w:type="dxa"/>
            <w:shd w:val="clear" w:color="auto" w:fill="auto"/>
            <w:vAlign w:val="bottom"/>
          </w:tcPr>
          <w:p w14:paraId="0BBF8511" w14:textId="77777777" w:rsidR="00DB52C8" w:rsidRPr="00E62AB4" w:rsidRDefault="00DB52C8" w:rsidP="00E62AB4">
            <w:pPr>
              <w:spacing w:before="40" w:after="40" w:line="220" w:lineRule="exact"/>
              <w:ind w:left="113"/>
              <w:jc w:val="right"/>
              <w:rPr>
                <w:sz w:val="18"/>
              </w:rPr>
            </w:pPr>
            <w:r w:rsidRPr="00E62AB4">
              <w:rPr>
                <w:sz w:val="18"/>
              </w:rPr>
              <w:t>5,3</w:t>
            </w:r>
          </w:p>
        </w:tc>
        <w:tc>
          <w:tcPr>
            <w:tcW w:w="882" w:type="dxa"/>
            <w:shd w:val="clear" w:color="auto" w:fill="auto"/>
            <w:vAlign w:val="bottom"/>
          </w:tcPr>
          <w:p w14:paraId="4D60A226" w14:textId="77777777" w:rsidR="00DB52C8" w:rsidRPr="00E62AB4" w:rsidRDefault="00DB52C8" w:rsidP="00E62AB4">
            <w:pPr>
              <w:spacing w:before="40" w:after="40" w:line="220" w:lineRule="exact"/>
              <w:ind w:left="113"/>
              <w:jc w:val="right"/>
              <w:rPr>
                <w:sz w:val="18"/>
              </w:rPr>
            </w:pPr>
            <w:r w:rsidRPr="00E62AB4">
              <w:rPr>
                <w:sz w:val="18"/>
              </w:rPr>
              <w:t>5,1</w:t>
            </w:r>
          </w:p>
        </w:tc>
        <w:tc>
          <w:tcPr>
            <w:tcW w:w="882" w:type="dxa"/>
            <w:shd w:val="clear" w:color="auto" w:fill="auto"/>
            <w:vAlign w:val="bottom"/>
          </w:tcPr>
          <w:p w14:paraId="0F395A25" w14:textId="77777777" w:rsidR="00DB52C8" w:rsidRPr="00E62AB4" w:rsidRDefault="00DB52C8" w:rsidP="00E62AB4">
            <w:pPr>
              <w:spacing w:before="40" w:after="40" w:line="220" w:lineRule="exact"/>
              <w:ind w:left="113"/>
              <w:jc w:val="right"/>
              <w:rPr>
                <w:sz w:val="18"/>
              </w:rPr>
            </w:pPr>
            <w:r w:rsidRPr="00E62AB4">
              <w:rPr>
                <w:sz w:val="18"/>
              </w:rPr>
              <w:t>5,3</w:t>
            </w:r>
          </w:p>
        </w:tc>
        <w:tc>
          <w:tcPr>
            <w:tcW w:w="854" w:type="dxa"/>
            <w:shd w:val="clear" w:color="auto" w:fill="auto"/>
            <w:vAlign w:val="bottom"/>
          </w:tcPr>
          <w:p w14:paraId="2644006E" w14:textId="77777777" w:rsidR="00DB52C8" w:rsidRPr="00E62AB4" w:rsidRDefault="00DB52C8" w:rsidP="00E62AB4">
            <w:pPr>
              <w:spacing w:before="40" w:after="40" w:line="220" w:lineRule="exact"/>
              <w:ind w:left="113"/>
              <w:jc w:val="right"/>
              <w:rPr>
                <w:sz w:val="18"/>
              </w:rPr>
            </w:pPr>
            <w:r w:rsidRPr="00E62AB4">
              <w:rPr>
                <w:sz w:val="18"/>
              </w:rPr>
              <w:t>4,9</w:t>
            </w:r>
          </w:p>
        </w:tc>
        <w:tc>
          <w:tcPr>
            <w:tcW w:w="896" w:type="dxa"/>
            <w:shd w:val="clear" w:color="auto" w:fill="auto"/>
            <w:vAlign w:val="bottom"/>
          </w:tcPr>
          <w:p w14:paraId="19D13E46" w14:textId="77777777" w:rsidR="00DB52C8" w:rsidRPr="00E62AB4" w:rsidRDefault="00DB52C8" w:rsidP="00E62AB4">
            <w:pPr>
              <w:spacing w:before="40" w:after="40" w:line="220" w:lineRule="exact"/>
              <w:ind w:left="113"/>
              <w:jc w:val="right"/>
              <w:rPr>
                <w:sz w:val="18"/>
              </w:rPr>
            </w:pPr>
            <w:r w:rsidRPr="00E62AB4">
              <w:rPr>
                <w:sz w:val="18"/>
              </w:rPr>
              <w:t>5,1</w:t>
            </w:r>
          </w:p>
        </w:tc>
      </w:tr>
      <w:tr w:rsidR="00552214" w:rsidRPr="00E62AB4" w14:paraId="0FADE6FE" w14:textId="77777777" w:rsidTr="00552214">
        <w:trPr>
          <w:trHeight w:val="240"/>
        </w:trPr>
        <w:tc>
          <w:tcPr>
            <w:tcW w:w="3500" w:type="dxa"/>
            <w:shd w:val="clear" w:color="auto" w:fill="auto"/>
          </w:tcPr>
          <w:p w14:paraId="6A1E6229" w14:textId="5D7CE45C" w:rsidR="00DB52C8" w:rsidRPr="00E62AB4" w:rsidRDefault="00DB52C8" w:rsidP="00E62AB4">
            <w:pPr>
              <w:spacing w:before="40" w:after="40" w:line="220" w:lineRule="exact"/>
              <w:rPr>
                <w:sz w:val="18"/>
              </w:rPr>
            </w:pPr>
            <w:r w:rsidRPr="00E62AB4">
              <w:rPr>
                <w:sz w:val="18"/>
              </w:rPr>
              <w:t xml:space="preserve">Número de muertes de niños menores de 1 </w:t>
            </w:r>
            <w:proofErr w:type="spellStart"/>
            <w:r w:rsidRPr="00E62AB4">
              <w:rPr>
                <w:sz w:val="18"/>
              </w:rPr>
              <w:t>año</w:t>
            </w:r>
            <w:r w:rsidR="004A01CB" w:rsidRPr="004A01CB">
              <w:rPr>
                <w:sz w:val="18"/>
                <w:vertAlign w:val="superscript"/>
              </w:rPr>
              <w:t>3</w:t>
            </w:r>
            <w:proofErr w:type="spellEnd"/>
          </w:p>
        </w:tc>
        <w:tc>
          <w:tcPr>
            <w:tcW w:w="882" w:type="dxa"/>
            <w:shd w:val="clear" w:color="auto" w:fill="auto"/>
            <w:vAlign w:val="bottom"/>
          </w:tcPr>
          <w:p w14:paraId="2AA8B0F0" w14:textId="77777777" w:rsidR="00DB52C8" w:rsidRPr="00E62AB4" w:rsidRDefault="00DB52C8" w:rsidP="00E62AB4">
            <w:pPr>
              <w:spacing w:before="40" w:after="40" w:line="220" w:lineRule="exact"/>
              <w:ind w:left="113"/>
              <w:jc w:val="right"/>
              <w:rPr>
                <w:sz w:val="18"/>
              </w:rPr>
            </w:pPr>
            <w:r w:rsidRPr="00E62AB4">
              <w:rPr>
                <w:sz w:val="18"/>
              </w:rPr>
              <w:t>991</w:t>
            </w:r>
          </w:p>
        </w:tc>
        <w:tc>
          <w:tcPr>
            <w:tcW w:w="882" w:type="dxa"/>
            <w:shd w:val="clear" w:color="auto" w:fill="auto"/>
            <w:vAlign w:val="bottom"/>
          </w:tcPr>
          <w:p w14:paraId="2498AC33" w14:textId="77777777" w:rsidR="00DB52C8" w:rsidRPr="00E62AB4" w:rsidRDefault="00DB52C8" w:rsidP="00E62AB4">
            <w:pPr>
              <w:spacing w:before="40" w:after="40" w:line="220" w:lineRule="exact"/>
              <w:ind w:left="113"/>
              <w:jc w:val="right"/>
              <w:rPr>
                <w:sz w:val="18"/>
              </w:rPr>
            </w:pPr>
            <w:r w:rsidRPr="00E62AB4">
              <w:rPr>
                <w:sz w:val="18"/>
              </w:rPr>
              <w:t>970</w:t>
            </w:r>
          </w:p>
        </w:tc>
        <w:tc>
          <w:tcPr>
            <w:tcW w:w="853" w:type="dxa"/>
            <w:shd w:val="clear" w:color="auto" w:fill="auto"/>
            <w:vAlign w:val="bottom"/>
          </w:tcPr>
          <w:p w14:paraId="1012DF2C" w14:textId="4FF40A9A" w:rsidR="00DB52C8" w:rsidRPr="00E62AB4" w:rsidRDefault="00DB52C8" w:rsidP="00E62AB4">
            <w:pPr>
              <w:spacing w:before="40" w:after="40" w:line="220" w:lineRule="exact"/>
              <w:ind w:left="113"/>
              <w:jc w:val="right"/>
              <w:rPr>
                <w:sz w:val="18"/>
              </w:rPr>
            </w:pPr>
            <w:r w:rsidRPr="00E62AB4">
              <w:rPr>
                <w:sz w:val="18"/>
              </w:rPr>
              <w:t>1</w:t>
            </w:r>
            <w:r w:rsidR="00E62AB4">
              <w:rPr>
                <w:sz w:val="18"/>
              </w:rPr>
              <w:t xml:space="preserve"> </w:t>
            </w:r>
            <w:r w:rsidRPr="00E62AB4">
              <w:rPr>
                <w:sz w:val="18"/>
              </w:rPr>
              <w:t>019</w:t>
            </w:r>
          </w:p>
        </w:tc>
        <w:tc>
          <w:tcPr>
            <w:tcW w:w="882" w:type="dxa"/>
            <w:shd w:val="clear" w:color="auto" w:fill="auto"/>
            <w:vAlign w:val="bottom"/>
          </w:tcPr>
          <w:p w14:paraId="3F0848C4" w14:textId="77777777" w:rsidR="00DB52C8" w:rsidRPr="00E62AB4" w:rsidRDefault="00DB52C8" w:rsidP="00E62AB4">
            <w:pPr>
              <w:spacing w:before="40" w:after="40" w:line="220" w:lineRule="exact"/>
              <w:ind w:left="113"/>
              <w:jc w:val="right"/>
              <w:rPr>
                <w:sz w:val="18"/>
              </w:rPr>
            </w:pPr>
            <w:r w:rsidRPr="00E62AB4">
              <w:rPr>
                <w:sz w:val="18"/>
              </w:rPr>
              <w:t>988</w:t>
            </w:r>
          </w:p>
        </w:tc>
        <w:tc>
          <w:tcPr>
            <w:tcW w:w="882" w:type="dxa"/>
            <w:shd w:val="clear" w:color="auto" w:fill="auto"/>
            <w:vAlign w:val="bottom"/>
          </w:tcPr>
          <w:p w14:paraId="3BDC605E" w14:textId="383257DA" w:rsidR="00DB52C8" w:rsidRPr="00E62AB4" w:rsidRDefault="00DB52C8" w:rsidP="00E62AB4">
            <w:pPr>
              <w:spacing w:before="40" w:after="40" w:line="220" w:lineRule="exact"/>
              <w:ind w:left="113"/>
              <w:jc w:val="right"/>
              <w:rPr>
                <w:sz w:val="18"/>
              </w:rPr>
            </w:pPr>
            <w:r w:rsidRPr="00E62AB4">
              <w:rPr>
                <w:sz w:val="18"/>
              </w:rPr>
              <w:t>1</w:t>
            </w:r>
            <w:r w:rsidR="00E62AB4">
              <w:rPr>
                <w:sz w:val="18"/>
              </w:rPr>
              <w:t xml:space="preserve"> </w:t>
            </w:r>
            <w:r w:rsidRPr="00E62AB4">
              <w:rPr>
                <w:sz w:val="18"/>
              </w:rPr>
              <w:t>009</w:t>
            </w:r>
          </w:p>
        </w:tc>
        <w:tc>
          <w:tcPr>
            <w:tcW w:w="854" w:type="dxa"/>
            <w:shd w:val="clear" w:color="auto" w:fill="auto"/>
            <w:vAlign w:val="bottom"/>
          </w:tcPr>
          <w:p w14:paraId="1069D5D6" w14:textId="77777777" w:rsidR="00DB52C8" w:rsidRPr="00E62AB4" w:rsidRDefault="00DB52C8" w:rsidP="00E62AB4">
            <w:pPr>
              <w:spacing w:before="40" w:after="40" w:line="220" w:lineRule="exact"/>
              <w:ind w:left="113"/>
              <w:jc w:val="right"/>
              <w:rPr>
                <w:sz w:val="18"/>
              </w:rPr>
            </w:pPr>
            <w:r w:rsidRPr="00E62AB4">
              <w:rPr>
                <w:sz w:val="18"/>
              </w:rPr>
              <w:t>943</w:t>
            </w:r>
          </w:p>
        </w:tc>
        <w:tc>
          <w:tcPr>
            <w:tcW w:w="896" w:type="dxa"/>
            <w:shd w:val="clear" w:color="auto" w:fill="auto"/>
            <w:vAlign w:val="bottom"/>
          </w:tcPr>
          <w:p w14:paraId="473D247F" w14:textId="6CA14743" w:rsidR="00DB52C8" w:rsidRPr="00E62AB4" w:rsidRDefault="00DB52C8" w:rsidP="00E62AB4">
            <w:pPr>
              <w:spacing w:before="40" w:after="40" w:line="220" w:lineRule="exact"/>
              <w:ind w:left="113"/>
              <w:jc w:val="right"/>
              <w:rPr>
                <w:sz w:val="18"/>
              </w:rPr>
            </w:pPr>
            <w:r w:rsidRPr="00E62AB4">
              <w:rPr>
                <w:sz w:val="18"/>
              </w:rPr>
              <w:t>1</w:t>
            </w:r>
            <w:r w:rsidR="00E62AB4">
              <w:rPr>
                <w:sz w:val="18"/>
              </w:rPr>
              <w:t xml:space="preserve"> </w:t>
            </w:r>
            <w:r w:rsidRPr="00E62AB4">
              <w:rPr>
                <w:sz w:val="18"/>
              </w:rPr>
              <w:t>009</w:t>
            </w:r>
          </w:p>
        </w:tc>
      </w:tr>
      <w:tr w:rsidR="00552214" w:rsidRPr="00E62AB4" w14:paraId="5632360D" w14:textId="77777777" w:rsidTr="00552214">
        <w:trPr>
          <w:trHeight w:val="240"/>
        </w:trPr>
        <w:tc>
          <w:tcPr>
            <w:tcW w:w="3500" w:type="dxa"/>
            <w:tcBorders>
              <w:bottom w:val="single" w:sz="12" w:space="0" w:color="auto"/>
            </w:tcBorders>
            <w:shd w:val="clear" w:color="auto" w:fill="auto"/>
          </w:tcPr>
          <w:p w14:paraId="1D83635C" w14:textId="77777777" w:rsidR="00DB52C8" w:rsidRPr="00E62AB4" w:rsidRDefault="00DB52C8" w:rsidP="00E62AB4">
            <w:pPr>
              <w:spacing w:before="40" w:after="40" w:line="220" w:lineRule="exact"/>
              <w:rPr>
                <w:sz w:val="18"/>
              </w:rPr>
            </w:pPr>
            <w:r w:rsidRPr="00E62AB4">
              <w:rPr>
                <w:sz w:val="18"/>
              </w:rPr>
              <w:t>Tasa de mortalidad de niños menores de 1 año</w:t>
            </w:r>
          </w:p>
          <w:p w14:paraId="54878608" w14:textId="77777777" w:rsidR="00DB52C8" w:rsidRPr="00E62AB4" w:rsidRDefault="00DB52C8" w:rsidP="00E62AB4">
            <w:pPr>
              <w:spacing w:before="40" w:after="40" w:line="220" w:lineRule="exact"/>
              <w:rPr>
                <w:sz w:val="18"/>
              </w:rPr>
            </w:pPr>
            <w:r w:rsidRPr="00E62AB4">
              <w:rPr>
                <w:sz w:val="18"/>
              </w:rPr>
              <w:t>(muertes por cada 1.000 nacidos vivos)</w:t>
            </w:r>
          </w:p>
        </w:tc>
        <w:tc>
          <w:tcPr>
            <w:tcW w:w="882" w:type="dxa"/>
            <w:tcBorders>
              <w:bottom w:val="single" w:sz="12" w:space="0" w:color="auto"/>
            </w:tcBorders>
            <w:shd w:val="clear" w:color="auto" w:fill="auto"/>
            <w:vAlign w:val="bottom"/>
          </w:tcPr>
          <w:p w14:paraId="6E2DB0ED" w14:textId="77777777" w:rsidR="00DB52C8" w:rsidRPr="00E62AB4" w:rsidRDefault="00DB52C8" w:rsidP="00E62AB4">
            <w:pPr>
              <w:spacing w:before="40" w:after="40" w:line="220" w:lineRule="exact"/>
              <w:ind w:left="113"/>
              <w:jc w:val="right"/>
              <w:rPr>
                <w:sz w:val="18"/>
              </w:rPr>
            </w:pPr>
            <w:r w:rsidRPr="00E62AB4">
              <w:rPr>
                <w:sz w:val="18"/>
              </w:rPr>
              <w:t>3,2</w:t>
            </w:r>
          </w:p>
        </w:tc>
        <w:tc>
          <w:tcPr>
            <w:tcW w:w="882" w:type="dxa"/>
            <w:tcBorders>
              <w:bottom w:val="single" w:sz="12" w:space="0" w:color="auto"/>
            </w:tcBorders>
            <w:shd w:val="clear" w:color="auto" w:fill="auto"/>
            <w:vAlign w:val="bottom"/>
          </w:tcPr>
          <w:p w14:paraId="69E973FF" w14:textId="77777777" w:rsidR="00DB52C8" w:rsidRPr="00E62AB4" w:rsidRDefault="00DB52C8" w:rsidP="00E62AB4">
            <w:pPr>
              <w:spacing w:before="40" w:after="40" w:line="220" w:lineRule="exact"/>
              <w:ind w:left="113"/>
              <w:jc w:val="right"/>
              <w:rPr>
                <w:sz w:val="18"/>
              </w:rPr>
            </w:pPr>
            <w:r w:rsidRPr="00E62AB4">
              <w:rPr>
                <w:sz w:val="18"/>
              </w:rPr>
              <w:t>3,1</w:t>
            </w:r>
          </w:p>
        </w:tc>
        <w:tc>
          <w:tcPr>
            <w:tcW w:w="853" w:type="dxa"/>
            <w:tcBorders>
              <w:bottom w:val="single" w:sz="12" w:space="0" w:color="auto"/>
            </w:tcBorders>
            <w:shd w:val="clear" w:color="auto" w:fill="auto"/>
            <w:vAlign w:val="bottom"/>
          </w:tcPr>
          <w:p w14:paraId="3C14003D" w14:textId="77777777" w:rsidR="00DB52C8" w:rsidRPr="00E62AB4" w:rsidRDefault="00DB52C8" w:rsidP="00E62AB4">
            <w:pPr>
              <w:spacing w:before="40" w:after="40" w:line="220" w:lineRule="exact"/>
              <w:ind w:left="113"/>
              <w:jc w:val="right"/>
              <w:rPr>
                <w:sz w:val="18"/>
              </w:rPr>
            </w:pPr>
            <w:r w:rsidRPr="00E62AB4">
              <w:rPr>
                <w:sz w:val="18"/>
              </w:rPr>
              <w:t>3,3</w:t>
            </w:r>
          </w:p>
        </w:tc>
        <w:tc>
          <w:tcPr>
            <w:tcW w:w="882" w:type="dxa"/>
            <w:tcBorders>
              <w:bottom w:val="single" w:sz="12" w:space="0" w:color="auto"/>
            </w:tcBorders>
            <w:shd w:val="clear" w:color="auto" w:fill="auto"/>
            <w:vAlign w:val="bottom"/>
          </w:tcPr>
          <w:p w14:paraId="6659EEA3" w14:textId="77777777" w:rsidR="00DB52C8" w:rsidRPr="00E62AB4" w:rsidRDefault="00DB52C8" w:rsidP="00E62AB4">
            <w:pPr>
              <w:spacing w:before="40" w:after="40" w:line="220" w:lineRule="exact"/>
              <w:ind w:left="113"/>
              <w:jc w:val="right"/>
              <w:rPr>
                <w:sz w:val="18"/>
              </w:rPr>
            </w:pPr>
            <w:r w:rsidRPr="00E62AB4">
              <w:rPr>
                <w:sz w:val="18"/>
              </w:rPr>
              <w:t>3,1</w:t>
            </w:r>
          </w:p>
        </w:tc>
        <w:tc>
          <w:tcPr>
            <w:tcW w:w="882" w:type="dxa"/>
            <w:tcBorders>
              <w:bottom w:val="single" w:sz="12" w:space="0" w:color="auto"/>
            </w:tcBorders>
            <w:shd w:val="clear" w:color="auto" w:fill="auto"/>
            <w:vAlign w:val="bottom"/>
          </w:tcPr>
          <w:p w14:paraId="2324D230" w14:textId="77777777" w:rsidR="00DB52C8" w:rsidRPr="00E62AB4" w:rsidRDefault="00DB52C8" w:rsidP="00E62AB4">
            <w:pPr>
              <w:spacing w:before="40" w:after="40" w:line="220" w:lineRule="exact"/>
              <w:ind w:left="113"/>
              <w:jc w:val="right"/>
              <w:rPr>
                <w:sz w:val="18"/>
              </w:rPr>
            </w:pPr>
            <w:r w:rsidRPr="00E62AB4">
              <w:rPr>
                <w:sz w:val="18"/>
              </w:rPr>
              <w:t>3,3</w:t>
            </w:r>
          </w:p>
        </w:tc>
        <w:tc>
          <w:tcPr>
            <w:tcW w:w="854" w:type="dxa"/>
            <w:tcBorders>
              <w:bottom w:val="single" w:sz="12" w:space="0" w:color="auto"/>
            </w:tcBorders>
            <w:shd w:val="clear" w:color="auto" w:fill="auto"/>
            <w:vAlign w:val="bottom"/>
          </w:tcPr>
          <w:p w14:paraId="56A02F49" w14:textId="77777777" w:rsidR="00DB52C8" w:rsidRPr="00E62AB4" w:rsidRDefault="00DB52C8" w:rsidP="00E62AB4">
            <w:pPr>
              <w:spacing w:before="40" w:after="40" w:line="220" w:lineRule="exact"/>
              <w:ind w:left="113"/>
              <w:jc w:val="right"/>
              <w:rPr>
                <w:sz w:val="18"/>
              </w:rPr>
            </w:pPr>
            <w:r w:rsidRPr="00E62AB4">
              <w:rPr>
                <w:sz w:val="18"/>
              </w:rPr>
              <w:t>3,2</w:t>
            </w:r>
          </w:p>
        </w:tc>
        <w:tc>
          <w:tcPr>
            <w:tcW w:w="896" w:type="dxa"/>
            <w:tcBorders>
              <w:bottom w:val="single" w:sz="12" w:space="0" w:color="auto"/>
            </w:tcBorders>
            <w:shd w:val="clear" w:color="auto" w:fill="auto"/>
            <w:vAlign w:val="bottom"/>
          </w:tcPr>
          <w:p w14:paraId="5A42F808" w14:textId="77777777" w:rsidR="00DB52C8" w:rsidRPr="00E62AB4" w:rsidRDefault="00DB52C8" w:rsidP="00E62AB4">
            <w:pPr>
              <w:spacing w:before="40" w:after="40" w:line="220" w:lineRule="exact"/>
              <w:ind w:left="113"/>
              <w:jc w:val="right"/>
              <w:rPr>
                <w:sz w:val="18"/>
              </w:rPr>
            </w:pPr>
            <w:r w:rsidRPr="00E62AB4">
              <w:rPr>
                <w:sz w:val="18"/>
              </w:rPr>
              <w:t>3,3</w:t>
            </w:r>
          </w:p>
        </w:tc>
      </w:tr>
    </w:tbl>
    <w:p w14:paraId="5F50872F" w14:textId="77777777" w:rsidR="00DB52C8" w:rsidRPr="00552214" w:rsidRDefault="00DB52C8" w:rsidP="00552214">
      <w:pPr>
        <w:spacing w:before="120"/>
        <w:ind w:firstLine="170"/>
        <w:rPr>
          <w:sz w:val="18"/>
          <w:szCs w:val="18"/>
        </w:rPr>
      </w:pPr>
      <w:r w:rsidRPr="00552214">
        <w:rPr>
          <w:sz w:val="18"/>
          <w:szCs w:val="18"/>
          <w:vertAlign w:val="superscript"/>
        </w:rPr>
        <w:t>1</w:t>
      </w:r>
      <w:r w:rsidRPr="00552214">
        <w:rPr>
          <w:sz w:val="18"/>
          <w:szCs w:val="18"/>
        </w:rPr>
        <w:t xml:space="preserve"> Suma de las tasas de fecundidad por edad, que representa el número de hijos que una mujer tendría durante toda su vida de acuerdo con las tasas de fecundidad por edad existentes en cada momento de su vida reproductiva (de 15 a 49 años).</w:t>
      </w:r>
    </w:p>
    <w:p w14:paraId="2F5EF695" w14:textId="77777777" w:rsidR="00DB52C8" w:rsidRDefault="00DB52C8" w:rsidP="00552214">
      <w:pPr>
        <w:ind w:firstLine="170"/>
        <w:rPr>
          <w:sz w:val="18"/>
          <w:szCs w:val="18"/>
        </w:rPr>
      </w:pPr>
      <w:r w:rsidRPr="00552214">
        <w:rPr>
          <w:sz w:val="18"/>
          <w:szCs w:val="18"/>
          <w:vertAlign w:val="superscript"/>
        </w:rPr>
        <w:t>2</w:t>
      </w:r>
      <w:r w:rsidRPr="00552214">
        <w:rPr>
          <w:sz w:val="18"/>
          <w:szCs w:val="18"/>
        </w:rPr>
        <w:t xml:space="preserve"> Estructura por edad de la población.</w:t>
      </w:r>
    </w:p>
    <w:p w14:paraId="1E8C79A6" w14:textId="0F3F1F9A" w:rsidR="004A01CB" w:rsidRPr="00552214" w:rsidRDefault="004A01CB" w:rsidP="004A01CB">
      <w:pPr>
        <w:ind w:firstLine="170"/>
        <w:rPr>
          <w:sz w:val="18"/>
          <w:szCs w:val="18"/>
        </w:rPr>
      </w:pPr>
      <w:r>
        <w:rPr>
          <w:sz w:val="18"/>
          <w:szCs w:val="18"/>
          <w:vertAlign w:val="superscript"/>
        </w:rPr>
        <w:t>3</w:t>
      </w:r>
      <w:r w:rsidRPr="00552214">
        <w:rPr>
          <w:sz w:val="18"/>
          <w:szCs w:val="18"/>
        </w:rPr>
        <w:t xml:space="preserve"> </w:t>
      </w:r>
      <w:r>
        <w:rPr>
          <w:sz w:val="18"/>
          <w:szCs w:val="18"/>
        </w:rPr>
        <w:t>Muerte, antes de su primer cumpleaños, de un niño nacido vivo</w:t>
      </w:r>
      <w:r w:rsidRPr="00552214">
        <w:rPr>
          <w:sz w:val="18"/>
          <w:szCs w:val="18"/>
        </w:rPr>
        <w:t>.</w:t>
      </w:r>
    </w:p>
    <w:p w14:paraId="068F7DE0" w14:textId="49AA8AAB" w:rsidR="00DB52C8" w:rsidRPr="00552214" w:rsidRDefault="00DB52C8" w:rsidP="00552214">
      <w:pPr>
        <w:spacing w:after="240"/>
        <w:ind w:firstLine="170"/>
        <w:rPr>
          <w:sz w:val="18"/>
          <w:szCs w:val="18"/>
        </w:rPr>
      </w:pPr>
      <w:r w:rsidRPr="00552214">
        <w:rPr>
          <w:i/>
          <w:iCs/>
          <w:sz w:val="18"/>
          <w:szCs w:val="18"/>
        </w:rPr>
        <w:t>Fuente</w:t>
      </w:r>
      <w:r w:rsidRPr="004A01CB">
        <w:rPr>
          <w:i/>
          <w:iCs/>
          <w:sz w:val="18"/>
          <w:szCs w:val="18"/>
        </w:rPr>
        <w:t>:</w:t>
      </w:r>
      <w:r w:rsidRPr="00552214">
        <w:rPr>
          <w:sz w:val="18"/>
          <w:szCs w:val="18"/>
        </w:rPr>
        <w:t xml:space="preserve"> Oficina Australiana de Estadística, </w:t>
      </w:r>
      <w:r w:rsidRPr="00552214">
        <w:rPr>
          <w:i/>
          <w:iCs/>
          <w:sz w:val="18"/>
          <w:szCs w:val="18"/>
        </w:rPr>
        <w:t>3301.0 – Nacimientos, Australia</w:t>
      </w:r>
      <w:r w:rsidRPr="00552214">
        <w:rPr>
          <w:sz w:val="18"/>
          <w:szCs w:val="18"/>
        </w:rPr>
        <w:t xml:space="preserve">; Oficina Australiana de Estadística, </w:t>
      </w:r>
      <w:r w:rsidRPr="00552214">
        <w:rPr>
          <w:i/>
          <w:iCs/>
          <w:sz w:val="18"/>
          <w:szCs w:val="18"/>
        </w:rPr>
        <w:t>3302.0</w:t>
      </w:r>
      <w:r w:rsidR="00DC468E">
        <w:rPr>
          <w:i/>
          <w:iCs/>
          <w:sz w:val="18"/>
          <w:szCs w:val="18"/>
        </w:rPr>
        <w:t> – </w:t>
      </w:r>
      <w:r w:rsidRPr="00552214">
        <w:rPr>
          <w:i/>
          <w:iCs/>
          <w:sz w:val="18"/>
          <w:szCs w:val="18"/>
        </w:rPr>
        <w:t>Defunciones, Australia</w:t>
      </w:r>
      <w:r w:rsidRPr="00552214">
        <w:rPr>
          <w:sz w:val="18"/>
          <w:szCs w:val="18"/>
        </w:rPr>
        <w:t>.</w:t>
      </w:r>
    </w:p>
    <w:p w14:paraId="49DC9D37" w14:textId="77777777" w:rsidR="00DB52C8" w:rsidRPr="00C52B38" w:rsidRDefault="00DB52C8" w:rsidP="00552214">
      <w:pPr>
        <w:pStyle w:val="SingleTxtG"/>
        <w:spacing w:after="0"/>
      </w:pPr>
      <w:r w:rsidRPr="00C52B38">
        <w:lastRenderedPageBreak/>
        <w:t xml:space="preserve">Cuadro </w:t>
      </w:r>
      <w:proofErr w:type="spellStart"/>
      <w:r w:rsidRPr="00C52B38">
        <w:t>A3</w:t>
      </w:r>
      <w:proofErr w:type="spellEnd"/>
    </w:p>
    <w:p w14:paraId="2F883294" w14:textId="77777777" w:rsidR="00DB52C8" w:rsidRPr="00C52B38" w:rsidRDefault="00DB52C8" w:rsidP="00552214">
      <w:pPr>
        <w:pStyle w:val="SingleTxtG"/>
        <w:rPr>
          <w:b/>
          <w:bCs/>
        </w:rPr>
      </w:pPr>
      <w:r w:rsidRPr="00C52B38">
        <w:rPr>
          <w:b/>
          <w:bCs/>
        </w:rPr>
        <w:t>Ingresos y patrimonio de los hogares en Australia, de 2009 a 2010 y de 2019 a 2020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78"/>
        <w:gridCol w:w="1701"/>
        <w:gridCol w:w="991"/>
      </w:tblGrid>
      <w:tr w:rsidR="00DB52C8" w:rsidRPr="00552214" w14:paraId="09D2FA99" w14:textId="77777777" w:rsidTr="00552214">
        <w:trPr>
          <w:trHeight w:val="240"/>
          <w:tblHeader/>
        </w:trPr>
        <w:tc>
          <w:tcPr>
            <w:tcW w:w="4678" w:type="dxa"/>
            <w:tcBorders>
              <w:top w:val="single" w:sz="4" w:space="0" w:color="auto"/>
              <w:bottom w:val="single" w:sz="12" w:space="0" w:color="auto"/>
            </w:tcBorders>
            <w:shd w:val="clear" w:color="auto" w:fill="auto"/>
            <w:vAlign w:val="bottom"/>
          </w:tcPr>
          <w:p w14:paraId="17092B50" w14:textId="77777777" w:rsidR="00DB52C8" w:rsidRPr="00552214" w:rsidRDefault="00DB52C8" w:rsidP="00552214">
            <w:pPr>
              <w:spacing w:before="80" w:after="80" w:line="200" w:lineRule="exact"/>
              <w:rPr>
                <w:i/>
                <w:sz w:val="16"/>
              </w:rPr>
            </w:pPr>
            <w:r w:rsidRPr="00552214">
              <w:rPr>
                <w:i/>
                <w:iCs/>
                <w:sz w:val="16"/>
              </w:rPr>
              <w:t>Indicador</w:t>
            </w:r>
          </w:p>
        </w:tc>
        <w:tc>
          <w:tcPr>
            <w:tcW w:w="1701" w:type="dxa"/>
            <w:tcBorders>
              <w:top w:val="single" w:sz="4" w:space="0" w:color="auto"/>
              <w:bottom w:val="single" w:sz="12" w:space="0" w:color="auto"/>
            </w:tcBorders>
            <w:shd w:val="clear" w:color="auto" w:fill="auto"/>
            <w:vAlign w:val="bottom"/>
          </w:tcPr>
          <w:p w14:paraId="55CF63D8" w14:textId="77777777" w:rsidR="00DB52C8" w:rsidRPr="00552214" w:rsidRDefault="00DB52C8" w:rsidP="00552214">
            <w:pPr>
              <w:spacing w:before="80" w:after="80" w:line="200" w:lineRule="exact"/>
              <w:ind w:left="113"/>
              <w:jc w:val="right"/>
              <w:rPr>
                <w:i/>
                <w:sz w:val="16"/>
              </w:rPr>
            </w:pPr>
            <w:r w:rsidRPr="00552214">
              <w:rPr>
                <w:i/>
                <w:iCs/>
                <w:sz w:val="16"/>
              </w:rPr>
              <w:t>2009-2010</w:t>
            </w:r>
          </w:p>
        </w:tc>
        <w:tc>
          <w:tcPr>
            <w:tcW w:w="991" w:type="dxa"/>
            <w:tcBorders>
              <w:top w:val="single" w:sz="4" w:space="0" w:color="auto"/>
              <w:bottom w:val="single" w:sz="12" w:space="0" w:color="auto"/>
            </w:tcBorders>
            <w:shd w:val="clear" w:color="auto" w:fill="auto"/>
            <w:vAlign w:val="bottom"/>
          </w:tcPr>
          <w:p w14:paraId="10362FC3" w14:textId="77777777" w:rsidR="00DB52C8" w:rsidRPr="00552214" w:rsidRDefault="00DB52C8" w:rsidP="00552214">
            <w:pPr>
              <w:spacing w:before="80" w:after="80" w:line="200" w:lineRule="exact"/>
              <w:ind w:left="113"/>
              <w:jc w:val="right"/>
              <w:rPr>
                <w:i/>
                <w:sz w:val="16"/>
              </w:rPr>
            </w:pPr>
            <w:r w:rsidRPr="00552214">
              <w:rPr>
                <w:i/>
                <w:iCs/>
                <w:sz w:val="16"/>
              </w:rPr>
              <w:t>2019-2020</w:t>
            </w:r>
          </w:p>
        </w:tc>
      </w:tr>
      <w:tr w:rsidR="00DB52C8" w:rsidRPr="00552214" w14:paraId="13611653" w14:textId="77777777" w:rsidTr="00552214">
        <w:trPr>
          <w:trHeight w:val="240"/>
          <w:tblHeader/>
        </w:trPr>
        <w:tc>
          <w:tcPr>
            <w:tcW w:w="4678" w:type="dxa"/>
            <w:tcBorders>
              <w:top w:val="single" w:sz="12" w:space="0" w:color="auto"/>
            </w:tcBorders>
            <w:shd w:val="clear" w:color="auto" w:fill="auto"/>
          </w:tcPr>
          <w:p w14:paraId="7DE4803E" w14:textId="77777777" w:rsidR="00DB52C8" w:rsidRPr="00552214" w:rsidRDefault="00DB52C8" w:rsidP="00552214">
            <w:pPr>
              <w:spacing w:before="40" w:after="40" w:line="220" w:lineRule="exact"/>
              <w:rPr>
                <w:sz w:val="18"/>
              </w:rPr>
            </w:pPr>
            <w:r w:rsidRPr="00552214">
              <w:rPr>
                <w:sz w:val="18"/>
              </w:rPr>
              <w:t>Principal fuente de ingresos de los hogares</w:t>
            </w:r>
          </w:p>
        </w:tc>
        <w:tc>
          <w:tcPr>
            <w:tcW w:w="1701" w:type="dxa"/>
            <w:tcBorders>
              <w:top w:val="single" w:sz="12" w:space="0" w:color="auto"/>
            </w:tcBorders>
            <w:shd w:val="clear" w:color="auto" w:fill="auto"/>
            <w:vAlign w:val="bottom"/>
          </w:tcPr>
          <w:p w14:paraId="4218C15C" w14:textId="77777777" w:rsidR="00DB52C8" w:rsidRPr="00552214" w:rsidRDefault="00DB52C8" w:rsidP="00552214">
            <w:pPr>
              <w:spacing w:before="40" w:after="40" w:line="220" w:lineRule="exact"/>
              <w:ind w:left="113"/>
              <w:jc w:val="right"/>
              <w:rPr>
                <w:sz w:val="18"/>
              </w:rPr>
            </w:pPr>
          </w:p>
        </w:tc>
        <w:tc>
          <w:tcPr>
            <w:tcW w:w="991" w:type="dxa"/>
            <w:tcBorders>
              <w:top w:val="single" w:sz="12" w:space="0" w:color="auto"/>
            </w:tcBorders>
            <w:shd w:val="clear" w:color="auto" w:fill="auto"/>
            <w:vAlign w:val="bottom"/>
          </w:tcPr>
          <w:p w14:paraId="4ABEC38F" w14:textId="77777777" w:rsidR="00DB52C8" w:rsidRPr="00552214" w:rsidRDefault="00DB52C8" w:rsidP="00552214">
            <w:pPr>
              <w:spacing w:before="40" w:after="40" w:line="220" w:lineRule="exact"/>
              <w:ind w:left="113"/>
              <w:jc w:val="right"/>
              <w:rPr>
                <w:sz w:val="18"/>
              </w:rPr>
            </w:pPr>
          </w:p>
        </w:tc>
      </w:tr>
      <w:tr w:rsidR="00DB52C8" w:rsidRPr="00552214" w14:paraId="4742A6FD" w14:textId="77777777" w:rsidTr="00552214">
        <w:trPr>
          <w:trHeight w:val="240"/>
        </w:trPr>
        <w:tc>
          <w:tcPr>
            <w:tcW w:w="4678" w:type="dxa"/>
            <w:shd w:val="clear" w:color="auto" w:fill="auto"/>
          </w:tcPr>
          <w:p w14:paraId="0EA22BAC" w14:textId="77777777" w:rsidR="00DB52C8" w:rsidRPr="00552214" w:rsidRDefault="00DB52C8" w:rsidP="00DC468E">
            <w:pPr>
              <w:spacing w:before="40" w:after="40" w:line="220" w:lineRule="exact"/>
              <w:ind w:firstLine="170"/>
              <w:rPr>
                <w:sz w:val="18"/>
              </w:rPr>
            </w:pPr>
            <w:r w:rsidRPr="00552214">
              <w:rPr>
                <w:sz w:val="18"/>
              </w:rPr>
              <w:t>Ingresos de los miembros del hogar empleados</w:t>
            </w:r>
          </w:p>
        </w:tc>
        <w:tc>
          <w:tcPr>
            <w:tcW w:w="1701" w:type="dxa"/>
            <w:shd w:val="clear" w:color="auto" w:fill="auto"/>
            <w:vAlign w:val="bottom"/>
          </w:tcPr>
          <w:p w14:paraId="7E721DD4" w14:textId="77777777" w:rsidR="00DB52C8" w:rsidRPr="00552214" w:rsidRDefault="00DB52C8" w:rsidP="00552214">
            <w:pPr>
              <w:spacing w:before="40" w:after="40" w:line="220" w:lineRule="exact"/>
              <w:ind w:left="113"/>
              <w:jc w:val="right"/>
              <w:rPr>
                <w:sz w:val="18"/>
              </w:rPr>
            </w:pPr>
            <w:r w:rsidRPr="00552214">
              <w:rPr>
                <w:sz w:val="18"/>
              </w:rPr>
              <w:t>60,8 %</w:t>
            </w:r>
          </w:p>
        </w:tc>
        <w:tc>
          <w:tcPr>
            <w:tcW w:w="991" w:type="dxa"/>
            <w:shd w:val="clear" w:color="auto" w:fill="auto"/>
            <w:vAlign w:val="bottom"/>
          </w:tcPr>
          <w:p w14:paraId="7AEF3EA1" w14:textId="77777777" w:rsidR="00DB52C8" w:rsidRPr="00552214" w:rsidRDefault="00DB52C8" w:rsidP="00552214">
            <w:pPr>
              <w:spacing w:before="40" w:after="40" w:line="220" w:lineRule="exact"/>
              <w:ind w:left="113"/>
              <w:jc w:val="right"/>
              <w:rPr>
                <w:sz w:val="18"/>
              </w:rPr>
            </w:pPr>
            <w:r w:rsidRPr="00552214">
              <w:rPr>
                <w:sz w:val="18"/>
              </w:rPr>
              <w:t>61,9 %</w:t>
            </w:r>
          </w:p>
        </w:tc>
      </w:tr>
      <w:tr w:rsidR="00DB52C8" w:rsidRPr="00552214" w14:paraId="033F49E2" w14:textId="77777777" w:rsidTr="00552214">
        <w:trPr>
          <w:trHeight w:val="240"/>
        </w:trPr>
        <w:tc>
          <w:tcPr>
            <w:tcW w:w="4678" w:type="dxa"/>
            <w:shd w:val="clear" w:color="auto" w:fill="auto"/>
          </w:tcPr>
          <w:p w14:paraId="630D2587" w14:textId="77777777" w:rsidR="00DB52C8" w:rsidRPr="00552214" w:rsidRDefault="00DB52C8" w:rsidP="00DC468E">
            <w:pPr>
              <w:spacing w:before="40" w:after="40" w:line="220" w:lineRule="exact"/>
              <w:ind w:firstLine="170"/>
              <w:rPr>
                <w:sz w:val="18"/>
              </w:rPr>
            </w:pPr>
            <w:r w:rsidRPr="00552214">
              <w:rPr>
                <w:sz w:val="18"/>
              </w:rPr>
              <w:t>Pensión o subsidio gubernamental</w:t>
            </w:r>
          </w:p>
        </w:tc>
        <w:tc>
          <w:tcPr>
            <w:tcW w:w="1701" w:type="dxa"/>
            <w:shd w:val="clear" w:color="auto" w:fill="auto"/>
            <w:vAlign w:val="bottom"/>
          </w:tcPr>
          <w:p w14:paraId="0A65A249" w14:textId="77777777" w:rsidR="00DB52C8" w:rsidRPr="00552214" w:rsidRDefault="00DB52C8" w:rsidP="00552214">
            <w:pPr>
              <w:spacing w:before="40" w:after="40" w:line="220" w:lineRule="exact"/>
              <w:ind w:left="113"/>
              <w:jc w:val="right"/>
              <w:rPr>
                <w:sz w:val="18"/>
              </w:rPr>
            </w:pPr>
            <w:r w:rsidRPr="00552214">
              <w:rPr>
                <w:sz w:val="18"/>
              </w:rPr>
              <w:t>25,2 %</w:t>
            </w:r>
          </w:p>
        </w:tc>
        <w:tc>
          <w:tcPr>
            <w:tcW w:w="991" w:type="dxa"/>
            <w:shd w:val="clear" w:color="auto" w:fill="auto"/>
            <w:vAlign w:val="bottom"/>
          </w:tcPr>
          <w:p w14:paraId="780F6FC1" w14:textId="77777777" w:rsidR="00DB52C8" w:rsidRPr="00552214" w:rsidRDefault="00DB52C8" w:rsidP="00552214">
            <w:pPr>
              <w:spacing w:before="40" w:after="40" w:line="220" w:lineRule="exact"/>
              <w:ind w:left="113"/>
              <w:jc w:val="right"/>
              <w:rPr>
                <w:sz w:val="18"/>
              </w:rPr>
            </w:pPr>
            <w:r w:rsidRPr="00552214">
              <w:rPr>
                <w:sz w:val="18"/>
              </w:rPr>
              <w:t>22,3 %</w:t>
            </w:r>
          </w:p>
        </w:tc>
      </w:tr>
      <w:tr w:rsidR="00DB52C8" w:rsidRPr="00552214" w14:paraId="0E19AE28" w14:textId="77777777" w:rsidTr="00552214">
        <w:trPr>
          <w:trHeight w:val="240"/>
        </w:trPr>
        <w:tc>
          <w:tcPr>
            <w:tcW w:w="4678" w:type="dxa"/>
            <w:shd w:val="clear" w:color="auto" w:fill="auto"/>
          </w:tcPr>
          <w:p w14:paraId="2E0225DD" w14:textId="77777777" w:rsidR="00DB52C8" w:rsidRPr="00552214" w:rsidRDefault="00DB52C8" w:rsidP="00DC468E">
            <w:pPr>
              <w:spacing w:before="40" w:after="40" w:line="220" w:lineRule="exact"/>
              <w:ind w:firstLine="170"/>
              <w:rPr>
                <w:sz w:val="18"/>
              </w:rPr>
            </w:pPr>
            <w:r w:rsidRPr="00552214">
              <w:rPr>
                <w:sz w:val="18"/>
              </w:rPr>
              <w:t>Otras fuentes</w:t>
            </w:r>
          </w:p>
        </w:tc>
        <w:tc>
          <w:tcPr>
            <w:tcW w:w="1701" w:type="dxa"/>
            <w:shd w:val="clear" w:color="auto" w:fill="auto"/>
            <w:vAlign w:val="bottom"/>
          </w:tcPr>
          <w:p w14:paraId="2373630F" w14:textId="77777777" w:rsidR="00DB52C8" w:rsidRPr="00552214" w:rsidRDefault="00DB52C8" w:rsidP="00552214">
            <w:pPr>
              <w:spacing w:before="40" w:after="40" w:line="220" w:lineRule="exact"/>
              <w:ind w:left="113"/>
              <w:jc w:val="right"/>
              <w:rPr>
                <w:sz w:val="18"/>
              </w:rPr>
            </w:pPr>
            <w:r w:rsidRPr="00552214">
              <w:rPr>
                <w:sz w:val="18"/>
              </w:rPr>
              <w:t>8,7 %</w:t>
            </w:r>
          </w:p>
        </w:tc>
        <w:tc>
          <w:tcPr>
            <w:tcW w:w="991" w:type="dxa"/>
            <w:shd w:val="clear" w:color="auto" w:fill="auto"/>
            <w:vAlign w:val="bottom"/>
          </w:tcPr>
          <w:p w14:paraId="1CAC03C7" w14:textId="77777777" w:rsidR="00DB52C8" w:rsidRPr="00552214" w:rsidRDefault="00DB52C8" w:rsidP="00552214">
            <w:pPr>
              <w:spacing w:before="40" w:after="40" w:line="220" w:lineRule="exact"/>
              <w:ind w:left="113"/>
              <w:jc w:val="right"/>
              <w:rPr>
                <w:sz w:val="18"/>
              </w:rPr>
            </w:pPr>
            <w:r w:rsidRPr="00552214">
              <w:rPr>
                <w:sz w:val="18"/>
              </w:rPr>
              <w:t>12,1 %</w:t>
            </w:r>
          </w:p>
        </w:tc>
      </w:tr>
      <w:tr w:rsidR="00DB52C8" w:rsidRPr="00552214" w14:paraId="6633BC23" w14:textId="77777777" w:rsidTr="00552214">
        <w:trPr>
          <w:trHeight w:val="240"/>
        </w:trPr>
        <w:tc>
          <w:tcPr>
            <w:tcW w:w="4678" w:type="dxa"/>
            <w:shd w:val="clear" w:color="auto" w:fill="auto"/>
          </w:tcPr>
          <w:p w14:paraId="0A3AE53D" w14:textId="77777777" w:rsidR="00DB52C8" w:rsidRPr="00552214" w:rsidRDefault="00DB52C8" w:rsidP="00552214">
            <w:pPr>
              <w:spacing w:before="40" w:after="40" w:line="220" w:lineRule="exact"/>
              <w:rPr>
                <w:sz w:val="18"/>
              </w:rPr>
            </w:pPr>
            <w:r w:rsidRPr="00552214">
              <w:rPr>
                <w:sz w:val="18"/>
              </w:rPr>
              <w:t>Mediana de los ingresos brutos semanales de los hogares</w:t>
            </w:r>
          </w:p>
        </w:tc>
        <w:tc>
          <w:tcPr>
            <w:tcW w:w="1701" w:type="dxa"/>
            <w:shd w:val="clear" w:color="auto" w:fill="auto"/>
            <w:vAlign w:val="bottom"/>
          </w:tcPr>
          <w:p w14:paraId="10790B30" w14:textId="270F6C0D" w:rsidR="00DB52C8" w:rsidRPr="00552214" w:rsidRDefault="00DB52C8" w:rsidP="00552214">
            <w:pPr>
              <w:spacing w:before="40" w:after="40" w:line="220" w:lineRule="exact"/>
              <w:ind w:left="113"/>
              <w:jc w:val="right"/>
              <w:rPr>
                <w:sz w:val="18"/>
              </w:rPr>
            </w:pPr>
            <w:r w:rsidRPr="00552214">
              <w:rPr>
                <w:sz w:val="18"/>
              </w:rPr>
              <w:t>2</w:t>
            </w:r>
            <w:r w:rsidR="00AA670B">
              <w:rPr>
                <w:sz w:val="18"/>
              </w:rPr>
              <w:t xml:space="preserve"> </w:t>
            </w:r>
            <w:r w:rsidRPr="00552214">
              <w:rPr>
                <w:sz w:val="18"/>
              </w:rPr>
              <w:t>058 $</w:t>
            </w:r>
          </w:p>
        </w:tc>
        <w:tc>
          <w:tcPr>
            <w:tcW w:w="991" w:type="dxa"/>
            <w:shd w:val="clear" w:color="auto" w:fill="auto"/>
            <w:vAlign w:val="bottom"/>
          </w:tcPr>
          <w:p w14:paraId="0EAEE27E" w14:textId="1E2BDE42" w:rsidR="00DB52C8" w:rsidRPr="00552214" w:rsidRDefault="00DB52C8" w:rsidP="00552214">
            <w:pPr>
              <w:spacing w:before="40" w:after="40" w:line="220" w:lineRule="exact"/>
              <w:ind w:left="113"/>
              <w:jc w:val="right"/>
              <w:rPr>
                <w:sz w:val="18"/>
              </w:rPr>
            </w:pPr>
            <w:r w:rsidRPr="00552214">
              <w:rPr>
                <w:sz w:val="18"/>
              </w:rPr>
              <w:t>2</w:t>
            </w:r>
            <w:r w:rsidR="00AA670B">
              <w:rPr>
                <w:sz w:val="18"/>
              </w:rPr>
              <w:t xml:space="preserve"> </w:t>
            </w:r>
            <w:r w:rsidRPr="00552214">
              <w:rPr>
                <w:sz w:val="18"/>
              </w:rPr>
              <w:t>329 $</w:t>
            </w:r>
          </w:p>
        </w:tc>
      </w:tr>
      <w:tr w:rsidR="00DB52C8" w:rsidRPr="00552214" w14:paraId="5819D56A" w14:textId="77777777" w:rsidTr="00552214">
        <w:trPr>
          <w:trHeight w:val="240"/>
        </w:trPr>
        <w:tc>
          <w:tcPr>
            <w:tcW w:w="4678" w:type="dxa"/>
            <w:shd w:val="clear" w:color="auto" w:fill="auto"/>
          </w:tcPr>
          <w:p w14:paraId="69C565AD" w14:textId="77777777" w:rsidR="00DB52C8" w:rsidRPr="00552214" w:rsidRDefault="00DB52C8" w:rsidP="00552214">
            <w:pPr>
              <w:spacing w:before="40" w:after="40" w:line="220" w:lineRule="exact"/>
              <w:rPr>
                <w:sz w:val="18"/>
              </w:rPr>
            </w:pPr>
            <w:r w:rsidRPr="00552214">
              <w:rPr>
                <w:sz w:val="18"/>
              </w:rPr>
              <w:t xml:space="preserve">Mediana de los ingresos disponibles equivalentes semanales de los </w:t>
            </w:r>
            <w:proofErr w:type="spellStart"/>
            <w:r w:rsidRPr="00552214">
              <w:rPr>
                <w:sz w:val="18"/>
              </w:rPr>
              <w:t>hogares</w:t>
            </w:r>
            <w:r w:rsidRPr="00AA670B">
              <w:rPr>
                <w:sz w:val="18"/>
                <w:vertAlign w:val="superscript"/>
              </w:rPr>
              <w:t>1</w:t>
            </w:r>
            <w:proofErr w:type="spellEnd"/>
          </w:p>
        </w:tc>
        <w:tc>
          <w:tcPr>
            <w:tcW w:w="1701" w:type="dxa"/>
            <w:shd w:val="clear" w:color="auto" w:fill="auto"/>
            <w:vAlign w:val="bottom"/>
          </w:tcPr>
          <w:p w14:paraId="54DA8B51" w14:textId="3F697E9C" w:rsidR="00DB52C8" w:rsidRPr="00552214" w:rsidRDefault="00DB52C8" w:rsidP="00552214">
            <w:pPr>
              <w:spacing w:before="40" w:after="40" w:line="220" w:lineRule="exact"/>
              <w:ind w:left="113"/>
              <w:jc w:val="right"/>
              <w:rPr>
                <w:sz w:val="18"/>
              </w:rPr>
            </w:pPr>
            <w:r w:rsidRPr="00552214">
              <w:rPr>
                <w:sz w:val="18"/>
              </w:rPr>
              <w:t>1</w:t>
            </w:r>
            <w:r w:rsidR="00AA670B">
              <w:rPr>
                <w:sz w:val="18"/>
              </w:rPr>
              <w:t xml:space="preserve"> </w:t>
            </w:r>
            <w:r w:rsidRPr="00552214">
              <w:rPr>
                <w:sz w:val="18"/>
              </w:rPr>
              <w:t>034 $</w:t>
            </w:r>
          </w:p>
        </w:tc>
        <w:tc>
          <w:tcPr>
            <w:tcW w:w="991" w:type="dxa"/>
            <w:shd w:val="clear" w:color="auto" w:fill="auto"/>
            <w:vAlign w:val="bottom"/>
          </w:tcPr>
          <w:p w14:paraId="5F1F8AB9" w14:textId="02CF3469" w:rsidR="00DB52C8" w:rsidRPr="00552214" w:rsidRDefault="00DB52C8" w:rsidP="00552214">
            <w:pPr>
              <w:spacing w:before="40" w:after="40" w:line="220" w:lineRule="exact"/>
              <w:ind w:left="113"/>
              <w:jc w:val="right"/>
              <w:rPr>
                <w:sz w:val="18"/>
              </w:rPr>
            </w:pPr>
            <w:r w:rsidRPr="00552214">
              <w:rPr>
                <w:sz w:val="18"/>
              </w:rPr>
              <w:t>1</w:t>
            </w:r>
            <w:r w:rsidR="00AA670B">
              <w:rPr>
                <w:sz w:val="18"/>
              </w:rPr>
              <w:t xml:space="preserve"> </w:t>
            </w:r>
            <w:r w:rsidRPr="00552214">
              <w:rPr>
                <w:sz w:val="18"/>
              </w:rPr>
              <w:t>124 $</w:t>
            </w:r>
          </w:p>
        </w:tc>
      </w:tr>
      <w:tr w:rsidR="00DB52C8" w:rsidRPr="00552214" w14:paraId="5C1740C5" w14:textId="77777777" w:rsidTr="00552214">
        <w:trPr>
          <w:trHeight w:val="240"/>
        </w:trPr>
        <w:tc>
          <w:tcPr>
            <w:tcW w:w="4678" w:type="dxa"/>
            <w:shd w:val="clear" w:color="auto" w:fill="auto"/>
          </w:tcPr>
          <w:p w14:paraId="721D2729" w14:textId="77777777" w:rsidR="00DB52C8" w:rsidRPr="00552214" w:rsidRDefault="00DB52C8" w:rsidP="00552214">
            <w:pPr>
              <w:spacing w:before="40" w:after="40" w:line="220" w:lineRule="exact"/>
              <w:rPr>
                <w:sz w:val="18"/>
              </w:rPr>
            </w:pPr>
            <w:r w:rsidRPr="00552214">
              <w:rPr>
                <w:sz w:val="18"/>
              </w:rPr>
              <w:t xml:space="preserve">Coeficiente de Gini para los ingresos disponibles equivalentes de los </w:t>
            </w:r>
            <w:proofErr w:type="spellStart"/>
            <w:r w:rsidRPr="00552214">
              <w:rPr>
                <w:sz w:val="18"/>
              </w:rPr>
              <w:t>hogares</w:t>
            </w:r>
            <w:r w:rsidRPr="00AA670B">
              <w:rPr>
                <w:sz w:val="18"/>
                <w:vertAlign w:val="superscript"/>
              </w:rPr>
              <w:t>2</w:t>
            </w:r>
            <w:proofErr w:type="spellEnd"/>
          </w:p>
        </w:tc>
        <w:tc>
          <w:tcPr>
            <w:tcW w:w="1701" w:type="dxa"/>
            <w:shd w:val="clear" w:color="auto" w:fill="auto"/>
            <w:vAlign w:val="bottom"/>
          </w:tcPr>
          <w:p w14:paraId="6374400F" w14:textId="77777777" w:rsidR="00DB52C8" w:rsidRPr="00552214" w:rsidRDefault="00DB52C8" w:rsidP="00552214">
            <w:pPr>
              <w:spacing w:before="40" w:after="40" w:line="220" w:lineRule="exact"/>
              <w:ind w:left="113"/>
              <w:jc w:val="right"/>
              <w:rPr>
                <w:sz w:val="18"/>
              </w:rPr>
            </w:pPr>
            <w:r w:rsidRPr="00552214">
              <w:rPr>
                <w:sz w:val="18"/>
              </w:rPr>
              <w:t>0,329</w:t>
            </w:r>
          </w:p>
        </w:tc>
        <w:tc>
          <w:tcPr>
            <w:tcW w:w="991" w:type="dxa"/>
            <w:shd w:val="clear" w:color="auto" w:fill="auto"/>
            <w:vAlign w:val="bottom"/>
          </w:tcPr>
          <w:p w14:paraId="7DCA7C80" w14:textId="77777777" w:rsidR="00DB52C8" w:rsidRPr="00552214" w:rsidRDefault="00DB52C8" w:rsidP="00552214">
            <w:pPr>
              <w:spacing w:before="40" w:after="40" w:line="220" w:lineRule="exact"/>
              <w:ind w:left="113"/>
              <w:jc w:val="right"/>
              <w:rPr>
                <w:sz w:val="18"/>
              </w:rPr>
            </w:pPr>
            <w:r w:rsidRPr="00552214">
              <w:rPr>
                <w:sz w:val="18"/>
              </w:rPr>
              <w:t>0,324</w:t>
            </w:r>
          </w:p>
        </w:tc>
      </w:tr>
      <w:tr w:rsidR="00DB52C8" w:rsidRPr="00552214" w14:paraId="514DE38B" w14:textId="77777777" w:rsidTr="00552214">
        <w:trPr>
          <w:trHeight w:val="240"/>
        </w:trPr>
        <w:tc>
          <w:tcPr>
            <w:tcW w:w="4678" w:type="dxa"/>
            <w:shd w:val="clear" w:color="auto" w:fill="auto"/>
          </w:tcPr>
          <w:p w14:paraId="031CB297" w14:textId="77777777" w:rsidR="00DB52C8" w:rsidRPr="00552214" w:rsidRDefault="00DB52C8" w:rsidP="00552214">
            <w:pPr>
              <w:spacing w:before="40" w:after="40" w:line="220" w:lineRule="exact"/>
              <w:rPr>
                <w:sz w:val="18"/>
              </w:rPr>
            </w:pPr>
            <w:r w:rsidRPr="00552214">
              <w:rPr>
                <w:sz w:val="18"/>
              </w:rPr>
              <w:t>Coeficiente de Gini para el patrimonio neto de los hogares</w:t>
            </w:r>
          </w:p>
        </w:tc>
        <w:tc>
          <w:tcPr>
            <w:tcW w:w="1701" w:type="dxa"/>
            <w:shd w:val="clear" w:color="auto" w:fill="auto"/>
            <w:vAlign w:val="bottom"/>
          </w:tcPr>
          <w:p w14:paraId="7EFC0958" w14:textId="77777777" w:rsidR="00DB52C8" w:rsidRPr="00552214" w:rsidRDefault="00DB52C8" w:rsidP="00552214">
            <w:pPr>
              <w:spacing w:before="40" w:after="40" w:line="220" w:lineRule="exact"/>
              <w:ind w:left="113"/>
              <w:jc w:val="right"/>
              <w:rPr>
                <w:sz w:val="18"/>
              </w:rPr>
            </w:pPr>
            <w:r w:rsidRPr="00552214">
              <w:rPr>
                <w:sz w:val="18"/>
              </w:rPr>
              <w:t>0,428 (2005-2006)</w:t>
            </w:r>
          </w:p>
        </w:tc>
        <w:tc>
          <w:tcPr>
            <w:tcW w:w="991" w:type="dxa"/>
            <w:shd w:val="clear" w:color="auto" w:fill="auto"/>
            <w:vAlign w:val="bottom"/>
          </w:tcPr>
          <w:p w14:paraId="25FF618B" w14:textId="77777777" w:rsidR="00DB52C8" w:rsidRPr="00552214" w:rsidRDefault="00DB52C8" w:rsidP="00552214">
            <w:pPr>
              <w:spacing w:before="40" w:after="40" w:line="220" w:lineRule="exact"/>
              <w:ind w:left="113"/>
              <w:jc w:val="right"/>
              <w:rPr>
                <w:sz w:val="18"/>
              </w:rPr>
            </w:pPr>
            <w:r w:rsidRPr="00552214">
              <w:rPr>
                <w:sz w:val="18"/>
              </w:rPr>
              <w:t>0,436</w:t>
            </w:r>
          </w:p>
        </w:tc>
      </w:tr>
      <w:tr w:rsidR="00DB52C8" w:rsidRPr="00552214" w14:paraId="4F098B88" w14:textId="77777777" w:rsidTr="00552214">
        <w:trPr>
          <w:trHeight w:val="240"/>
        </w:trPr>
        <w:tc>
          <w:tcPr>
            <w:tcW w:w="4678" w:type="dxa"/>
            <w:shd w:val="clear" w:color="auto" w:fill="auto"/>
          </w:tcPr>
          <w:p w14:paraId="341F215D" w14:textId="77777777" w:rsidR="00DB52C8" w:rsidRPr="00552214" w:rsidRDefault="00DB52C8" w:rsidP="00552214">
            <w:pPr>
              <w:spacing w:before="40" w:after="40" w:line="220" w:lineRule="exact"/>
              <w:rPr>
                <w:sz w:val="18"/>
              </w:rPr>
            </w:pPr>
            <w:r w:rsidRPr="00552214">
              <w:rPr>
                <w:sz w:val="18"/>
              </w:rPr>
              <w:t>Porcentaje de hogares con deuda</w:t>
            </w:r>
          </w:p>
        </w:tc>
        <w:tc>
          <w:tcPr>
            <w:tcW w:w="1701" w:type="dxa"/>
            <w:shd w:val="clear" w:color="auto" w:fill="auto"/>
            <w:vAlign w:val="bottom"/>
          </w:tcPr>
          <w:p w14:paraId="294FCCC5" w14:textId="77777777" w:rsidR="00DB52C8" w:rsidRPr="00552214" w:rsidRDefault="00DB52C8" w:rsidP="00552214">
            <w:pPr>
              <w:spacing w:before="40" w:after="40" w:line="220" w:lineRule="exact"/>
              <w:ind w:left="113"/>
              <w:jc w:val="right"/>
              <w:rPr>
                <w:sz w:val="18"/>
              </w:rPr>
            </w:pPr>
            <w:r w:rsidRPr="00552214">
              <w:rPr>
                <w:sz w:val="18"/>
              </w:rPr>
              <w:t>72,2 % (2005-2006)</w:t>
            </w:r>
          </w:p>
        </w:tc>
        <w:tc>
          <w:tcPr>
            <w:tcW w:w="991" w:type="dxa"/>
            <w:shd w:val="clear" w:color="auto" w:fill="auto"/>
            <w:vAlign w:val="bottom"/>
          </w:tcPr>
          <w:p w14:paraId="756F6F30" w14:textId="77777777" w:rsidR="00DB52C8" w:rsidRPr="00552214" w:rsidRDefault="00DB52C8" w:rsidP="00552214">
            <w:pPr>
              <w:spacing w:before="40" w:after="40" w:line="220" w:lineRule="exact"/>
              <w:ind w:left="113"/>
              <w:jc w:val="right"/>
              <w:rPr>
                <w:sz w:val="18"/>
              </w:rPr>
            </w:pPr>
            <w:r w:rsidRPr="00552214">
              <w:rPr>
                <w:sz w:val="18"/>
              </w:rPr>
              <w:t>74,6 %</w:t>
            </w:r>
          </w:p>
        </w:tc>
      </w:tr>
      <w:tr w:rsidR="00DB52C8" w:rsidRPr="00552214" w14:paraId="27114ABE" w14:textId="77777777" w:rsidTr="00552214">
        <w:trPr>
          <w:trHeight w:val="240"/>
        </w:trPr>
        <w:tc>
          <w:tcPr>
            <w:tcW w:w="4678" w:type="dxa"/>
            <w:tcBorders>
              <w:bottom w:val="single" w:sz="12" w:space="0" w:color="auto"/>
            </w:tcBorders>
            <w:shd w:val="clear" w:color="auto" w:fill="auto"/>
          </w:tcPr>
          <w:p w14:paraId="3C3ACD6D" w14:textId="79D48B6B" w:rsidR="00DB52C8" w:rsidRPr="00552214" w:rsidRDefault="00DB52C8" w:rsidP="00552214">
            <w:pPr>
              <w:spacing w:before="40" w:after="40" w:line="220" w:lineRule="exact"/>
              <w:rPr>
                <w:sz w:val="18"/>
              </w:rPr>
            </w:pPr>
            <w:r w:rsidRPr="00552214">
              <w:rPr>
                <w:sz w:val="18"/>
              </w:rPr>
              <w:t xml:space="preserve">Porcentaje de hogares con deuda </w:t>
            </w:r>
            <w:r w:rsidR="0046601B">
              <w:rPr>
                <w:sz w:val="18"/>
              </w:rPr>
              <w:t>igual o mayor a</w:t>
            </w:r>
            <w:r w:rsidRPr="00552214">
              <w:rPr>
                <w:sz w:val="18"/>
              </w:rPr>
              <w:t>l triple de los</w:t>
            </w:r>
            <w:r w:rsidR="0046601B">
              <w:rPr>
                <w:sz w:val="18"/>
              </w:rPr>
              <w:t> </w:t>
            </w:r>
            <w:r w:rsidRPr="00552214">
              <w:rPr>
                <w:sz w:val="18"/>
              </w:rPr>
              <w:t>ingresos</w:t>
            </w:r>
          </w:p>
        </w:tc>
        <w:tc>
          <w:tcPr>
            <w:tcW w:w="1701" w:type="dxa"/>
            <w:tcBorders>
              <w:bottom w:val="single" w:sz="12" w:space="0" w:color="auto"/>
            </w:tcBorders>
            <w:shd w:val="clear" w:color="auto" w:fill="auto"/>
            <w:vAlign w:val="bottom"/>
          </w:tcPr>
          <w:p w14:paraId="36E7B374" w14:textId="77777777" w:rsidR="00DB52C8" w:rsidRPr="00552214" w:rsidRDefault="00DB52C8" w:rsidP="00552214">
            <w:pPr>
              <w:spacing w:before="40" w:after="40" w:line="220" w:lineRule="exact"/>
              <w:ind w:left="113"/>
              <w:jc w:val="right"/>
              <w:rPr>
                <w:sz w:val="18"/>
              </w:rPr>
            </w:pPr>
            <w:r w:rsidRPr="00552214">
              <w:rPr>
                <w:sz w:val="18"/>
              </w:rPr>
              <w:t>23,4 % (2005-2006)</w:t>
            </w:r>
          </w:p>
        </w:tc>
        <w:tc>
          <w:tcPr>
            <w:tcW w:w="991" w:type="dxa"/>
            <w:tcBorders>
              <w:bottom w:val="single" w:sz="12" w:space="0" w:color="auto"/>
            </w:tcBorders>
            <w:shd w:val="clear" w:color="auto" w:fill="auto"/>
            <w:vAlign w:val="bottom"/>
          </w:tcPr>
          <w:p w14:paraId="71DC2F59" w14:textId="77777777" w:rsidR="00DB52C8" w:rsidRPr="00552214" w:rsidRDefault="00DB52C8" w:rsidP="00552214">
            <w:pPr>
              <w:spacing w:before="40" w:after="40" w:line="220" w:lineRule="exact"/>
              <w:ind w:left="113"/>
              <w:jc w:val="right"/>
              <w:rPr>
                <w:sz w:val="18"/>
              </w:rPr>
            </w:pPr>
            <w:r w:rsidRPr="00552214">
              <w:rPr>
                <w:sz w:val="18"/>
              </w:rPr>
              <w:t>30,3 %</w:t>
            </w:r>
          </w:p>
        </w:tc>
      </w:tr>
    </w:tbl>
    <w:p w14:paraId="5D6D1398" w14:textId="77777777" w:rsidR="00DB52C8" w:rsidRPr="00AA670B" w:rsidRDefault="00DB52C8" w:rsidP="00AA670B">
      <w:pPr>
        <w:spacing w:before="120"/>
        <w:ind w:left="1134" w:right="1134" w:firstLine="170"/>
        <w:rPr>
          <w:sz w:val="18"/>
          <w:szCs w:val="18"/>
        </w:rPr>
      </w:pPr>
      <w:r w:rsidRPr="00AA670B">
        <w:rPr>
          <w:sz w:val="18"/>
          <w:szCs w:val="18"/>
          <w:vertAlign w:val="superscript"/>
        </w:rPr>
        <w:t>1</w:t>
      </w:r>
      <w:r w:rsidRPr="00AA670B">
        <w:rPr>
          <w:sz w:val="18"/>
          <w:szCs w:val="18"/>
        </w:rPr>
        <w:t xml:space="preserve"> </w:t>
      </w:r>
      <w:r w:rsidRPr="00AA670B">
        <w:rPr>
          <w:sz w:val="16"/>
          <w:szCs w:val="16"/>
        </w:rPr>
        <w:t>Ingresos</w:t>
      </w:r>
      <w:r w:rsidRPr="00AA670B">
        <w:rPr>
          <w:sz w:val="18"/>
          <w:szCs w:val="18"/>
        </w:rPr>
        <w:t xml:space="preserve"> disponibles equivalentes ajustados en función del tamaño y la composición de los hogares, teniendo en cuenta las economías de escala derivadas del uso compartido de viviendas.</w:t>
      </w:r>
    </w:p>
    <w:p w14:paraId="3C958D61" w14:textId="77777777" w:rsidR="00DB52C8" w:rsidRPr="00AA670B" w:rsidRDefault="00DB52C8" w:rsidP="00AA670B">
      <w:pPr>
        <w:ind w:left="1134" w:right="1134" w:firstLine="170"/>
        <w:rPr>
          <w:sz w:val="18"/>
          <w:szCs w:val="18"/>
        </w:rPr>
      </w:pPr>
      <w:r w:rsidRPr="00AA670B">
        <w:rPr>
          <w:sz w:val="18"/>
          <w:szCs w:val="18"/>
          <w:vertAlign w:val="superscript"/>
        </w:rPr>
        <w:t>2</w:t>
      </w:r>
      <w:r w:rsidRPr="00AA670B">
        <w:rPr>
          <w:sz w:val="18"/>
          <w:szCs w:val="18"/>
        </w:rPr>
        <w:t xml:space="preserve"> Coeficiente aceptado internacionalmente para medir la desigualdad en la distribución de los ingresos: su valor oscila entre 0 y 1. Un valor más cercano a 0 indica una mayor igualdad.</w:t>
      </w:r>
    </w:p>
    <w:p w14:paraId="505D8FF0" w14:textId="77777777" w:rsidR="00DB52C8" w:rsidRPr="00AA670B" w:rsidRDefault="00DB52C8" w:rsidP="00AA670B">
      <w:pPr>
        <w:spacing w:after="240"/>
        <w:ind w:left="1134" w:right="1134" w:firstLine="170"/>
        <w:rPr>
          <w:sz w:val="18"/>
          <w:szCs w:val="18"/>
        </w:rPr>
      </w:pPr>
      <w:r w:rsidRPr="00AA670B">
        <w:rPr>
          <w:i/>
          <w:iCs/>
          <w:sz w:val="18"/>
          <w:szCs w:val="18"/>
        </w:rPr>
        <w:t>Fuente:</w:t>
      </w:r>
      <w:r w:rsidRPr="00AA670B">
        <w:rPr>
          <w:sz w:val="18"/>
          <w:szCs w:val="18"/>
        </w:rPr>
        <w:t xml:space="preserve"> Oficina Australiana de Estadística, </w:t>
      </w:r>
      <w:r w:rsidRPr="00DC468E">
        <w:rPr>
          <w:i/>
          <w:iCs/>
          <w:sz w:val="18"/>
          <w:szCs w:val="18"/>
        </w:rPr>
        <w:t>6523.0 – Ingresos y patrimonio de los hogares</w:t>
      </w:r>
      <w:r w:rsidRPr="00AA670B">
        <w:rPr>
          <w:sz w:val="18"/>
          <w:szCs w:val="18"/>
        </w:rPr>
        <w:t>.</w:t>
      </w:r>
    </w:p>
    <w:p w14:paraId="0744056E" w14:textId="77777777" w:rsidR="00DB52C8" w:rsidRPr="00C52B38" w:rsidRDefault="00DB52C8" w:rsidP="00AA670B">
      <w:pPr>
        <w:pStyle w:val="SingleTxtG"/>
        <w:spacing w:after="0"/>
      </w:pPr>
      <w:r w:rsidRPr="00C52B38">
        <w:t xml:space="preserve">Cuadro </w:t>
      </w:r>
      <w:proofErr w:type="spellStart"/>
      <w:r w:rsidRPr="00C52B38">
        <w:t>A4</w:t>
      </w:r>
      <w:proofErr w:type="spellEnd"/>
    </w:p>
    <w:p w14:paraId="5790F80B" w14:textId="62472853" w:rsidR="00DB52C8" w:rsidRPr="00C52B38" w:rsidRDefault="00DB52C8" w:rsidP="00AA670B">
      <w:pPr>
        <w:pStyle w:val="SingleTxtG"/>
        <w:jc w:val="left"/>
        <w:rPr>
          <w:b/>
          <w:bCs/>
        </w:rPr>
      </w:pPr>
      <w:r w:rsidRPr="00C52B38">
        <w:rPr>
          <w:b/>
          <w:bCs/>
        </w:rPr>
        <w:t>Gasto y bienestar económico de los hogares en Australia, de 2009 a 2010 y</w:t>
      </w:r>
      <w:r w:rsidR="00AA670B">
        <w:rPr>
          <w:b/>
          <w:bCs/>
        </w:rPr>
        <w:t> </w:t>
      </w:r>
      <w:r w:rsidRPr="00C52B38">
        <w:rPr>
          <w:b/>
          <w:bCs/>
        </w:rPr>
        <w:t>de</w:t>
      </w:r>
      <w:r w:rsidR="00AA670B">
        <w:rPr>
          <w:b/>
          <w:bCs/>
        </w:rPr>
        <w:t> </w:t>
      </w:r>
      <w:r w:rsidRPr="00C52B38">
        <w:rPr>
          <w:b/>
          <w:bCs/>
        </w:rPr>
        <w:t>2015</w:t>
      </w:r>
      <w:r w:rsidR="00AA670B">
        <w:rPr>
          <w:b/>
          <w:bCs/>
        </w:rPr>
        <w:t> </w:t>
      </w:r>
      <w:r w:rsidRPr="00C52B38">
        <w:rPr>
          <w:b/>
          <w:bCs/>
        </w:rPr>
        <w:t>a</w:t>
      </w:r>
      <w:r w:rsidR="00AA670B">
        <w:rPr>
          <w:b/>
          <w:bCs/>
        </w:rPr>
        <w:t> </w:t>
      </w:r>
      <w:r w:rsidRPr="00C52B38">
        <w:rPr>
          <w:b/>
          <w:bCs/>
        </w:rPr>
        <w:t>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346"/>
        <w:gridCol w:w="990"/>
        <w:gridCol w:w="1034"/>
      </w:tblGrid>
      <w:tr w:rsidR="00DB52C8" w:rsidRPr="00A8369C" w14:paraId="548760AD" w14:textId="77777777" w:rsidTr="00A8369C">
        <w:trPr>
          <w:trHeight w:val="20"/>
          <w:tblHeader/>
        </w:trPr>
        <w:tc>
          <w:tcPr>
            <w:tcW w:w="5346" w:type="dxa"/>
            <w:tcBorders>
              <w:top w:val="single" w:sz="4" w:space="0" w:color="auto"/>
              <w:bottom w:val="single" w:sz="12" w:space="0" w:color="auto"/>
            </w:tcBorders>
            <w:shd w:val="clear" w:color="auto" w:fill="auto"/>
            <w:vAlign w:val="bottom"/>
          </w:tcPr>
          <w:p w14:paraId="6F88A8D7" w14:textId="77777777" w:rsidR="00DB52C8" w:rsidRPr="00A8369C" w:rsidRDefault="00DB52C8" w:rsidP="00A8369C">
            <w:pPr>
              <w:spacing w:before="80" w:after="80" w:line="200" w:lineRule="exact"/>
              <w:rPr>
                <w:i/>
                <w:iCs/>
                <w:sz w:val="16"/>
              </w:rPr>
            </w:pPr>
            <w:r w:rsidRPr="00A8369C">
              <w:rPr>
                <w:i/>
                <w:iCs/>
                <w:sz w:val="16"/>
              </w:rPr>
              <w:t>Indicador</w:t>
            </w:r>
          </w:p>
        </w:tc>
        <w:tc>
          <w:tcPr>
            <w:tcW w:w="990" w:type="dxa"/>
            <w:tcBorders>
              <w:top w:val="single" w:sz="4" w:space="0" w:color="auto"/>
              <w:bottom w:val="single" w:sz="12" w:space="0" w:color="auto"/>
            </w:tcBorders>
            <w:shd w:val="clear" w:color="auto" w:fill="auto"/>
            <w:vAlign w:val="bottom"/>
          </w:tcPr>
          <w:p w14:paraId="68C2410E" w14:textId="77777777" w:rsidR="00DB52C8" w:rsidRPr="00A8369C" w:rsidRDefault="00DB52C8" w:rsidP="00A8369C">
            <w:pPr>
              <w:spacing w:before="80" w:after="80" w:line="200" w:lineRule="exact"/>
              <w:ind w:left="113"/>
              <w:jc w:val="right"/>
              <w:rPr>
                <w:i/>
                <w:iCs/>
                <w:sz w:val="16"/>
              </w:rPr>
            </w:pPr>
            <w:r w:rsidRPr="00A8369C">
              <w:rPr>
                <w:i/>
                <w:iCs/>
                <w:sz w:val="16"/>
              </w:rPr>
              <w:t>2009-2010</w:t>
            </w:r>
          </w:p>
        </w:tc>
        <w:tc>
          <w:tcPr>
            <w:tcW w:w="1034" w:type="dxa"/>
            <w:tcBorders>
              <w:top w:val="single" w:sz="4" w:space="0" w:color="auto"/>
              <w:bottom w:val="single" w:sz="12" w:space="0" w:color="auto"/>
            </w:tcBorders>
            <w:shd w:val="clear" w:color="auto" w:fill="auto"/>
            <w:vAlign w:val="bottom"/>
          </w:tcPr>
          <w:p w14:paraId="7F46A726" w14:textId="77777777" w:rsidR="00DB52C8" w:rsidRPr="00A8369C" w:rsidRDefault="00DB52C8" w:rsidP="00A8369C">
            <w:pPr>
              <w:spacing w:before="80" w:after="80" w:line="200" w:lineRule="exact"/>
              <w:ind w:left="113"/>
              <w:jc w:val="right"/>
              <w:rPr>
                <w:i/>
                <w:iCs/>
                <w:sz w:val="16"/>
              </w:rPr>
            </w:pPr>
            <w:r w:rsidRPr="00A8369C">
              <w:rPr>
                <w:i/>
                <w:iCs/>
                <w:sz w:val="16"/>
              </w:rPr>
              <w:t>2015-2016</w:t>
            </w:r>
          </w:p>
        </w:tc>
      </w:tr>
      <w:tr w:rsidR="00DB52C8" w:rsidRPr="00A8369C" w14:paraId="2F4C446A" w14:textId="77777777" w:rsidTr="006435EA">
        <w:trPr>
          <w:trHeight w:val="238"/>
          <w:tblHeader/>
        </w:trPr>
        <w:tc>
          <w:tcPr>
            <w:tcW w:w="5346" w:type="dxa"/>
            <w:tcBorders>
              <w:top w:val="single" w:sz="12" w:space="0" w:color="auto"/>
            </w:tcBorders>
            <w:shd w:val="clear" w:color="auto" w:fill="auto"/>
          </w:tcPr>
          <w:p w14:paraId="6894C10F" w14:textId="77777777" w:rsidR="00DB52C8" w:rsidRPr="00A8369C" w:rsidRDefault="00DB52C8" w:rsidP="00A8369C">
            <w:pPr>
              <w:spacing w:before="40" w:after="40" w:line="220" w:lineRule="exact"/>
              <w:rPr>
                <w:iCs/>
                <w:sz w:val="18"/>
              </w:rPr>
            </w:pPr>
            <w:r w:rsidRPr="00A8369C">
              <w:rPr>
                <w:sz w:val="18"/>
              </w:rPr>
              <w:t>Mediana del gasto semanal de los hogares</w:t>
            </w:r>
          </w:p>
        </w:tc>
        <w:tc>
          <w:tcPr>
            <w:tcW w:w="990" w:type="dxa"/>
            <w:tcBorders>
              <w:top w:val="single" w:sz="12" w:space="0" w:color="auto"/>
            </w:tcBorders>
            <w:shd w:val="clear" w:color="auto" w:fill="auto"/>
            <w:vAlign w:val="bottom"/>
          </w:tcPr>
          <w:p w14:paraId="2DBF5217" w14:textId="77777777" w:rsidR="00DB52C8" w:rsidRPr="00A8369C" w:rsidRDefault="00DB52C8" w:rsidP="00A8369C">
            <w:pPr>
              <w:spacing w:before="40" w:after="40" w:line="220" w:lineRule="exact"/>
              <w:ind w:left="113"/>
              <w:jc w:val="right"/>
              <w:rPr>
                <w:iCs/>
                <w:sz w:val="18"/>
              </w:rPr>
            </w:pPr>
            <w:r w:rsidRPr="00A8369C">
              <w:rPr>
                <w:sz w:val="18"/>
              </w:rPr>
              <w:t>1.034 $</w:t>
            </w:r>
          </w:p>
        </w:tc>
        <w:tc>
          <w:tcPr>
            <w:tcW w:w="1034" w:type="dxa"/>
            <w:tcBorders>
              <w:top w:val="single" w:sz="12" w:space="0" w:color="auto"/>
            </w:tcBorders>
            <w:shd w:val="clear" w:color="auto" w:fill="auto"/>
            <w:vAlign w:val="bottom"/>
          </w:tcPr>
          <w:p w14:paraId="1FBCF694" w14:textId="77777777" w:rsidR="00DB52C8" w:rsidRPr="00A8369C" w:rsidRDefault="00DB52C8" w:rsidP="00A8369C">
            <w:pPr>
              <w:spacing w:before="40" w:after="40" w:line="220" w:lineRule="exact"/>
              <w:ind w:left="113"/>
              <w:jc w:val="right"/>
              <w:rPr>
                <w:iCs/>
                <w:sz w:val="18"/>
              </w:rPr>
            </w:pPr>
            <w:r w:rsidRPr="00A8369C">
              <w:rPr>
                <w:sz w:val="18"/>
              </w:rPr>
              <w:t>1.185 $</w:t>
            </w:r>
          </w:p>
        </w:tc>
      </w:tr>
      <w:tr w:rsidR="00DB52C8" w:rsidRPr="00A8369C" w14:paraId="0B1FEEC7" w14:textId="77777777" w:rsidTr="006435EA">
        <w:trPr>
          <w:trHeight w:val="238"/>
          <w:tblHeader/>
        </w:trPr>
        <w:tc>
          <w:tcPr>
            <w:tcW w:w="5346" w:type="dxa"/>
            <w:shd w:val="clear" w:color="auto" w:fill="auto"/>
          </w:tcPr>
          <w:p w14:paraId="1BE95646" w14:textId="77777777" w:rsidR="00DB52C8" w:rsidRPr="00A8369C" w:rsidRDefault="00DB52C8" w:rsidP="00A8369C">
            <w:pPr>
              <w:spacing w:before="40" w:after="40" w:line="220" w:lineRule="exact"/>
              <w:rPr>
                <w:iCs/>
                <w:sz w:val="18"/>
              </w:rPr>
            </w:pPr>
            <w:r w:rsidRPr="00A8369C">
              <w:rPr>
                <w:sz w:val="18"/>
              </w:rPr>
              <w:t>Gasto medio semanal de los hogares</w:t>
            </w:r>
          </w:p>
        </w:tc>
        <w:tc>
          <w:tcPr>
            <w:tcW w:w="990" w:type="dxa"/>
            <w:shd w:val="clear" w:color="auto" w:fill="auto"/>
            <w:vAlign w:val="bottom"/>
          </w:tcPr>
          <w:p w14:paraId="619F8502" w14:textId="77777777" w:rsidR="00DB52C8" w:rsidRPr="00A8369C" w:rsidRDefault="00DB52C8" w:rsidP="00A8369C">
            <w:pPr>
              <w:spacing w:before="40" w:after="40" w:line="220" w:lineRule="exact"/>
              <w:ind w:left="113"/>
              <w:jc w:val="right"/>
              <w:rPr>
                <w:iCs/>
                <w:sz w:val="18"/>
              </w:rPr>
            </w:pPr>
            <w:r w:rsidRPr="00A8369C">
              <w:rPr>
                <w:sz w:val="18"/>
              </w:rPr>
              <w:t>1.236 $</w:t>
            </w:r>
          </w:p>
        </w:tc>
        <w:tc>
          <w:tcPr>
            <w:tcW w:w="1034" w:type="dxa"/>
            <w:shd w:val="clear" w:color="auto" w:fill="auto"/>
            <w:vAlign w:val="bottom"/>
          </w:tcPr>
          <w:p w14:paraId="3FBE85CD" w14:textId="77777777" w:rsidR="00DB52C8" w:rsidRPr="00A8369C" w:rsidRDefault="00DB52C8" w:rsidP="00A8369C">
            <w:pPr>
              <w:spacing w:before="40" w:after="40" w:line="220" w:lineRule="exact"/>
              <w:ind w:left="113"/>
              <w:jc w:val="right"/>
              <w:rPr>
                <w:iCs/>
                <w:sz w:val="18"/>
              </w:rPr>
            </w:pPr>
            <w:r w:rsidRPr="00A8369C">
              <w:rPr>
                <w:sz w:val="18"/>
              </w:rPr>
              <w:t>1.422 $</w:t>
            </w:r>
          </w:p>
        </w:tc>
      </w:tr>
      <w:tr w:rsidR="00DB52C8" w:rsidRPr="00A8369C" w14:paraId="01B4F10A" w14:textId="77777777" w:rsidTr="006435EA">
        <w:trPr>
          <w:trHeight w:val="238"/>
          <w:tblHeader/>
        </w:trPr>
        <w:tc>
          <w:tcPr>
            <w:tcW w:w="5346" w:type="dxa"/>
            <w:shd w:val="clear" w:color="auto" w:fill="auto"/>
          </w:tcPr>
          <w:p w14:paraId="631811F2" w14:textId="77777777" w:rsidR="00DB52C8" w:rsidRPr="00A8369C" w:rsidRDefault="00DB52C8" w:rsidP="00A8369C">
            <w:pPr>
              <w:spacing w:before="40" w:after="40" w:line="220" w:lineRule="exact"/>
              <w:rPr>
                <w:iCs/>
                <w:sz w:val="18"/>
              </w:rPr>
            </w:pPr>
            <w:r w:rsidRPr="00A8369C">
              <w:rPr>
                <w:sz w:val="18"/>
              </w:rPr>
              <w:t xml:space="preserve">Gastos en bienes y servicios  </w:t>
            </w:r>
          </w:p>
          <w:p w14:paraId="2D755FF6" w14:textId="244884F3" w:rsidR="00DB52C8" w:rsidRPr="00A8369C" w:rsidRDefault="00DB52C8" w:rsidP="006435EA">
            <w:pPr>
              <w:spacing w:before="40" w:after="40" w:line="220" w:lineRule="exact"/>
              <w:ind w:firstLine="170"/>
              <w:rPr>
                <w:sz w:val="18"/>
                <w:vertAlign w:val="superscript"/>
              </w:rPr>
            </w:pPr>
            <w:r w:rsidRPr="00A8369C">
              <w:rPr>
                <w:sz w:val="18"/>
              </w:rPr>
              <w:t>Gastos de vivienda</w:t>
            </w:r>
            <w:r w:rsidR="00B750B2">
              <w:rPr>
                <w:rStyle w:val="Refdenotaalpie"/>
              </w:rPr>
              <w:footnoteReference w:id="128"/>
            </w:r>
          </w:p>
          <w:p w14:paraId="0AEF1B31" w14:textId="0F3C39A0" w:rsidR="00DB52C8" w:rsidRPr="00A8369C" w:rsidRDefault="006435EA" w:rsidP="006435EA">
            <w:pPr>
              <w:spacing w:before="40" w:after="40" w:line="220" w:lineRule="exact"/>
              <w:ind w:firstLine="170"/>
              <w:rPr>
                <w:sz w:val="18"/>
              </w:rPr>
            </w:pPr>
            <w:r>
              <w:rPr>
                <w:sz w:val="18"/>
              </w:rPr>
              <w:t>A</w:t>
            </w:r>
            <w:r w:rsidR="00DB52C8" w:rsidRPr="00A8369C">
              <w:rPr>
                <w:sz w:val="18"/>
              </w:rPr>
              <w:t>limentos y bebidas no alcohólicas</w:t>
            </w:r>
          </w:p>
          <w:p w14:paraId="11F2CA78" w14:textId="20FA9550" w:rsidR="00DB52C8" w:rsidRPr="00A8369C" w:rsidRDefault="00DB52C8" w:rsidP="006435EA">
            <w:pPr>
              <w:spacing w:before="40" w:after="40" w:line="220" w:lineRule="exact"/>
              <w:ind w:firstLine="170"/>
              <w:rPr>
                <w:sz w:val="18"/>
              </w:rPr>
            </w:pPr>
            <w:r w:rsidRPr="00A8369C">
              <w:rPr>
                <w:sz w:val="18"/>
              </w:rPr>
              <w:t>Atención médica y gastos conexos</w:t>
            </w:r>
          </w:p>
          <w:p w14:paraId="2A4E22C1" w14:textId="3196E328" w:rsidR="00DB52C8" w:rsidRPr="00A8369C" w:rsidRDefault="00DB52C8" w:rsidP="006435EA">
            <w:pPr>
              <w:spacing w:before="40" w:after="40" w:line="220" w:lineRule="exact"/>
              <w:ind w:firstLine="170"/>
              <w:rPr>
                <w:sz w:val="18"/>
              </w:rPr>
            </w:pPr>
            <w:r w:rsidRPr="00A8369C">
              <w:rPr>
                <w:sz w:val="18"/>
              </w:rPr>
              <w:t>Transporte</w:t>
            </w:r>
          </w:p>
          <w:p w14:paraId="129812B1" w14:textId="6A97D4C8" w:rsidR="00DB52C8" w:rsidRPr="00A8369C" w:rsidRDefault="00DB52C8" w:rsidP="006435EA">
            <w:pPr>
              <w:spacing w:before="40" w:after="40" w:line="220" w:lineRule="exact"/>
              <w:ind w:firstLine="170"/>
              <w:rPr>
                <w:sz w:val="18"/>
              </w:rPr>
            </w:pPr>
            <w:r w:rsidRPr="00A8369C">
              <w:rPr>
                <w:sz w:val="18"/>
              </w:rPr>
              <w:t>Educación</w:t>
            </w:r>
          </w:p>
          <w:p w14:paraId="6F11DC33" w14:textId="4E75FF8D" w:rsidR="00DB52C8" w:rsidRPr="00A8369C" w:rsidRDefault="00DB52C8" w:rsidP="006435EA">
            <w:pPr>
              <w:spacing w:before="40" w:after="40" w:line="220" w:lineRule="exact"/>
              <w:ind w:firstLine="170"/>
              <w:rPr>
                <w:iCs/>
                <w:sz w:val="18"/>
              </w:rPr>
            </w:pPr>
            <w:r w:rsidRPr="00A8369C">
              <w:rPr>
                <w:sz w:val="18"/>
              </w:rPr>
              <w:t>Otros</w:t>
            </w:r>
            <w:r w:rsidRPr="00A8369C">
              <w:rPr>
                <w:rStyle w:val="Refdenotaalpie"/>
              </w:rPr>
              <w:footnoteReference w:id="129"/>
            </w:r>
          </w:p>
        </w:tc>
        <w:tc>
          <w:tcPr>
            <w:tcW w:w="990" w:type="dxa"/>
            <w:shd w:val="clear" w:color="auto" w:fill="auto"/>
            <w:vAlign w:val="bottom"/>
          </w:tcPr>
          <w:p w14:paraId="1B3990CF" w14:textId="77777777" w:rsidR="00DB52C8" w:rsidRPr="00A8369C" w:rsidRDefault="00DB52C8" w:rsidP="00A8369C">
            <w:pPr>
              <w:spacing w:before="40" w:after="40" w:line="220" w:lineRule="exact"/>
              <w:ind w:left="113"/>
              <w:jc w:val="right"/>
              <w:rPr>
                <w:iCs/>
                <w:sz w:val="18"/>
              </w:rPr>
            </w:pPr>
          </w:p>
          <w:p w14:paraId="0A75077B" w14:textId="77777777" w:rsidR="00DB52C8" w:rsidRPr="00A8369C" w:rsidRDefault="00DB52C8" w:rsidP="00A8369C">
            <w:pPr>
              <w:spacing w:before="40" w:after="40" w:line="220" w:lineRule="exact"/>
              <w:ind w:left="113"/>
              <w:jc w:val="right"/>
              <w:rPr>
                <w:sz w:val="18"/>
              </w:rPr>
            </w:pPr>
            <w:r w:rsidRPr="00A8369C">
              <w:rPr>
                <w:sz w:val="18"/>
              </w:rPr>
              <w:t>28,0 %</w:t>
            </w:r>
          </w:p>
          <w:p w14:paraId="46ACA897" w14:textId="77777777" w:rsidR="00DB52C8" w:rsidRPr="00A8369C" w:rsidRDefault="00DB52C8" w:rsidP="00A8369C">
            <w:pPr>
              <w:spacing w:before="40" w:after="40" w:line="220" w:lineRule="exact"/>
              <w:ind w:left="113"/>
              <w:jc w:val="right"/>
              <w:rPr>
                <w:sz w:val="18"/>
              </w:rPr>
            </w:pPr>
            <w:r w:rsidRPr="00A8369C">
              <w:rPr>
                <w:sz w:val="18"/>
              </w:rPr>
              <w:t>16,5 %</w:t>
            </w:r>
          </w:p>
          <w:p w14:paraId="68CC7774" w14:textId="77777777" w:rsidR="00DB52C8" w:rsidRPr="00A8369C" w:rsidRDefault="00DB52C8" w:rsidP="00A8369C">
            <w:pPr>
              <w:spacing w:before="40" w:after="40" w:line="220" w:lineRule="exact"/>
              <w:ind w:left="113"/>
              <w:jc w:val="right"/>
              <w:rPr>
                <w:sz w:val="18"/>
              </w:rPr>
            </w:pPr>
            <w:r w:rsidRPr="00A8369C">
              <w:rPr>
                <w:sz w:val="18"/>
              </w:rPr>
              <w:t>5,3 %</w:t>
            </w:r>
          </w:p>
          <w:p w14:paraId="070F8BBD" w14:textId="77777777" w:rsidR="00DB52C8" w:rsidRPr="00A8369C" w:rsidRDefault="00DB52C8" w:rsidP="00A8369C">
            <w:pPr>
              <w:spacing w:before="40" w:after="40" w:line="220" w:lineRule="exact"/>
              <w:ind w:left="113"/>
              <w:jc w:val="right"/>
              <w:rPr>
                <w:sz w:val="18"/>
              </w:rPr>
            </w:pPr>
            <w:r w:rsidRPr="00A8369C">
              <w:rPr>
                <w:sz w:val="18"/>
              </w:rPr>
              <w:t>15,6 %</w:t>
            </w:r>
          </w:p>
          <w:p w14:paraId="7A708907" w14:textId="77777777" w:rsidR="00DB52C8" w:rsidRPr="00A8369C" w:rsidRDefault="00DB52C8" w:rsidP="00A8369C">
            <w:pPr>
              <w:spacing w:before="40" w:after="40" w:line="220" w:lineRule="exact"/>
              <w:ind w:left="113"/>
              <w:jc w:val="right"/>
              <w:rPr>
                <w:sz w:val="18"/>
              </w:rPr>
            </w:pPr>
            <w:r w:rsidRPr="00A8369C">
              <w:rPr>
                <w:sz w:val="18"/>
              </w:rPr>
              <w:t>2,5 %</w:t>
            </w:r>
          </w:p>
          <w:p w14:paraId="4A45DAA9" w14:textId="77777777" w:rsidR="00DB52C8" w:rsidRPr="00A8369C" w:rsidRDefault="00DB52C8" w:rsidP="00A8369C">
            <w:pPr>
              <w:spacing w:before="40" w:after="40" w:line="220" w:lineRule="exact"/>
              <w:ind w:left="113"/>
              <w:jc w:val="right"/>
              <w:rPr>
                <w:iCs/>
                <w:sz w:val="18"/>
              </w:rPr>
            </w:pPr>
            <w:r w:rsidRPr="00A8369C">
              <w:rPr>
                <w:sz w:val="18"/>
              </w:rPr>
              <w:t>32,0 %</w:t>
            </w:r>
          </w:p>
        </w:tc>
        <w:tc>
          <w:tcPr>
            <w:tcW w:w="1034" w:type="dxa"/>
            <w:shd w:val="clear" w:color="auto" w:fill="auto"/>
            <w:vAlign w:val="bottom"/>
          </w:tcPr>
          <w:p w14:paraId="74E26ED1" w14:textId="77777777" w:rsidR="00DB52C8" w:rsidRPr="00A8369C" w:rsidRDefault="00DB52C8" w:rsidP="00A8369C">
            <w:pPr>
              <w:spacing w:before="40" w:after="40" w:line="220" w:lineRule="exact"/>
              <w:ind w:left="113"/>
              <w:jc w:val="right"/>
              <w:rPr>
                <w:iCs/>
                <w:sz w:val="18"/>
              </w:rPr>
            </w:pPr>
          </w:p>
          <w:p w14:paraId="2DC23792" w14:textId="77777777" w:rsidR="00DB52C8" w:rsidRPr="00A8369C" w:rsidRDefault="00DB52C8" w:rsidP="00A8369C">
            <w:pPr>
              <w:spacing w:before="40" w:after="40" w:line="220" w:lineRule="exact"/>
              <w:ind w:left="113"/>
              <w:jc w:val="right"/>
              <w:rPr>
                <w:sz w:val="18"/>
              </w:rPr>
            </w:pPr>
            <w:r w:rsidRPr="00A8369C">
              <w:rPr>
                <w:sz w:val="18"/>
              </w:rPr>
              <w:t>29,8 %</w:t>
            </w:r>
          </w:p>
          <w:p w14:paraId="0EDAA865" w14:textId="77777777" w:rsidR="00DB52C8" w:rsidRPr="00A8369C" w:rsidRDefault="00DB52C8" w:rsidP="00A8369C">
            <w:pPr>
              <w:spacing w:before="40" w:after="40" w:line="220" w:lineRule="exact"/>
              <w:ind w:left="113"/>
              <w:jc w:val="right"/>
              <w:rPr>
                <w:sz w:val="18"/>
              </w:rPr>
            </w:pPr>
            <w:r w:rsidRPr="00A8369C">
              <w:rPr>
                <w:sz w:val="18"/>
              </w:rPr>
              <w:t>16,6 %</w:t>
            </w:r>
          </w:p>
          <w:p w14:paraId="757AE1B0" w14:textId="77777777" w:rsidR="00DB52C8" w:rsidRPr="00A8369C" w:rsidRDefault="00DB52C8" w:rsidP="00A8369C">
            <w:pPr>
              <w:spacing w:before="40" w:after="40" w:line="220" w:lineRule="exact"/>
              <w:ind w:left="113"/>
              <w:jc w:val="right"/>
              <w:rPr>
                <w:sz w:val="18"/>
              </w:rPr>
            </w:pPr>
            <w:r w:rsidRPr="00A8369C">
              <w:rPr>
                <w:sz w:val="18"/>
              </w:rPr>
              <w:t>5,8 %</w:t>
            </w:r>
          </w:p>
          <w:p w14:paraId="06310338" w14:textId="77777777" w:rsidR="00DB52C8" w:rsidRPr="00A8369C" w:rsidRDefault="00DB52C8" w:rsidP="00A8369C">
            <w:pPr>
              <w:spacing w:before="40" w:after="40" w:line="220" w:lineRule="exact"/>
              <w:ind w:left="113"/>
              <w:jc w:val="right"/>
              <w:rPr>
                <w:sz w:val="18"/>
              </w:rPr>
            </w:pPr>
            <w:r w:rsidRPr="00A8369C">
              <w:rPr>
                <w:sz w:val="18"/>
              </w:rPr>
              <w:t>14,5 %</w:t>
            </w:r>
          </w:p>
          <w:p w14:paraId="21552C93" w14:textId="77777777" w:rsidR="00DB52C8" w:rsidRPr="00A8369C" w:rsidRDefault="00DB52C8" w:rsidP="00A8369C">
            <w:pPr>
              <w:spacing w:before="40" w:after="40" w:line="220" w:lineRule="exact"/>
              <w:ind w:left="113"/>
              <w:jc w:val="right"/>
              <w:rPr>
                <w:sz w:val="18"/>
              </w:rPr>
            </w:pPr>
            <w:r w:rsidRPr="00A8369C">
              <w:rPr>
                <w:sz w:val="18"/>
              </w:rPr>
              <w:t>3,1 %</w:t>
            </w:r>
          </w:p>
          <w:p w14:paraId="5B9BC3D7" w14:textId="77777777" w:rsidR="00DB52C8" w:rsidRPr="00A8369C" w:rsidRDefault="00DB52C8" w:rsidP="00A8369C">
            <w:pPr>
              <w:spacing w:before="40" w:after="40" w:line="220" w:lineRule="exact"/>
              <w:ind w:left="113"/>
              <w:jc w:val="right"/>
              <w:rPr>
                <w:iCs/>
                <w:sz w:val="18"/>
              </w:rPr>
            </w:pPr>
            <w:r w:rsidRPr="00A8369C">
              <w:rPr>
                <w:sz w:val="18"/>
              </w:rPr>
              <w:t>30,4 %</w:t>
            </w:r>
          </w:p>
        </w:tc>
      </w:tr>
      <w:tr w:rsidR="00DB52C8" w:rsidRPr="00A8369C" w14:paraId="6EE954D9" w14:textId="77777777" w:rsidTr="006435EA">
        <w:trPr>
          <w:trHeight w:val="238"/>
          <w:tblHeader/>
        </w:trPr>
        <w:tc>
          <w:tcPr>
            <w:tcW w:w="5346" w:type="dxa"/>
            <w:tcBorders>
              <w:bottom w:val="single" w:sz="12" w:space="0" w:color="auto"/>
            </w:tcBorders>
            <w:shd w:val="clear" w:color="auto" w:fill="auto"/>
          </w:tcPr>
          <w:p w14:paraId="158FCF9F" w14:textId="77777777" w:rsidR="00DB52C8" w:rsidRPr="00A8369C" w:rsidRDefault="00DB52C8" w:rsidP="00A8369C">
            <w:pPr>
              <w:spacing w:before="40" w:after="40" w:line="220" w:lineRule="exact"/>
              <w:rPr>
                <w:sz w:val="18"/>
              </w:rPr>
            </w:pPr>
            <w:r w:rsidRPr="00A8369C">
              <w:rPr>
                <w:sz w:val="18"/>
              </w:rPr>
              <w:t>Dificultades económicas en los últimos 12 meses</w:t>
            </w:r>
          </w:p>
          <w:p w14:paraId="491CC913" w14:textId="147B6F7E" w:rsidR="00DB52C8" w:rsidRPr="00A8369C" w:rsidRDefault="00DB52C8" w:rsidP="006435EA">
            <w:pPr>
              <w:spacing w:before="40" w:after="40" w:line="220" w:lineRule="exact"/>
              <w:ind w:firstLine="170"/>
              <w:rPr>
                <w:sz w:val="18"/>
              </w:rPr>
            </w:pPr>
            <w:r w:rsidRPr="00A8369C">
              <w:rPr>
                <w:sz w:val="18"/>
              </w:rPr>
              <w:t>Hogares del quintil de ingresos disponibles equivalentes más bajos</w:t>
            </w:r>
          </w:p>
          <w:p w14:paraId="705AC53A" w14:textId="5E70E95F" w:rsidR="00DB52C8" w:rsidRPr="00A8369C" w:rsidRDefault="00DB52C8" w:rsidP="006435EA">
            <w:pPr>
              <w:spacing w:before="40" w:after="40" w:line="220" w:lineRule="exact"/>
              <w:ind w:firstLine="170"/>
              <w:rPr>
                <w:sz w:val="18"/>
              </w:rPr>
            </w:pPr>
            <w:r w:rsidRPr="00A8369C">
              <w:rPr>
                <w:sz w:val="18"/>
              </w:rPr>
              <w:t>Hogares del segundo quintil de ingresos disponibles equivalentes</w:t>
            </w:r>
          </w:p>
          <w:p w14:paraId="654D2E6A" w14:textId="2CB5CEFC" w:rsidR="00DB52C8" w:rsidRPr="00A8369C" w:rsidRDefault="00DB52C8" w:rsidP="006435EA">
            <w:pPr>
              <w:spacing w:before="40" w:after="40" w:line="220" w:lineRule="exact"/>
              <w:ind w:firstLine="170"/>
              <w:rPr>
                <w:sz w:val="18"/>
              </w:rPr>
            </w:pPr>
            <w:r w:rsidRPr="00A8369C">
              <w:rPr>
                <w:sz w:val="18"/>
              </w:rPr>
              <w:t>Hogares del tercer quintil de ingresos disponibles equivalentes</w:t>
            </w:r>
          </w:p>
          <w:p w14:paraId="5CFA8B85" w14:textId="55D25B7C" w:rsidR="00DB52C8" w:rsidRPr="00A8369C" w:rsidRDefault="00DB52C8" w:rsidP="006435EA">
            <w:pPr>
              <w:spacing w:before="40" w:after="40" w:line="220" w:lineRule="exact"/>
              <w:ind w:firstLine="170"/>
              <w:rPr>
                <w:sz w:val="18"/>
              </w:rPr>
            </w:pPr>
            <w:r w:rsidRPr="00A8369C">
              <w:rPr>
                <w:sz w:val="18"/>
              </w:rPr>
              <w:t>Hogares del cuarto quintil de ingresos disponibles equivalentes</w:t>
            </w:r>
          </w:p>
          <w:p w14:paraId="12C7668E" w14:textId="020C77E5" w:rsidR="00DB52C8" w:rsidRPr="00A8369C" w:rsidRDefault="00DB52C8" w:rsidP="006435EA">
            <w:pPr>
              <w:spacing w:before="40" w:after="40" w:line="220" w:lineRule="exact"/>
              <w:ind w:firstLine="170"/>
              <w:rPr>
                <w:iCs/>
                <w:sz w:val="18"/>
              </w:rPr>
            </w:pPr>
            <w:r w:rsidRPr="00A8369C">
              <w:rPr>
                <w:sz w:val="18"/>
              </w:rPr>
              <w:t>Hogares del quintil de ingresos disponibles equivalentes más elevados</w:t>
            </w:r>
          </w:p>
        </w:tc>
        <w:tc>
          <w:tcPr>
            <w:tcW w:w="990" w:type="dxa"/>
            <w:tcBorders>
              <w:bottom w:val="single" w:sz="12" w:space="0" w:color="auto"/>
            </w:tcBorders>
            <w:shd w:val="clear" w:color="auto" w:fill="auto"/>
            <w:vAlign w:val="bottom"/>
          </w:tcPr>
          <w:p w14:paraId="06B60505" w14:textId="77777777" w:rsidR="00DB52C8" w:rsidRPr="00A8369C" w:rsidRDefault="00DB52C8" w:rsidP="00A8369C">
            <w:pPr>
              <w:spacing w:before="40" w:after="40" w:line="220" w:lineRule="exact"/>
              <w:ind w:left="113"/>
              <w:jc w:val="right"/>
              <w:rPr>
                <w:sz w:val="18"/>
              </w:rPr>
            </w:pPr>
            <w:r w:rsidRPr="00A8369C">
              <w:rPr>
                <w:sz w:val="18"/>
              </w:rPr>
              <w:t>16,4 %</w:t>
            </w:r>
          </w:p>
          <w:p w14:paraId="0FEB4379" w14:textId="77777777" w:rsidR="00DB52C8" w:rsidRPr="00A8369C" w:rsidRDefault="00DB52C8" w:rsidP="00A8369C">
            <w:pPr>
              <w:spacing w:before="40" w:after="40" w:line="220" w:lineRule="exact"/>
              <w:ind w:left="113"/>
              <w:jc w:val="right"/>
              <w:rPr>
                <w:sz w:val="18"/>
              </w:rPr>
            </w:pPr>
            <w:r w:rsidRPr="00A8369C">
              <w:rPr>
                <w:sz w:val="18"/>
              </w:rPr>
              <w:t>32,5 %</w:t>
            </w:r>
          </w:p>
          <w:p w14:paraId="4F882457" w14:textId="77777777" w:rsidR="00DB52C8" w:rsidRPr="00A8369C" w:rsidRDefault="00DB52C8" w:rsidP="00A8369C">
            <w:pPr>
              <w:spacing w:before="40" w:after="40" w:line="220" w:lineRule="exact"/>
              <w:ind w:left="113"/>
              <w:jc w:val="right"/>
              <w:rPr>
                <w:sz w:val="18"/>
              </w:rPr>
            </w:pPr>
            <w:r w:rsidRPr="00A8369C">
              <w:rPr>
                <w:sz w:val="18"/>
              </w:rPr>
              <w:t>21,3 %</w:t>
            </w:r>
          </w:p>
          <w:p w14:paraId="34E6FDF7" w14:textId="77777777" w:rsidR="00DB52C8" w:rsidRPr="00A8369C" w:rsidRDefault="00DB52C8" w:rsidP="00A8369C">
            <w:pPr>
              <w:spacing w:before="40" w:after="40" w:line="220" w:lineRule="exact"/>
              <w:ind w:left="113"/>
              <w:jc w:val="right"/>
              <w:rPr>
                <w:sz w:val="18"/>
              </w:rPr>
            </w:pPr>
            <w:r w:rsidRPr="00A8369C">
              <w:rPr>
                <w:sz w:val="18"/>
              </w:rPr>
              <w:t>13,8 %</w:t>
            </w:r>
          </w:p>
          <w:p w14:paraId="1CA9B6D6" w14:textId="77777777" w:rsidR="00DB52C8" w:rsidRPr="00A8369C" w:rsidRDefault="00DB52C8" w:rsidP="00A8369C">
            <w:pPr>
              <w:spacing w:before="40" w:after="40" w:line="220" w:lineRule="exact"/>
              <w:ind w:left="113"/>
              <w:jc w:val="right"/>
              <w:rPr>
                <w:sz w:val="18"/>
              </w:rPr>
            </w:pPr>
            <w:r w:rsidRPr="00A8369C">
              <w:rPr>
                <w:sz w:val="18"/>
              </w:rPr>
              <w:t>9,0 %</w:t>
            </w:r>
          </w:p>
          <w:p w14:paraId="35D7FBDF" w14:textId="77777777" w:rsidR="00DB52C8" w:rsidRPr="00A8369C" w:rsidRDefault="00DB52C8" w:rsidP="00A8369C">
            <w:pPr>
              <w:spacing w:before="40" w:after="40" w:line="220" w:lineRule="exact"/>
              <w:ind w:left="113"/>
              <w:jc w:val="right"/>
              <w:rPr>
                <w:sz w:val="18"/>
              </w:rPr>
            </w:pPr>
            <w:r w:rsidRPr="00A8369C">
              <w:rPr>
                <w:sz w:val="18"/>
              </w:rPr>
              <w:t>2,1 %</w:t>
            </w:r>
          </w:p>
        </w:tc>
        <w:tc>
          <w:tcPr>
            <w:tcW w:w="1034" w:type="dxa"/>
            <w:tcBorders>
              <w:bottom w:val="single" w:sz="12" w:space="0" w:color="auto"/>
            </w:tcBorders>
            <w:shd w:val="clear" w:color="auto" w:fill="auto"/>
            <w:vAlign w:val="bottom"/>
          </w:tcPr>
          <w:p w14:paraId="39E66278" w14:textId="77777777" w:rsidR="00DB52C8" w:rsidRPr="00A8369C" w:rsidRDefault="00DB52C8" w:rsidP="00A8369C">
            <w:pPr>
              <w:spacing w:before="40" w:after="40" w:line="220" w:lineRule="exact"/>
              <w:ind w:left="113"/>
              <w:jc w:val="right"/>
              <w:rPr>
                <w:sz w:val="18"/>
              </w:rPr>
            </w:pPr>
            <w:r w:rsidRPr="00A8369C">
              <w:rPr>
                <w:sz w:val="18"/>
              </w:rPr>
              <w:t>14,9 %</w:t>
            </w:r>
          </w:p>
          <w:p w14:paraId="565C61DF" w14:textId="77777777" w:rsidR="00DB52C8" w:rsidRPr="00A8369C" w:rsidRDefault="00DB52C8" w:rsidP="00A8369C">
            <w:pPr>
              <w:spacing w:before="40" w:after="40" w:line="220" w:lineRule="exact"/>
              <w:ind w:left="113"/>
              <w:jc w:val="right"/>
              <w:rPr>
                <w:sz w:val="18"/>
              </w:rPr>
            </w:pPr>
            <w:r w:rsidRPr="00A8369C">
              <w:rPr>
                <w:sz w:val="18"/>
              </w:rPr>
              <w:t>30,7 %</w:t>
            </w:r>
          </w:p>
          <w:p w14:paraId="31237E68" w14:textId="77777777" w:rsidR="00DB52C8" w:rsidRPr="00A8369C" w:rsidRDefault="00DB52C8" w:rsidP="00A8369C">
            <w:pPr>
              <w:spacing w:before="40" w:after="40" w:line="220" w:lineRule="exact"/>
              <w:ind w:left="113"/>
              <w:jc w:val="right"/>
              <w:rPr>
                <w:sz w:val="18"/>
              </w:rPr>
            </w:pPr>
            <w:r w:rsidRPr="00A8369C">
              <w:rPr>
                <w:sz w:val="18"/>
              </w:rPr>
              <w:t>18,3 %</w:t>
            </w:r>
          </w:p>
          <w:p w14:paraId="39B51FD1" w14:textId="77777777" w:rsidR="00DB52C8" w:rsidRPr="00A8369C" w:rsidRDefault="00DB52C8" w:rsidP="00A8369C">
            <w:pPr>
              <w:spacing w:before="40" w:after="40" w:line="220" w:lineRule="exact"/>
              <w:ind w:left="113"/>
              <w:jc w:val="right"/>
              <w:rPr>
                <w:sz w:val="18"/>
              </w:rPr>
            </w:pPr>
            <w:r w:rsidRPr="00A8369C">
              <w:rPr>
                <w:sz w:val="18"/>
              </w:rPr>
              <w:t>13,8 %</w:t>
            </w:r>
          </w:p>
          <w:p w14:paraId="74926C11" w14:textId="77777777" w:rsidR="00DB52C8" w:rsidRPr="00A8369C" w:rsidRDefault="00DB52C8" w:rsidP="00A8369C">
            <w:pPr>
              <w:spacing w:before="40" w:after="40" w:line="220" w:lineRule="exact"/>
              <w:ind w:left="113"/>
              <w:jc w:val="right"/>
              <w:rPr>
                <w:sz w:val="18"/>
              </w:rPr>
            </w:pPr>
            <w:r w:rsidRPr="00A8369C">
              <w:rPr>
                <w:sz w:val="18"/>
              </w:rPr>
              <w:t>6,4 %</w:t>
            </w:r>
          </w:p>
          <w:p w14:paraId="3048AB88" w14:textId="77777777" w:rsidR="00DB52C8" w:rsidRPr="00A8369C" w:rsidRDefault="00DB52C8" w:rsidP="00A8369C">
            <w:pPr>
              <w:spacing w:before="40" w:after="40" w:line="220" w:lineRule="exact"/>
              <w:ind w:left="113"/>
              <w:jc w:val="right"/>
              <w:rPr>
                <w:sz w:val="18"/>
              </w:rPr>
            </w:pPr>
            <w:r w:rsidRPr="00A8369C">
              <w:rPr>
                <w:sz w:val="18"/>
              </w:rPr>
              <w:t>1,8 %</w:t>
            </w:r>
          </w:p>
        </w:tc>
      </w:tr>
    </w:tbl>
    <w:p w14:paraId="2F7C6D62" w14:textId="0648607C" w:rsidR="009066E8" w:rsidRDefault="00DB52C8" w:rsidP="00D10736">
      <w:pPr>
        <w:spacing w:before="120" w:after="240"/>
        <w:ind w:left="1134" w:right="1134" w:firstLine="170"/>
        <w:rPr>
          <w:i/>
          <w:iCs/>
          <w:sz w:val="18"/>
          <w:szCs w:val="18"/>
        </w:rPr>
      </w:pPr>
      <w:r w:rsidRPr="00AA670B">
        <w:rPr>
          <w:i/>
          <w:iCs/>
          <w:sz w:val="18"/>
          <w:szCs w:val="18"/>
        </w:rPr>
        <w:t xml:space="preserve">Fuente: </w:t>
      </w:r>
      <w:r w:rsidRPr="00AA670B">
        <w:rPr>
          <w:sz w:val="18"/>
          <w:szCs w:val="18"/>
        </w:rPr>
        <w:t>Oficina Australiana de Estadística.</w:t>
      </w:r>
      <w:r w:rsidRPr="00AA670B">
        <w:rPr>
          <w:i/>
          <w:iCs/>
          <w:sz w:val="18"/>
          <w:szCs w:val="18"/>
        </w:rPr>
        <w:t xml:space="preserve"> 6530.0 – Estudio sobre el gasto de los hogares</w:t>
      </w:r>
      <w:r w:rsidRPr="00B750B2">
        <w:rPr>
          <w:sz w:val="18"/>
          <w:szCs w:val="18"/>
        </w:rPr>
        <w:t>, 2017</w:t>
      </w:r>
      <w:bookmarkEnd w:id="0"/>
      <w:r w:rsidRPr="00AA670B">
        <w:rPr>
          <w:i/>
          <w:iCs/>
          <w:sz w:val="18"/>
          <w:szCs w:val="18"/>
        </w:rPr>
        <w:t>.</w:t>
      </w:r>
      <w:bookmarkEnd w:id="1"/>
    </w:p>
    <w:p w14:paraId="0F79C94B" w14:textId="77777777" w:rsidR="009F2022" w:rsidRDefault="009F2022" w:rsidP="00D10736">
      <w:pPr>
        <w:pStyle w:val="SingleTxtG"/>
        <w:sectPr w:rsidR="009F2022" w:rsidSect="009066E8">
          <w:headerReference w:type="default" r:id="rId34"/>
          <w:footerReference w:type="even" r:id="rId35"/>
          <w:headerReference w:type="first" r:id="rId36"/>
          <w:footerReference w:type="first" r:id="rId37"/>
          <w:footnotePr>
            <w:numRestart w:val="eachSect"/>
          </w:footnotePr>
          <w:endnotePr>
            <w:numFmt w:val="decimal"/>
          </w:endnotePr>
          <w:pgSz w:w="11906" w:h="16838" w:code="9"/>
          <w:pgMar w:top="1418" w:right="1134" w:bottom="1134" w:left="1134" w:header="851" w:footer="567" w:gutter="0"/>
          <w:cols w:space="708"/>
          <w:titlePg/>
          <w:docGrid w:linePitch="360"/>
        </w:sectPr>
      </w:pPr>
    </w:p>
    <w:tbl>
      <w:tblPr>
        <w:tblW w:w="1430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22"/>
        <w:gridCol w:w="4284"/>
        <w:gridCol w:w="1021"/>
        <w:gridCol w:w="1316"/>
        <w:gridCol w:w="4264"/>
        <w:gridCol w:w="1251"/>
        <w:gridCol w:w="1148"/>
      </w:tblGrid>
      <w:tr w:rsidR="00A270B2" w:rsidRPr="00C52B38" w14:paraId="0A10A5D4" w14:textId="77777777" w:rsidTr="006721B2">
        <w:trPr>
          <w:trHeight w:val="111"/>
          <w:tblHeader/>
        </w:trPr>
        <w:tc>
          <w:tcPr>
            <w:tcW w:w="1022" w:type="dxa"/>
            <w:tcBorders>
              <w:top w:val="single" w:sz="4" w:space="0" w:color="auto"/>
              <w:bottom w:val="nil"/>
            </w:tcBorders>
            <w:shd w:val="clear" w:color="auto" w:fill="auto"/>
            <w:vAlign w:val="bottom"/>
          </w:tcPr>
          <w:p w14:paraId="55FA4455" w14:textId="77777777" w:rsidR="00A270B2" w:rsidRPr="00C52B38" w:rsidRDefault="00A270B2" w:rsidP="006721B2">
            <w:pPr>
              <w:rPr>
                <w:i/>
              </w:rPr>
            </w:pPr>
            <w:bookmarkStart w:id="56" w:name="_Hlk173151568"/>
          </w:p>
        </w:tc>
        <w:tc>
          <w:tcPr>
            <w:tcW w:w="6621" w:type="dxa"/>
            <w:gridSpan w:val="3"/>
            <w:tcBorders>
              <w:top w:val="single" w:sz="4" w:space="0" w:color="auto"/>
              <w:bottom w:val="single" w:sz="4" w:space="0" w:color="auto"/>
              <w:right w:val="single" w:sz="24" w:space="0" w:color="FFFFFF" w:themeColor="background1"/>
            </w:tcBorders>
            <w:shd w:val="clear" w:color="auto" w:fill="auto"/>
            <w:vAlign w:val="bottom"/>
          </w:tcPr>
          <w:p w14:paraId="7D1C6218" w14:textId="77777777" w:rsidR="00A270B2" w:rsidRPr="002E0201" w:rsidRDefault="00A270B2" w:rsidP="006721B2">
            <w:pPr>
              <w:spacing w:before="80" w:after="80" w:line="200" w:lineRule="exact"/>
              <w:ind w:right="113"/>
              <w:jc w:val="center"/>
              <w:rPr>
                <w:i/>
                <w:sz w:val="16"/>
                <w:lang w:eastAsia="en-US"/>
              </w:rPr>
            </w:pPr>
            <w:r w:rsidRPr="002E0201">
              <w:rPr>
                <w:i/>
                <w:sz w:val="16"/>
                <w:lang w:eastAsia="en-US"/>
              </w:rPr>
              <w:t>Hombres</w:t>
            </w:r>
          </w:p>
          <w:p w14:paraId="44EC1E2A" w14:textId="77777777" w:rsidR="00A270B2" w:rsidRPr="002E0201" w:rsidRDefault="00A270B2" w:rsidP="006721B2">
            <w:pPr>
              <w:spacing w:before="80" w:after="80" w:line="200" w:lineRule="exact"/>
              <w:ind w:right="113"/>
              <w:jc w:val="center"/>
              <w:rPr>
                <w:i/>
                <w:sz w:val="16"/>
                <w:lang w:eastAsia="en-US"/>
              </w:rPr>
            </w:pPr>
            <w:r w:rsidRPr="002E0201">
              <w:rPr>
                <w:i/>
                <w:sz w:val="16"/>
                <w:lang w:eastAsia="en-US"/>
              </w:rPr>
              <w:t>Número total de defunciones en 2019: 89 401</w:t>
            </w:r>
          </w:p>
        </w:tc>
        <w:tc>
          <w:tcPr>
            <w:tcW w:w="6663" w:type="dxa"/>
            <w:gridSpan w:val="3"/>
            <w:tcBorders>
              <w:top w:val="single" w:sz="4" w:space="0" w:color="auto"/>
              <w:left w:val="single" w:sz="24" w:space="0" w:color="FFFFFF" w:themeColor="background1"/>
              <w:bottom w:val="single" w:sz="4" w:space="0" w:color="auto"/>
            </w:tcBorders>
            <w:shd w:val="clear" w:color="auto" w:fill="auto"/>
            <w:vAlign w:val="bottom"/>
          </w:tcPr>
          <w:p w14:paraId="314E1D61" w14:textId="77777777" w:rsidR="00A270B2" w:rsidRPr="002E0201" w:rsidRDefault="00A270B2" w:rsidP="006721B2">
            <w:pPr>
              <w:spacing w:before="80" w:after="80" w:line="200" w:lineRule="exact"/>
              <w:ind w:right="113"/>
              <w:jc w:val="center"/>
              <w:rPr>
                <w:i/>
                <w:sz w:val="16"/>
                <w:lang w:eastAsia="en-US"/>
              </w:rPr>
            </w:pPr>
            <w:r w:rsidRPr="002E0201">
              <w:rPr>
                <w:i/>
                <w:sz w:val="16"/>
                <w:lang w:eastAsia="en-US"/>
              </w:rPr>
              <w:t>Mujeres</w:t>
            </w:r>
          </w:p>
          <w:p w14:paraId="1CC9F033" w14:textId="77777777" w:rsidR="00A270B2" w:rsidRPr="002E0201" w:rsidRDefault="00A270B2" w:rsidP="006721B2">
            <w:pPr>
              <w:spacing w:before="80" w:after="80" w:line="200" w:lineRule="exact"/>
              <w:ind w:right="113"/>
              <w:jc w:val="center"/>
              <w:rPr>
                <w:i/>
                <w:sz w:val="16"/>
                <w:lang w:eastAsia="en-US"/>
              </w:rPr>
            </w:pPr>
            <w:r w:rsidRPr="002E0201">
              <w:rPr>
                <w:i/>
                <w:sz w:val="16"/>
                <w:lang w:eastAsia="en-US"/>
              </w:rPr>
              <w:t>Número total de defunciones en 2021: 82 068</w:t>
            </w:r>
          </w:p>
        </w:tc>
      </w:tr>
      <w:tr w:rsidR="00A270B2" w:rsidRPr="00C52B38" w14:paraId="7CF76896" w14:textId="77777777" w:rsidTr="006721B2">
        <w:trPr>
          <w:trHeight w:val="20"/>
        </w:trPr>
        <w:tc>
          <w:tcPr>
            <w:tcW w:w="1022" w:type="dxa"/>
            <w:tcBorders>
              <w:top w:val="nil"/>
              <w:bottom w:val="single" w:sz="12" w:space="0" w:color="auto"/>
            </w:tcBorders>
            <w:shd w:val="clear" w:color="auto" w:fill="auto"/>
            <w:vAlign w:val="bottom"/>
          </w:tcPr>
          <w:p w14:paraId="3BB66C90" w14:textId="77777777" w:rsidR="00A270B2" w:rsidRPr="002E0201" w:rsidRDefault="00A270B2" w:rsidP="006721B2">
            <w:pPr>
              <w:spacing w:before="40" w:after="40" w:line="220" w:lineRule="exact"/>
              <w:ind w:right="113"/>
              <w:rPr>
                <w:i/>
                <w:sz w:val="16"/>
                <w:lang w:val="en-GB" w:eastAsia="en-US"/>
              </w:rPr>
            </w:pPr>
            <w:proofErr w:type="spellStart"/>
            <w:r w:rsidRPr="002E0201">
              <w:rPr>
                <w:i/>
                <w:sz w:val="16"/>
                <w:lang w:val="en-GB" w:eastAsia="en-US"/>
              </w:rPr>
              <w:t>Clasificación</w:t>
            </w:r>
            <w:proofErr w:type="spellEnd"/>
          </w:p>
        </w:tc>
        <w:tc>
          <w:tcPr>
            <w:tcW w:w="4284" w:type="dxa"/>
            <w:tcBorders>
              <w:top w:val="single" w:sz="4" w:space="0" w:color="auto"/>
              <w:bottom w:val="single" w:sz="12" w:space="0" w:color="auto"/>
            </w:tcBorders>
            <w:shd w:val="clear" w:color="auto" w:fill="auto"/>
            <w:vAlign w:val="bottom"/>
          </w:tcPr>
          <w:p w14:paraId="606FB324" w14:textId="77777777" w:rsidR="00A270B2" w:rsidRPr="002E0201" w:rsidRDefault="00A270B2" w:rsidP="006721B2">
            <w:pPr>
              <w:spacing w:before="40" w:after="40" w:line="220" w:lineRule="exact"/>
              <w:ind w:right="113"/>
              <w:rPr>
                <w:i/>
                <w:sz w:val="16"/>
                <w:lang w:val="en-GB" w:eastAsia="en-US"/>
              </w:rPr>
            </w:pPr>
            <w:r w:rsidRPr="002E0201">
              <w:rPr>
                <w:i/>
                <w:sz w:val="16"/>
                <w:lang w:val="en-GB" w:eastAsia="en-US"/>
              </w:rPr>
              <w:t xml:space="preserve">Causa de la </w:t>
            </w:r>
            <w:proofErr w:type="spellStart"/>
            <w:r w:rsidRPr="002E0201">
              <w:rPr>
                <w:i/>
                <w:sz w:val="16"/>
                <w:lang w:val="en-GB" w:eastAsia="en-US"/>
              </w:rPr>
              <w:t>muerte</w:t>
            </w:r>
            <w:proofErr w:type="spellEnd"/>
          </w:p>
        </w:tc>
        <w:tc>
          <w:tcPr>
            <w:tcW w:w="1021" w:type="dxa"/>
            <w:tcBorders>
              <w:top w:val="single" w:sz="4" w:space="0" w:color="auto"/>
              <w:bottom w:val="single" w:sz="12" w:space="0" w:color="auto"/>
            </w:tcBorders>
            <w:shd w:val="clear" w:color="auto" w:fill="auto"/>
            <w:vAlign w:val="bottom"/>
          </w:tcPr>
          <w:p w14:paraId="38385C52" w14:textId="77777777" w:rsidR="00A270B2" w:rsidRPr="002E0201" w:rsidRDefault="00A270B2" w:rsidP="006721B2">
            <w:pPr>
              <w:spacing w:before="40" w:after="40" w:line="220" w:lineRule="exact"/>
              <w:ind w:right="113"/>
              <w:jc w:val="right"/>
              <w:rPr>
                <w:i/>
                <w:sz w:val="16"/>
                <w:lang w:val="en-GB" w:eastAsia="en-US"/>
              </w:rPr>
            </w:pPr>
            <w:proofErr w:type="spellStart"/>
            <w:r w:rsidRPr="002E0201">
              <w:rPr>
                <w:i/>
                <w:sz w:val="16"/>
                <w:lang w:val="en-GB" w:eastAsia="en-US"/>
              </w:rPr>
              <w:t>Número</w:t>
            </w:r>
            <w:proofErr w:type="spellEnd"/>
            <w:r w:rsidRPr="002E0201">
              <w:rPr>
                <w:i/>
                <w:sz w:val="16"/>
                <w:lang w:val="en-GB" w:eastAsia="en-US"/>
              </w:rPr>
              <w:t xml:space="preserve"> de </w:t>
            </w:r>
            <w:proofErr w:type="spellStart"/>
            <w:r w:rsidRPr="002E0201">
              <w:rPr>
                <w:i/>
                <w:sz w:val="16"/>
                <w:lang w:val="en-GB" w:eastAsia="en-US"/>
              </w:rPr>
              <w:t>defunciones</w:t>
            </w:r>
            <w:proofErr w:type="spellEnd"/>
          </w:p>
        </w:tc>
        <w:tc>
          <w:tcPr>
            <w:tcW w:w="1316" w:type="dxa"/>
            <w:tcBorders>
              <w:top w:val="single" w:sz="4" w:space="0" w:color="auto"/>
              <w:bottom w:val="single" w:sz="12" w:space="0" w:color="auto"/>
              <w:right w:val="single" w:sz="24" w:space="0" w:color="FFFFFF" w:themeColor="background1"/>
            </w:tcBorders>
            <w:shd w:val="clear" w:color="auto" w:fill="auto"/>
            <w:vAlign w:val="bottom"/>
          </w:tcPr>
          <w:p w14:paraId="653A935F" w14:textId="77777777" w:rsidR="00A270B2" w:rsidRPr="002E0201" w:rsidRDefault="00A270B2" w:rsidP="006721B2">
            <w:pPr>
              <w:spacing w:before="40" w:after="40" w:line="220" w:lineRule="exact"/>
              <w:ind w:right="113"/>
              <w:jc w:val="right"/>
              <w:rPr>
                <w:i/>
                <w:sz w:val="16"/>
                <w:lang w:eastAsia="en-US"/>
              </w:rPr>
            </w:pPr>
            <w:r w:rsidRPr="002E0201">
              <w:rPr>
                <w:i/>
                <w:sz w:val="16"/>
                <w:lang w:eastAsia="en-US"/>
              </w:rPr>
              <w:t>Porcentaje sobre el total de defunciones</w:t>
            </w:r>
          </w:p>
        </w:tc>
        <w:tc>
          <w:tcPr>
            <w:tcW w:w="4264" w:type="dxa"/>
            <w:tcBorders>
              <w:top w:val="single" w:sz="4" w:space="0" w:color="auto"/>
              <w:left w:val="single" w:sz="24" w:space="0" w:color="FFFFFF" w:themeColor="background1"/>
              <w:bottom w:val="single" w:sz="12" w:space="0" w:color="auto"/>
            </w:tcBorders>
            <w:shd w:val="clear" w:color="auto" w:fill="auto"/>
            <w:vAlign w:val="bottom"/>
          </w:tcPr>
          <w:p w14:paraId="13349EB2" w14:textId="77777777" w:rsidR="00A270B2" w:rsidRPr="002E0201" w:rsidRDefault="00A270B2" w:rsidP="006721B2">
            <w:pPr>
              <w:spacing w:before="40" w:after="40" w:line="220" w:lineRule="exact"/>
              <w:ind w:right="113"/>
              <w:rPr>
                <w:i/>
                <w:sz w:val="16"/>
                <w:lang w:val="en-GB" w:eastAsia="en-US"/>
              </w:rPr>
            </w:pPr>
            <w:r w:rsidRPr="002E0201">
              <w:rPr>
                <w:i/>
                <w:sz w:val="16"/>
                <w:lang w:val="en-GB" w:eastAsia="en-US"/>
              </w:rPr>
              <w:t xml:space="preserve">Causa de la </w:t>
            </w:r>
            <w:proofErr w:type="spellStart"/>
            <w:r w:rsidRPr="002E0201">
              <w:rPr>
                <w:i/>
                <w:sz w:val="16"/>
                <w:lang w:val="en-GB" w:eastAsia="en-US"/>
              </w:rPr>
              <w:t>muerte</w:t>
            </w:r>
            <w:proofErr w:type="spellEnd"/>
          </w:p>
        </w:tc>
        <w:tc>
          <w:tcPr>
            <w:tcW w:w="1251" w:type="dxa"/>
            <w:tcBorders>
              <w:top w:val="single" w:sz="4" w:space="0" w:color="auto"/>
              <w:bottom w:val="single" w:sz="12" w:space="0" w:color="auto"/>
            </w:tcBorders>
            <w:shd w:val="clear" w:color="auto" w:fill="auto"/>
            <w:vAlign w:val="bottom"/>
          </w:tcPr>
          <w:p w14:paraId="64B8DDD1" w14:textId="77777777" w:rsidR="00A270B2" w:rsidRPr="002E0201" w:rsidRDefault="00A270B2" w:rsidP="006721B2">
            <w:pPr>
              <w:spacing w:before="40" w:after="40" w:line="220" w:lineRule="exact"/>
              <w:ind w:right="113"/>
              <w:jc w:val="right"/>
              <w:rPr>
                <w:i/>
                <w:sz w:val="16"/>
                <w:lang w:val="en-GB" w:eastAsia="en-US"/>
              </w:rPr>
            </w:pPr>
            <w:proofErr w:type="spellStart"/>
            <w:r w:rsidRPr="002E0201">
              <w:rPr>
                <w:i/>
                <w:sz w:val="16"/>
                <w:lang w:val="en-GB" w:eastAsia="en-US"/>
              </w:rPr>
              <w:t>Número</w:t>
            </w:r>
            <w:proofErr w:type="spellEnd"/>
            <w:r w:rsidRPr="002E0201">
              <w:rPr>
                <w:i/>
                <w:sz w:val="16"/>
                <w:lang w:val="en-GB" w:eastAsia="en-US"/>
              </w:rPr>
              <w:t xml:space="preserve"> de </w:t>
            </w:r>
            <w:proofErr w:type="spellStart"/>
            <w:r w:rsidRPr="002E0201">
              <w:rPr>
                <w:i/>
                <w:sz w:val="16"/>
                <w:lang w:val="en-GB" w:eastAsia="en-US"/>
              </w:rPr>
              <w:t>defunciones</w:t>
            </w:r>
            <w:proofErr w:type="spellEnd"/>
          </w:p>
        </w:tc>
        <w:tc>
          <w:tcPr>
            <w:tcW w:w="1148" w:type="dxa"/>
            <w:tcBorders>
              <w:top w:val="single" w:sz="4" w:space="0" w:color="auto"/>
              <w:bottom w:val="single" w:sz="12" w:space="0" w:color="auto"/>
            </w:tcBorders>
            <w:shd w:val="clear" w:color="auto" w:fill="auto"/>
            <w:vAlign w:val="bottom"/>
          </w:tcPr>
          <w:p w14:paraId="23227BE3" w14:textId="77777777" w:rsidR="00A270B2" w:rsidRPr="002E0201" w:rsidRDefault="00A270B2" w:rsidP="006721B2">
            <w:pPr>
              <w:spacing w:before="40" w:after="40" w:line="220" w:lineRule="exact"/>
              <w:ind w:right="113"/>
              <w:jc w:val="right"/>
              <w:rPr>
                <w:i/>
                <w:sz w:val="16"/>
                <w:lang w:eastAsia="en-US"/>
              </w:rPr>
            </w:pPr>
            <w:r w:rsidRPr="002E0201">
              <w:rPr>
                <w:i/>
                <w:sz w:val="16"/>
                <w:lang w:eastAsia="en-US"/>
              </w:rPr>
              <w:t>Porcentaje sobre el total de defunciones</w:t>
            </w:r>
          </w:p>
        </w:tc>
      </w:tr>
      <w:tr w:rsidR="00A270B2" w:rsidRPr="002E0201" w14:paraId="588EE9D2" w14:textId="77777777" w:rsidTr="006721B2">
        <w:trPr>
          <w:trHeight w:val="20"/>
        </w:trPr>
        <w:tc>
          <w:tcPr>
            <w:tcW w:w="1022" w:type="dxa"/>
            <w:tcBorders>
              <w:top w:val="single" w:sz="12" w:space="0" w:color="auto"/>
            </w:tcBorders>
            <w:shd w:val="clear" w:color="auto" w:fill="auto"/>
          </w:tcPr>
          <w:p w14:paraId="3A743A61"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1</w:t>
            </w:r>
          </w:p>
        </w:tc>
        <w:tc>
          <w:tcPr>
            <w:tcW w:w="4284" w:type="dxa"/>
            <w:tcBorders>
              <w:top w:val="single" w:sz="12" w:space="0" w:color="auto"/>
            </w:tcBorders>
            <w:shd w:val="clear" w:color="auto" w:fill="auto"/>
          </w:tcPr>
          <w:p w14:paraId="17F066B2"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Cardiopatía</w:t>
            </w:r>
            <w:proofErr w:type="spellEnd"/>
            <w:r w:rsidRPr="002E0201">
              <w:rPr>
                <w:sz w:val="18"/>
                <w:lang w:val="en-GB" w:eastAsia="en-US"/>
              </w:rPr>
              <w:t xml:space="preserve"> coronaria</w:t>
            </w:r>
          </w:p>
        </w:tc>
        <w:tc>
          <w:tcPr>
            <w:tcW w:w="1021" w:type="dxa"/>
            <w:tcBorders>
              <w:top w:val="single" w:sz="12" w:space="0" w:color="auto"/>
            </w:tcBorders>
            <w:shd w:val="clear" w:color="auto" w:fill="auto"/>
            <w:vAlign w:val="bottom"/>
          </w:tcPr>
          <w:p w14:paraId="7CA06AC4"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10</w:t>
            </w:r>
            <w:r>
              <w:rPr>
                <w:sz w:val="18"/>
                <w:lang w:val="en-GB" w:eastAsia="en-US"/>
              </w:rPr>
              <w:t xml:space="preserve"> </w:t>
            </w:r>
            <w:r w:rsidRPr="002E0201">
              <w:rPr>
                <w:sz w:val="18"/>
                <w:lang w:val="en-GB" w:eastAsia="en-US"/>
              </w:rPr>
              <w:t>371</w:t>
            </w:r>
          </w:p>
        </w:tc>
        <w:tc>
          <w:tcPr>
            <w:tcW w:w="1316" w:type="dxa"/>
            <w:tcBorders>
              <w:top w:val="single" w:sz="12" w:space="0" w:color="auto"/>
            </w:tcBorders>
            <w:shd w:val="clear" w:color="auto" w:fill="auto"/>
            <w:vAlign w:val="bottom"/>
          </w:tcPr>
          <w:p w14:paraId="312CD292" w14:textId="15A65E5E"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11,6</w:t>
            </w:r>
          </w:p>
        </w:tc>
        <w:tc>
          <w:tcPr>
            <w:tcW w:w="4264" w:type="dxa"/>
            <w:tcBorders>
              <w:top w:val="single" w:sz="12" w:space="0" w:color="auto"/>
            </w:tcBorders>
            <w:shd w:val="clear" w:color="auto" w:fill="auto"/>
            <w:vAlign w:val="bottom"/>
          </w:tcPr>
          <w:p w14:paraId="1F96FE23" w14:textId="77777777" w:rsidR="00A270B2" w:rsidRPr="002E0201" w:rsidRDefault="00A270B2" w:rsidP="006721B2">
            <w:pPr>
              <w:spacing w:before="40" w:after="40" w:line="220" w:lineRule="exact"/>
              <w:ind w:right="113"/>
              <w:rPr>
                <w:sz w:val="18"/>
                <w:lang w:eastAsia="en-US"/>
              </w:rPr>
            </w:pPr>
            <w:r w:rsidRPr="002E0201">
              <w:rPr>
                <w:sz w:val="18"/>
                <w:lang w:eastAsia="en-US"/>
              </w:rPr>
              <w:t>Demencia y enfermedad de Alzheimer</w:t>
            </w:r>
          </w:p>
        </w:tc>
        <w:tc>
          <w:tcPr>
            <w:tcW w:w="1251" w:type="dxa"/>
            <w:tcBorders>
              <w:top w:val="single" w:sz="12" w:space="0" w:color="auto"/>
            </w:tcBorders>
            <w:shd w:val="clear" w:color="auto" w:fill="auto"/>
            <w:vAlign w:val="bottom"/>
          </w:tcPr>
          <w:p w14:paraId="7EA0490C"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10</w:t>
            </w:r>
            <w:r>
              <w:rPr>
                <w:sz w:val="18"/>
                <w:lang w:val="en-GB" w:eastAsia="en-US"/>
              </w:rPr>
              <w:t xml:space="preserve"> </w:t>
            </w:r>
            <w:r w:rsidRPr="002E0201">
              <w:rPr>
                <w:sz w:val="18"/>
                <w:lang w:val="en-GB" w:eastAsia="en-US"/>
              </w:rPr>
              <w:t>276</w:t>
            </w:r>
          </w:p>
        </w:tc>
        <w:tc>
          <w:tcPr>
            <w:tcW w:w="1148" w:type="dxa"/>
            <w:tcBorders>
              <w:top w:val="single" w:sz="12" w:space="0" w:color="auto"/>
            </w:tcBorders>
            <w:shd w:val="clear" w:color="auto" w:fill="auto"/>
            <w:vAlign w:val="bottom"/>
          </w:tcPr>
          <w:p w14:paraId="661F445F" w14:textId="546961D4"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12,5</w:t>
            </w:r>
          </w:p>
        </w:tc>
      </w:tr>
      <w:tr w:rsidR="00A270B2" w:rsidRPr="002E0201" w14:paraId="214E1464" w14:textId="77777777" w:rsidTr="006721B2">
        <w:trPr>
          <w:trHeight w:val="20"/>
        </w:trPr>
        <w:tc>
          <w:tcPr>
            <w:tcW w:w="1022" w:type="dxa"/>
            <w:shd w:val="clear" w:color="auto" w:fill="auto"/>
          </w:tcPr>
          <w:p w14:paraId="7DACFA0C"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2</w:t>
            </w:r>
          </w:p>
        </w:tc>
        <w:tc>
          <w:tcPr>
            <w:tcW w:w="4284" w:type="dxa"/>
            <w:shd w:val="clear" w:color="auto" w:fill="auto"/>
          </w:tcPr>
          <w:p w14:paraId="7001999D" w14:textId="77777777" w:rsidR="00A270B2" w:rsidRPr="002E0201" w:rsidRDefault="00A270B2" w:rsidP="006721B2">
            <w:pPr>
              <w:spacing w:before="40" w:after="40" w:line="220" w:lineRule="exact"/>
              <w:ind w:right="113"/>
              <w:rPr>
                <w:sz w:val="18"/>
                <w:lang w:eastAsia="en-US"/>
              </w:rPr>
            </w:pPr>
            <w:r w:rsidRPr="002E0201">
              <w:rPr>
                <w:sz w:val="18"/>
                <w:lang w:eastAsia="en-US"/>
              </w:rPr>
              <w:t xml:space="preserve">Demencia y enfermedad de Alzheimer </w:t>
            </w:r>
          </w:p>
        </w:tc>
        <w:tc>
          <w:tcPr>
            <w:tcW w:w="1021" w:type="dxa"/>
            <w:shd w:val="clear" w:color="auto" w:fill="auto"/>
            <w:vAlign w:val="bottom"/>
          </w:tcPr>
          <w:p w14:paraId="086F1499"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5</w:t>
            </w:r>
            <w:r>
              <w:rPr>
                <w:sz w:val="18"/>
                <w:lang w:val="en-GB" w:eastAsia="en-US"/>
              </w:rPr>
              <w:t xml:space="preserve"> </w:t>
            </w:r>
            <w:r w:rsidRPr="002E0201">
              <w:rPr>
                <w:sz w:val="18"/>
                <w:lang w:val="en-GB" w:eastAsia="en-US"/>
              </w:rPr>
              <w:t>664</w:t>
            </w:r>
          </w:p>
        </w:tc>
        <w:tc>
          <w:tcPr>
            <w:tcW w:w="1316" w:type="dxa"/>
            <w:shd w:val="clear" w:color="auto" w:fill="auto"/>
            <w:vAlign w:val="bottom"/>
          </w:tcPr>
          <w:p w14:paraId="2875EF1A" w14:textId="61B60A90"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6,3</w:t>
            </w:r>
          </w:p>
        </w:tc>
        <w:tc>
          <w:tcPr>
            <w:tcW w:w="4264" w:type="dxa"/>
            <w:shd w:val="clear" w:color="auto" w:fill="auto"/>
            <w:vAlign w:val="bottom"/>
          </w:tcPr>
          <w:p w14:paraId="4F6270CA"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Cardiopatía</w:t>
            </w:r>
            <w:proofErr w:type="spellEnd"/>
            <w:r w:rsidRPr="002E0201">
              <w:rPr>
                <w:sz w:val="18"/>
                <w:lang w:val="en-GB" w:eastAsia="en-US"/>
              </w:rPr>
              <w:t xml:space="preserve"> coronaria</w:t>
            </w:r>
          </w:p>
        </w:tc>
        <w:tc>
          <w:tcPr>
            <w:tcW w:w="1251" w:type="dxa"/>
            <w:shd w:val="clear" w:color="auto" w:fill="auto"/>
            <w:vAlign w:val="bottom"/>
          </w:tcPr>
          <w:p w14:paraId="0E8DE601"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6</w:t>
            </w:r>
            <w:r>
              <w:rPr>
                <w:sz w:val="18"/>
                <w:lang w:val="en-GB" w:eastAsia="en-US"/>
              </w:rPr>
              <w:t xml:space="preserve"> </w:t>
            </w:r>
            <w:r w:rsidRPr="002E0201">
              <w:rPr>
                <w:sz w:val="18"/>
                <w:lang w:val="en-GB" w:eastAsia="en-US"/>
              </w:rPr>
              <w:t>960</w:t>
            </w:r>
          </w:p>
        </w:tc>
        <w:tc>
          <w:tcPr>
            <w:tcW w:w="1148" w:type="dxa"/>
            <w:shd w:val="clear" w:color="auto" w:fill="auto"/>
            <w:vAlign w:val="bottom"/>
          </w:tcPr>
          <w:p w14:paraId="74BD6810" w14:textId="0ABE62EB"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8,4</w:t>
            </w:r>
          </w:p>
        </w:tc>
      </w:tr>
      <w:tr w:rsidR="00A270B2" w:rsidRPr="002E0201" w14:paraId="1161C302" w14:textId="77777777" w:rsidTr="006721B2">
        <w:trPr>
          <w:trHeight w:val="20"/>
        </w:trPr>
        <w:tc>
          <w:tcPr>
            <w:tcW w:w="1022" w:type="dxa"/>
            <w:shd w:val="clear" w:color="auto" w:fill="auto"/>
          </w:tcPr>
          <w:p w14:paraId="4B710D6E"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3</w:t>
            </w:r>
          </w:p>
        </w:tc>
        <w:tc>
          <w:tcPr>
            <w:tcW w:w="4284" w:type="dxa"/>
            <w:shd w:val="clear" w:color="auto" w:fill="auto"/>
          </w:tcPr>
          <w:p w14:paraId="4B1D0B47"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Cáncer</w:t>
            </w:r>
            <w:proofErr w:type="spellEnd"/>
            <w:r w:rsidRPr="002E0201">
              <w:rPr>
                <w:sz w:val="18"/>
                <w:lang w:val="en-GB" w:eastAsia="en-US"/>
              </w:rPr>
              <w:t xml:space="preserve"> de </w:t>
            </w:r>
            <w:proofErr w:type="spellStart"/>
            <w:r w:rsidRPr="002E0201">
              <w:rPr>
                <w:sz w:val="18"/>
                <w:lang w:val="en-GB" w:eastAsia="en-US"/>
              </w:rPr>
              <w:t>pulmón</w:t>
            </w:r>
            <w:proofErr w:type="spellEnd"/>
          </w:p>
        </w:tc>
        <w:tc>
          <w:tcPr>
            <w:tcW w:w="1021" w:type="dxa"/>
            <w:shd w:val="clear" w:color="auto" w:fill="auto"/>
            <w:vAlign w:val="bottom"/>
          </w:tcPr>
          <w:p w14:paraId="34468639"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4</w:t>
            </w:r>
            <w:r>
              <w:rPr>
                <w:sz w:val="18"/>
                <w:lang w:val="en-GB" w:eastAsia="en-US"/>
              </w:rPr>
              <w:t xml:space="preserve"> </w:t>
            </w:r>
            <w:r w:rsidRPr="002E0201">
              <w:rPr>
                <w:sz w:val="18"/>
                <w:lang w:val="en-GB" w:eastAsia="en-US"/>
              </w:rPr>
              <w:t>968</w:t>
            </w:r>
          </w:p>
        </w:tc>
        <w:tc>
          <w:tcPr>
            <w:tcW w:w="1316" w:type="dxa"/>
            <w:shd w:val="clear" w:color="auto" w:fill="auto"/>
            <w:vAlign w:val="bottom"/>
          </w:tcPr>
          <w:p w14:paraId="109813F9" w14:textId="2A9C6746"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5,5</w:t>
            </w:r>
          </w:p>
        </w:tc>
        <w:tc>
          <w:tcPr>
            <w:tcW w:w="4264" w:type="dxa"/>
            <w:shd w:val="clear" w:color="auto" w:fill="auto"/>
            <w:vAlign w:val="bottom"/>
          </w:tcPr>
          <w:p w14:paraId="3542F413"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Enfermedad</w:t>
            </w:r>
            <w:proofErr w:type="spellEnd"/>
            <w:r w:rsidRPr="002E0201">
              <w:rPr>
                <w:sz w:val="18"/>
                <w:lang w:val="en-GB" w:eastAsia="en-US"/>
              </w:rPr>
              <w:t xml:space="preserve"> cerebrovascular</w:t>
            </w:r>
          </w:p>
        </w:tc>
        <w:tc>
          <w:tcPr>
            <w:tcW w:w="1251" w:type="dxa"/>
            <w:shd w:val="clear" w:color="auto" w:fill="auto"/>
            <w:vAlign w:val="bottom"/>
          </w:tcPr>
          <w:p w14:paraId="649A54B7"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5</w:t>
            </w:r>
            <w:r>
              <w:rPr>
                <w:sz w:val="18"/>
                <w:lang w:val="en-GB" w:eastAsia="en-US"/>
              </w:rPr>
              <w:t xml:space="preserve"> </w:t>
            </w:r>
            <w:r w:rsidRPr="002E0201">
              <w:rPr>
                <w:sz w:val="18"/>
                <w:lang w:val="en-GB" w:eastAsia="en-US"/>
              </w:rPr>
              <w:t>620</w:t>
            </w:r>
          </w:p>
        </w:tc>
        <w:tc>
          <w:tcPr>
            <w:tcW w:w="1148" w:type="dxa"/>
            <w:shd w:val="clear" w:color="auto" w:fill="auto"/>
            <w:vAlign w:val="bottom"/>
          </w:tcPr>
          <w:p w14:paraId="0FB0EC31" w14:textId="334334B9"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6,8</w:t>
            </w:r>
          </w:p>
        </w:tc>
      </w:tr>
      <w:tr w:rsidR="00A270B2" w:rsidRPr="002E0201" w14:paraId="50ACD59A" w14:textId="77777777" w:rsidTr="006721B2">
        <w:trPr>
          <w:trHeight w:val="238"/>
        </w:trPr>
        <w:tc>
          <w:tcPr>
            <w:tcW w:w="1022" w:type="dxa"/>
            <w:shd w:val="clear" w:color="auto" w:fill="auto"/>
          </w:tcPr>
          <w:p w14:paraId="6E82E7D5"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4</w:t>
            </w:r>
          </w:p>
        </w:tc>
        <w:tc>
          <w:tcPr>
            <w:tcW w:w="4284" w:type="dxa"/>
            <w:shd w:val="clear" w:color="auto" w:fill="auto"/>
          </w:tcPr>
          <w:p w14:paraId="2F04DADA"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Enfermedad</w:t>
            </w:r>
            <w:proofErr w:type="spellEnd"/>
            <w:r w:rsidRPr="002E0201">
              <w:rPr>
                <w:sz w:val="18"/>
                <w:lang w:val="en-GB" w:eastAsia="en-US"/>
              </w:rPr>
              <w:t xml:space="preserve"> cerebrovascular</w:t>
            </w:r>
          </w:p>
        </w:tc>
        <w:tc>
          <w:tcPr>
            <w:tcW w:w="1021" w:type="dxa"/>
            <w:shd w:val="clear" w:color="auto" w:fill="auto"/>
            <w:vAlign w:val="bottom"/>
          </w:tcPr>
          <w:p w14:paraId="684CBC6D"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4</w:t>
            </w:r>
            <w:r>
              <w:rPr>
                <w:sz w:val="18"/>
                <w:lang w:val="en-GB" w:eastAsia="en-US"/>
              </w:rPr>
              <w:t xml:space="preserve"> </w:t>
            </w:r>
            <w:r w:rsidRPr="002E0201">
              <w:rPr>
                <w:sz w:val="18"/>
                <w:lang w:val="en-GB" w:eastAsia="en-US"/>
              </w:rPr>
              <w:t>180</w:t>
            </w:r>
          </w:p>
        </w:tc>
        <w:tc>
          <w:tcPr>
            <w:tcW w:w="1316" w:type="dxa"/>
            <w:shd w:val="clear" w:color="auto" w:fill="auto"/>
            <w:vAlign w:val="bottom"/>
          </w:tcPr>
          <w:p w14:paraId="62E59CA1" w14:textId="2F3F83A5"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4,6</w:t>
            </w:r>
          </w:p>
        </w:tc>
        <w:tc>
          <w:tcPr>
            <w:tcW w:w="4264" w:type="dxa"/>
            <w:shd w:val="clear" w:color="auto" w:fill="auto"/>
            <w:vAlign w:val="bottom"/>
          </w:tcPr>
          <w:p w14:paraId="1DB6B012" w14:textId="77777777" w:rsidR="00A270B2" w:rsidRPr="002E0201" w:rsidRDefault="00A270B2" w:rsidP="006721B2">
            <w:pPr>
              <w:spacing w:before="40" w:after="40" w:line="220" w:lineRule="exact"/>
              <w:ind w:right="113"/>
              <w:rPr>
                <w:sz w:val="18"/>
                <w:lang w:eastAsia="en-US"/>
              </w:rPr>
            </w:pPr>
            <w:r w:rsidRPr="002E0201">
              <w:rPr>
                <w:sz w:val="18"/>
                <w:lang w:eastAsia="en-US"/>
              </w:rPr>
              <w:t xml:space="preserve">Enfermedades crónicas de las vías respiratorias inferiores </w:t>
            </w:r>
          </w:p>
        </w:tc>
        <w:tc>
          <w:tcPr>
            <w:tcW w:w="1251" w:type="dxa"/>
            <w:shd w:val="clear" w:color="auto" w:fill="auto"/>
            <w:vAlign w:val="bottom"/>
          </w:tcPr>
          <w:p w14:paraId="048D6561"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w:t>
            </w:r>
            <w:r>
              <w:rPr>
                <w:sz w:val="18"/>
                <w:lang w:val="en-GB" w:eastAsia="en-US"/>
              </w:rPr>
              <w:t xml:space="preserve"> </w:t>
            </w:r>
            <w:r w:rsidRPr="002E0201">
              <w:rPr>
                <w:sz w:val="18"/>
                <w:lang w:val="en-GB" w:eastAsia="en-US"/>
              </w:rPr>
              <w:t>854</w:t>
            </w:r>
          </w:p>
        </w:tc>
        <w:tc>
          <w:tcPr>
            <w:tcW w:w="1148" w:type="dxa"/>
            <w:shd w:val="clear" w:color="auto" w:fill="auto"/>
            <w:vAlign w:val="bottom"/>
          </w:tcPr>
          <w:p w14:paraId="3F76EE9D" w14:textId="24C09BD2"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4,7</w:t>
            </w:r>
          </w:p>
        </w:tc>
      </w:tr>
      <w:tr w:rsidR="00A270B2" w:rsidRPr="002E0201" w14:paraId="35BFA4D0" w14:textId="77777777" w:rsidTr="006721B2">
        <w:trPr>
          <w:trHeight w:val="20"/>
        </w:trPr>
        <w:tc>
          <w:tcPr>
            <w:tcW w:w="1022" w:type="dxa"/>
            <w:shd w:val="clear" w:color="auto" w:fill="auto"/>
          </w:tcPr>
          <w:p w14:paraId="118B4340"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5</w:t>
            </w:r>
          </w:p>
        </w:tc>
        <w:tc>
          <w:tcPr>
            <w:tcW w:w="4284" w:type="dxa"/>
            <w:shd w:val="clear" w:color="auto" w:fill="auto"/>
          </w:tcPr>
          <w:p w14:paraId="269F9A9C" w14:textId="77777777" w:rsidR="00A270B2" w:rsidRPr="002E0201" w:rsidRDefault="00A270B2" w:rsidP="006721B2">
            <w:pPr>
              <w:spacing w:before="40" w:after="40" w:line="220" w:lineRule="exact"/>
              <w:ind w:right="113"/>
              <w:rPr>
                <w:sz w:val="18"/>
                <w:lang w:eastAsia="en-US"/>
              </w:rPr>
            </w:pPr>
            <w:r w:rsidRPr="002E0201">
              <w:rPr>
                <w:sz w:val="18"/>
                <w:lang w:eastAsia="en-US"/>
              </w:rPr>
              <w:t>Enfermedades crónicas de las vías respiratorias inferiores</w:t>
            </w:r>
          </w:p>
        </w:tc>
        <w:tc>
          <w:tcPr>
            <w:tcW w:w="1021" w:type="dxa"/>
            <w:shd w:val="clear" w:color="auto" w:fill="auto"/>
            <w:vAlign w:val="bottom"/>
          </w:tcPr>
          <w:p w14:paraId="53FB1A87"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w:t>
            </w:r>
            <w:r>
              <w:rPr>
                <w:sz w:val="18"/>
                <w:lang w:val="en-GB" w:eastAsia="en-US"/>
              </w:rPr>
              <w:t xml:space="preserve"> </w:t>
            </w:r>
            <w:r w:rsidRPr="002E0201">
              <w:rPr>
                <w:sz w:val="18"/>
                <w:lang w:val="en-GB" w:eastAsia="en-US"/>
              </w:rPr>
              <w:t>951</w:t>
            </w:r>
          </w:p>
        </w:tc>
        <w:tc>
          <w:tcPr>
            <w:tcW w:w="1316" w:type="dxa"/>
            <w:shd w:val="clear" w:color="auto" w:fill="auto"/>
            <w:vAlign w:val="bottom"/>
          </w:tcPr>
          <w:p w14:paraId="63358E4C" w14:textId="43B9BD8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4,4</w:t>
            </w:r>
          </w:p>
        </w:tc>
        <w:tc>
          <w:tcPr>
            <w:tcW w:w="4264" w:type="dxa"/>
            <w:shd w:val="clear" w:color="auto" w:fill="auto"/>
            <w:vAlign w:val="bottom"/>
          </w:tcPr>
          <w:p w14:paraId="18A0F0F9"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Cáncer</w:t>
            </w:r>
            <w:proofErr w:type="spellEnd"/>
            <w:r w:rsidRPr="002E0201">
              <w:rPr>
                <w:sz w:val="18"/>
                <w:lang w:val="en-GB" w:eastAsia="en-US"/>
              </w:rPr>
              <w:t xml:space="preserve"> de </w:t>
            </w:r>
            <w:proofErr w:type="spellStart"/>
            <w:r w:rsidRPr="002E0201">
              <w:rPr>
                <w:sz w:val="18"/>
                <w:lang w:val="en-GB" w:eastAsia="en-US"/>
              </w:rPr>
              <w:t>pulmón</w:t>
            </w:r>
            <w:proofErr w:type="spellEnd"/>
          </w:p>
        </w:tc>
        <w:tc>
          <w:tcPr>
            <w:tcW w:w="1251" w:type="dxa"/>
            <w:shd w:val="clear" w:color="auto" w:fill="auto"/>
            <w:vAlign w:val="bottom"/>
          </w:tcPr>
          <w:p w14:paraId="7149417E"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w:t>
            </w:r>
            <w:r>
              <w:rPr>
                <w:sz w:val="18"/>
                <w:lang w:val="en-GB" w:eastAsia="en-US"/>
              </w:rPr>
              <w:t xml:space="preserve"> </w:t>
            </w:r>
            <w:r w:rsidRPr="002E0201">
              <w:rPr>
                <w:sz w:val="18"/>
                <w:lang w:val="en-GB" w:eastAsia="en-US"/>
              </w:rPr>
              <w:t>706</w:t>
            </w:r>
          </w:p>
        </w:tc>
        <w:tc>
          <w:tcPr>
            <w:tcW w:w="1148" w:type="dxa"/>
            <w:shd w:val="clear" w:color="auto" w:fill="auto"/>
            <w:vAlign w:val="bottom"/>
          </w:tcPr>
          <w:p w14:paraId="22627217" w14:textId="4056A84A"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4,5</w:t>
            </w:r>
          </w:p>
        </w:tc>
      </w:tr>
      <w:tr w:rsidR="00A270B2" w:rsidRPr="002E0201" w14:paraId="4E8848C6" w14:textId="77777777" w:rsidTr="006721B2">
        <w:trPr>
          <w:trHeight w:val="20"/>
        </w:trPr>
        <w:tc>
          <w:tcPr>
            <w:tcW w:w="1022" w:type="dxa"/>
            <w:shd w:val="clear" w:color="auto" w:fill="auto"/>
          </w:tcPr>
          <w:p w14:paraId="14228BD8"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6</w:t>
            </w:r>
          </w:p>
        </w:tc>
        <w:tc>
          <w:tcPr>
            <w:tcW w:w="4284" w:type="dxa"/>
            <w:shd w:val="clear" w:color="auto" w:fill="auto"/>
          </w:tcPr>
          <w:p w14:paraId="0C5B8D80"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Cáncer</w:t>
            </w:r>
            <w:proofErr w:type="spellEnd"/>
            <w:r w:rsidRPr="002E0201">
              <w:rPr>
                <w:sz w:val="18"/>
                <w:lang w:val="en-GB" w:eastAsia="en-US"/>
              </w:rPr>
              <w:t xml:space="preserve"> de </w:t>
            </w:r>
            <w:proofErr w:type="spellStart"/>
            <w:r w:rsidRPr="002E0201">
              <w:rPr>
                <w:sz w:val="18"/>
                <w:lang w:val="en-GB" w:eastAsia="en-US"/>
              </w:rPr>
              <w:t>próstata</w:t>
            </w:r>
            <w:proofErr w:type="spellEnd"/>
          </w:p>
        </w:tc>
        <w:tc>
          <w:tcPr>
            <w:tcW w:w="1021" w:type="dxa"/>
            <w:shd w:val="clear" w:color="auto" w:fill="auto"/>
            <w:vAlign w:val="bottom"/>
          </w:tcPr>
          <w:p w14:paraId="2F502B89"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w:t>
            </w:r>
            <w:r>
              <w:rPr>
                <w:sz w:val="18"/>
                <w:lang w:val="en-GB" w:eastAsia="en-US"/>
              </w:rPr>
              <w:t xml:space="preserve"> </w:t>
            </w:r>
            <w:r w:rsidRPr="002E0201">
              <w:rPr>
                <w:sz w:val="18"/>
                <w:lang w:val="en-GB" w:eastAsia="en-US"/>
              </w:rPr>
              <w:t>620</w:t>
            </w:r>
          </w:p>
        </w:tc>
        <w:tc>
          <w:tcPr>
            <w:tcW w:w="1316" w:type="dxa"/>
            <w:shd w:val="clear" w:color="auto" w:fill="auto"/>
            <w:vAlign w:val="bottom"/>
          </w:tcPr>
          <w:p w14:paraId="31A2FDEA" w14:textId="311EA68A"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4,0</w:t>
            </w:r>
          </w:p>
        </w:tc>
        <w:tc>
          <w:tcPr>
            <w:tcW w:w="4264" w:type="dxa"/>
            <w:shd w:val="clear" w:color="auto" w:fill="auto"/>
            <w:vAlign w:val="bottom"/>
          </w:tcPr>
          <w:p w14:paraId="54F3B700"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Cáncer</w:t>
            </w:r>
            <w:proofErr w:type="spellEnd"/>
            <w:r w:rsidRPr="002E0201">
              <w:rPr>
                <w:sz w:val="18"/>
                <w:lang w:val="en-GB" w:eastAsia="en-US"/>
              </w:rPr>
              <w:t xml:space="preserve"> de mama</w:t>
            </w:r>
          </w:p>
        </w:tc>
        <w:tc>
          <w:tcPr>
            <w:tcW w:w="1251" w:type="dxa"/>
            <w:shd w:val="clear" w:color="auto" w:fill="auto"/>
            <w:vAlign w:val="bottom"/>
          </w:tcPr>
          <w:p w14:paraId="24C04F4C"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w:t>
            </w:r>
            <w:r>
              <w:rPr>
                <w:sz w:val="18"/>
                <w:lang w:val="en-GB" w:eastAsia="en-US"/>
              </w:rPr>
              <w:t xml:space="preserve"> </w:t>
            </w:r>
            <w:r w:rsidRPr="002E0201">
              <w:rPr>
                <w:sz w:val="18"/>
                <w:lang w:val="en-GB" w:eastAsia="en-US"/>
              </w:rPr>
              <w:t>129</w:t>
            </w:r>
          </w:p>
        </w:tc>
        <w:tc>
          <w:tcPr>
            <w:tcW w:w="1148" w:type="dxa"/>
            <w:shd w:val="clear" w:color="auto" w:fill="auto"/>
            <w:vAlign w:val="bottom"/>
          </w:tcPr>
          <w:p w14:paraId="00AED75A" w14:textId="586CAD48"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3,8</w:t>
            </w:r>
          </w:p>
        </w:tc>
      </w:tr>
      <w:tr w:rsidR="00A270B2" w:rsidRPr="002E0201" w14:paraId="4B454932" w14:textId="77777777" w:rsidTr="006721B2">
        <w:trPr>
          <w:trHeight w:val="20"/>
        </w:trPr>
        <w:tc>
          <w:tcPr>
            <w:tcW w:w="1022" w:type="dxa"/>
            <w:shd w:val="clear" w:color="auto" w:fill="auto"/>
          </w:tcPr>
          <w:p w14:paraId="5D5CACCB"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7</w:t>
            </w:r>
          </w:p>
        </w:tc>
        <w:tc>
          <w:tcPr>
            <w:tcW w:w="4284" w:type="dxa"/>
            <w:shd w:val="clear" w:color="auto" w:fill="auto"/>
          </w:tcPr>
          <w:p w14:paraId="475DDD62" w14:textId="77777777" w:rsidR="00A270B2" w:rsidRPr="002E0201" w:rsidRDefault="00A270B2" w:rsidP="006721B2">
            <w:pPr>
              <w:spacing w:before="40" w:after="40" w:line="220" w:lineRule="exact"/>
              <w:ind w:right="113"/>
              <w:rPr>
                <w:sz w:val="18"/>
                <w:lang w:eastAsia="en-US"/>
              </w:rPr>
            </w:pPr>
            <w:r w:rsidRPr="002E0201">
              <w:rPr>
                <w:sz w:val="18"/>
                <w:lang w:eastAsia="en-US"/>
              </w:rPr>
              <w:t>Cánceres de sangre, médula ósea y linfático</w:t>
            </w:r>
          </w:p>
        </w:tc>
        <w:tc>
          <w:tcPr>
            <w:tcW w:w="1021" w:type="dxa"/>
            <w:shd w:val="clear" w:color="auto" w:fill="auto"/>
            <w:vAlign w:val="bottom"/>
          </w:tcPr>
          <w:p w14:paraId="7702D92E"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w:t>
            </w:r>
            <w:r>
              <w:rPr>
                <w:sz w:val="18"/>
                <w:lang w:val="en-GB" w:eastAsia="en-US"/>
              </w:rPr>
              <w:t xml:space="preserve"> </w:t>
            </w:r>
            <w:r w:rsidRPr="002E0201">
              <w:rPr>
                <w:sz w:val="18"/>
                <w:lang w:val="en-GB" w:eastAsia="en-US"/>
              </w:rPr>
              <w:t>083</w:t>
            </w:r>
          </w:p>
        </w:tc>
        <w:tc>
          <w:tcPr>
            <w:tcW w:w="1316" w:type="dxa"/>
            <w:shd w:val="clear" w:color="auto" w:fill="auto"/>
            <w:vAlign w:val="bottom"/>
          </w:tcPr>
          <w:p w14:paraId="4352BF15" w14:textId="7B1FAD9A"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3,4</w:t>
            </w:r>
          </w:p>
        </w:tc>
        <w:tc>
          <w:tcPr>
            <w:tcW w:w="4264" w:type="dxa"/>
            <w:shd w:val="clear" w:color="auto" w:fill="auto"/>
            <w:vAlign w:val="bottom"/>
          </w:tcPr>
          <w:p w14:paraId="58796EC1"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Cáncer</w:t>
            </w:r>
            <w:proofErr w:type="spellEnd"/>
            <w:r w:rsidRPr="002E0201">
              <w:rPr>
                <w:sz w:val="18"/>
                <w:lang w:val="en-GB" w:eastAsia="en-US"/>
              </w:rPr>
              <w:t xml:space="preserve"> </w:t>
            </w:r>
            <w:proofErr w:type="spellStart"/>
            <w:r w:rsidRPr="002E0201">
              <w:rPr>
                <w:sz w:val="18"/>
                <w:lang w:val="en-GB" w:eastAsia="en-US"/>
              </w:rPr>
              <w:t>colorrectal</w:t>
            </w:r>
            <w:proofErr w:type="spellEnd"/>
            <w:r w:rsidRPr="002E0201">
              <w:rPr>
                <w:sz w:val="18"/>
                <w:lang w:val="en-GB" w:eastAsia="en-US"/>
              </w:rPr>
              <w:t xml:space="preserve"> </w:t>
            </w:r>
          </w:p>
        </w:tc>
        <w:tc>
          <w:tcPr>
            <w:tcW w:w="1251" w:type="dxa"/>
            <w:shd w:val="clear" w:color="auto" w:fill="auto"/>
            <w:vAlign w:val="bottom"/>
          </w:tcPr>
          <w:p w14:paraId="459AD20E"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w:t>
            </w:r>
            <w:r>
              <w:rPr>
                <w:sz w:val="18"/>
                <w:lang w:val="en-GB" w:eastAsia="en-US"/>
              </w:rPr>
              <w:t xml:space="preserve"> </w:t>
            </w:r>
            <w:r w:rsidRPr="002E0201">
              <w:rPr>
                <w:sz w:val="18"/>
                <w:lang w:val="en-GB" w:eastAsia="en-US"/>
              </w:rPr>
              <w:t>580</w:t>
            </w:r>
          </w:p>
        </w:tc>
        <w:tc>
          <w:tcPr>
            <w:tcW w:w="1148" w:type="dxa"/>
            <w:shd w:val="clear" w:color="auto" w:fill="auto"/>
            <w:vAlign w:val="bottom"/>
          </w:tcPr>
          <w:p w14:paraId="5F794B29" w14:textId="314FF114"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3,1</w:t>
            </w:r>
          </w:p>
        </w:tc>
      </w:tr>
      <w:tr w:rsidR="00A270B2" w:rsidRPr="002E0201" w14:paraId="7A8E8EB9" w14:textId="77777777" w:rsidTr="006721B2">
        <w:trPr>
          <w:trHeight w:val="20"/>
        </w:trPr>
        <w:tc>
          <w:tcPr>
            <w:tcW w:w="1022" w:type="dxa"/>
            <w:shd w:val="clear" w:color="auto" w:fill="auto"/>
          </w:tcPr>
          <w:p w14:paraId="3C15F32F"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8</w:t>
            </w:r>
          </w:p>
        </w:tc>
        <w:tc>
          <w:tcPr>
            <w:tcW w:w="4284" w:type="dxa"/>
            <w:shd w:val="clear" w:color="auto" w:fill="auto"/>
          </w:tcPr>
          <w:p w14:paraId="311F1AC2"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Diabetes</w:t>
            </w:r>
          </w:p>
        </w:tc>
        <w:tc>
          <w:tcPr>
            <w:tcW w:w="1021" w:type="dxa"/>
            <w:shd w:val="clear" w:color="auto" w:fill="auto"/>
            <w:vAlign w:val="bottom"/>
          </w:tcPr>
          <w:p w14:paraId="11523F4C"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w:t>
            </w:r>
            <w:r>
              <w:rPr>
                <w:sz w:val="18"/>
                <w:lang w:val="en-GB" w:eastAsia="en-US"/>
              </w:rPr>
              <w:t xml:space="preserve"> </w:t>
            </w:r>
            <w:r w:rsidRPr="002E0201">
              <w:rPr>
                <w:sz w:val="18"/>
                <w:lang w:val="en-GB" w:eastAsia="en-US"/>
              </w:rPr>
              <w:t>953</w:t>
            </w:r>
          </w:p>
        </w:tc>
        <w:tc>
          <w:tcPr>
            <w:tcW w:w="1316" w:type="dxa"/>
            <w:shd w:val="clear" w:color="auto" w:fill="auto"/>
            <w:vAlign w:val="bottom"/>
          </w:tcPr>
          <w:p w14:paraId="1B5310A4" w14:textId="71F770FB"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3,3</w:t>
            </w:r>
          </w:p>
        </w:tc>
        <w:tc>
          <w:tcPr>
            <w:tcW w:w="4264" w:type="dxa"/>
            <w:shd w:val="clear" w:color="auto" w:fill="auto"/>
            <w:vAlign w:val="bottom"/>
          </w:tcPr>
          <w:p w14:paraId="5CB228BC"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 xml:space="preserve">Diabetes </w:t>
            </w:r>
          </w:p>
        </w:tc>
        <w:tc>
          <w:tcPr>
            <w:tcW w:w="1251" w:type="dxa"/>
            <w:shd w:val="clear" w:color="auto" w:fill="auto"/>
            <w:vAlign w:val="bottom"/>
          </w:tcPr>
          <w:p w14:paraId="39D1A73D"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w:t>
            </w:r>
            <w:r>
              <w:rPr>
                <w:sz w:val="18"/>
                <w:lang w:val="en-GB" w:eastAsia="en-US"/>
              </w:rPr>
              <w:t xml:space="preserve"> </w:t>
            </w:r>
            <w:r w:rsidRPr="002E0201">
              <w:rPr>
                <w:sz w:val="18"/>
                <w:lang w:val="en-GB" w:eastAsia="en-US"/>
              </w:rPr>
              <w:t>451</w:t>
            </w:r>
          </w:p>
        </w:tc>
        <w:tc>
          <w:tcPr>
            <w:tcW w:w="1148" w:type="dxa"/>
            <w:shd w:val="clear" w:color="auto" w:fill="auto"/>
            <w:vAlign w:val="bottom"/>
          </w:tcPr>
          <w:p w14:paraId="3B099B10" w14:textId="51B7B9A6"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2,9</w:t>
            </w:r>
          </w:p>
        </w:tc>
      </w:tr>
      <w:tr w:rsidR="00A270B2" w:rsidRPr="002E0201" w14:paraId="3BD1B824" w14:textId="77777777" w:rsidTr="006721B2">
        <w:trPr>
          <w:trHeight w:val="20"/>
        </w:trPr>
        <w:tc>
          <w:tcPr>
            <w:tcW w:w="1022" w:type="dxa"/>
            <w:shd w:val="clear" w:color="auto" w:fill="auto"/>
          </w:tcPr>
          <w:p w14:paraId="4A064E36"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9</w:t>
            </w:r>
          </w:p>
        </w:tc>
        <w:tc>
          <w:tcPr>
            <w:tcW w:w="4284" w:type="dxa"/>
            <w:shd w:val="clear" w:color="auto" w:fill="auto"/>
          </w:tcPr>
          <w:p w14:paraId="6EF342F5"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Cáncer</w:t>
            </w:r>
            <w:proofErr w:type="spellEnd"/>
            <w:r w:rsidRPr="002E0201">
              <w:rPr>
                <w:sz w:val="18"/>
                <w:lang w:val="en-GB" w:eastAsia="en-US"/>
              </w:rPr>
              <w:t xml:space="preserve"> </w:t>
            </w:r>
            <w:proofErr w:type="spellStart"/>
            <w:r w:rsidRPr="002E0201">
              <w:rPr>
                <w:sz w:val="18"/>
                <w:lang w:val="en-GB" w:eastAsia="en-US"/>
              </w:rPr>
              <w:t>colorrectal</w:t>
            </w:r>
            <w:proofErr w:type="spellEnd"/>
            <w:r w:rsidRPr="002E0201">
              <w:rPr>
                <w:sz w:val="18"/>
                <w:lang w:val="en-GB" w:eastAsia="en-US"/>
              </w:rPr>
              <w:t xml:space="preserve"> </w:t>
            </w:r>
          </w:p>
        </w:tc>
        <w:tc>
          <w:tcPr>
            <w:tcW w:w="1021" w:type="dxa"/>
            <w:shd w:val="clear" w:color="auto" w:fill="auto"/>
            <w:vAlign w:val="bottom"/>
          </w:tcPr>
          <w:p w14:paraId="055CACF0"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w:t>
            </w:r>
            <w:r>
              <w:rPr>
                <w:sz w:val="18"/>
                <w:lang w:val="en-GB" w:eastAsia="en-US"/>
              </w:rPr>
              <w:t xml:space="preserve"> </w:t>
            </w:r>
            <w:r w:rsidRPr="002E0201">
              <w:rPr>
                <w:sz w:val="18"/>
                <w:lang w:val="en-GB" w:eastAsia="en-US"/>
              </w:rPr>
              <w:t>893</w:t>
            </w:r>
          </w:p>
        </w:tc>
        <w:tc>
          <w:tcPr>
            <w:tcW w:w="1316" w:type="dxa"/>
            <w:shd w:val="clear" w:color="auto" w:fill="auto"/>
            <w:vAlign w:val="bottom"/>
          </w:tcPr>
          <w:p w14:paraId="4F633772" w14:textId="39957732"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3,2</w:t>
            </w:r>
          </w:p>
        </w:tc>
        <w:tc>
          <w:tcPr>
            <w:tcW w:w="4264" w:type="dxa"/>
            <w:shd w:val="clear" w:color="auto" w:fill="auto"/>
            <w:vAlign w:val="bottom"/>
          </w:tcPr>
          <w:p w14:paraId="2C52FC76"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Enfermedades</w:t>
            </w:r>
            <w:proofErr w:type="spellEnd"/>
            <w:r w:rsidRPr="002E0201">
              <w:rPr>
                <w:sz w:val="18"/>
                <w:lang w:val="en-GB" w:eastAsia="en-US"/>
              </w:rPr>
              <w:t xml:space="preserve"> del </w:t>
            </w:r>
            <w:proofErr w:type="spellStart"/>
            <w:r w:rsidRPr="002E0201">
              <w:rPr>
                <w:sz w:val="18"/>
                <w:lang w:val="en-GB" w:eastAsia="en-US"/>
              </w:rPr>
              <w:t>aparato</w:t>
            </w:r>
            <w:proofErr w:type="spellEnd"/>
            <w:r w:rsidRPr="002E0201">
              <w:rPr>
                <w:sz w:val="18"/>
                <w:lang w:val="en-GB" w:eastAsia="en-US"/>
              </w:rPr>
              <w:t xml:space="preserve"> </w:t>
            </w:r>
            <w:proofErr w:type="spellStart"/>
            <w:r w:rsidRPr="002E0201">
              <w:rPr>
                <w:sz w:val="18"/>
                <w:lang w:val="en-GB" w:eastAsia="en-US"/>
              </w:rPr>
              <w:t>urinario</w:t>
            </w:r>
            <w:proofErr w:type="spellEnd"/>
          </w:p>
        </w:tc>
        <w:tc>
          <w:tcPr>
            <w:tcW w:w="1251" w:type="dxa"/>
            <w:shd w:val="clear" w:color="auto" w:fill="auto"/>
            <w:vAlign w:val="bottom"/>
          </w:tcPr>
          <w:p w14:paraId="06AC11DD"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w:t>
            </w:r>
            <w:r>
              <w:rPr>
                <w:sz w:val="18"/>
                <w:lang w:val="en-GB" w:eastAsia="en-US"/>
              </w:rPr>
              <w:t xml:space="preserve"> </w:t>
            </w:r>
            <w:r w:rsidRPr="002E0201">
              <w:rPr>
                <w:sz w:val="18"/>
                <w:lang w:val="en-GB" w:eastAsia="en-US"/>
              </w:rPr>
              <w:t>319</w:t>
            </w:r>
          </w:p>
        </w:tc>
        <w:tc>
          <w:tcPr>
            <w:tcW w:w="1148" w:type="dxa"/>
            <w:shd w:val="clear" w:color="auto" w:fill="auto"/>
            <w:vAlign w:val="bottom"/>
          </w:tcPr>
          <w:p w14:paraId="1235FA58" w14:textId="672979BD"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2,8</w:t>
            </w:r>
          </w:p>
        </w:tc>
      </w:tr>
      <w:tr w:rsidR="00A270B2" w:rsidRPr="002E0201" w14:paraId="161EA4C0" w14:textId="77777777" w:rsidTr="006721B2">
        <w:trPr>
          <w:trHeight w:val="20"/>
        </w:trPr>
        <w:tc>
          <w:tcPr>
            <w:tcW w:w="1022" w:type="dxa"/>
            <w:shd w:val="clear" w:color="auto" w:fill="auto"/>
          </w:tcPr>
          <w:p w14:paraId="7792236D" w14:textId="77777777" w:rsidR="00A270B2" w:rsidRPr="002E0201" w:rsidRDefault="00A270B2" w:rsidP="006721B2">
            <w:pPr>
              <w:spacing w:before="40" w:after="40" w:line="220" w:lineRule="exact"/>
              <w:ind w:right="113"/>
              <w:rPr>
                <w:sz w:val="18"/>
                <w:lang w:val="en-GB" w:eastAsia="en-US"/>
              </w:rPr>
            </w:pPr>
            <w:r w:rsidRPr="002E0201">
              <w:rPr>
                <w:sz w:val="18"/>
                <w:lang w:val="en-GB" w:eastAsia="en-US"/>
              </w:rPr>
              <w:t>10</w:t>
            </w:r>
          </w:p>
        </w:tc>
        <w:tc>
          <w:tcPr>
            <w:tcW w:w="4284" w:type="dxa"/>
            <w:shd w:val="clear" w:color="auto" w:fill="auto"/>
          </w:tcPr>
          <w:p w14:paraId="3C661172"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Suicidio</w:t>
            </w:r>
            <w:proofErr w:type="spellEnd"/>
            <w:r w:rsidRPr="002E0201">
              <w:rPr>
                <w:sz w:val="18"/>
                <w:lang w:val="en-GB" w:eastAsia="en-US"/>
              </w:rPr>
              <w:t xml:space="preserve"> </w:t>
            </w:r>
          </w:p>
        </w:tc>
        <w:tc>
          <w:tcPr>
            <w:tcW w:w="1021" w:type="dxa"/>
            <w:shd w:val="clear" w:color="auto" w:fill="auto"/>
            <w:vAlign w:val="bottom"/>
          </w:tcPr>
          <w:p w14:paraId="32B81E34"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w:t>
            </w:r>
            <w:r>
              <w:rPr>
                <w:sz w:val="18"/>
                <w:lang w:val="en-GB" w:eastAsia="en-US"/>
              </w:rPr>
              <w:t xml:space="preserve"> </w:t>
            </w:r>
            <w:r w:rsidRPr="002E0201">
              <w:rPr>
                <w:sz w:val="18"/>
                <w:lang w:val="en-GB" w:eastAsia="en-US"/>
              </w:rPr>
              <w:t>358</w:t>
            </w:r>
          </w:p>
        </w:tc>
        <w:tc>
          <w:tcPr>
            <w:tcW w:w="1316" w:type="dxa"/>
            <w:shd w:val="clear" w:color="auto" w:fill="auto"/>
            <w:vAlign w:val="bottom"/>
          </w:tcPr>
          <w:p w14:paraId="5C6B77EC" w14:textId="4F8DF556"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2,6</w:t>
            </w:r>
          </w:p>
        </w:tc>
        <w:tc>
          <w:tcPr>
            <w:tcW w:w="4264" w:type="dxa"/>
            <w:shd w:val="clear" w:color="auto" w:fill="auto"/>
            <w:vAlign w:val="bottom"/>
          </w:tcPr>
          <w:p w14:paraId="21E47A12" w14:textId="77777777" w:rsidR="00A270B2" w:rsidRPr="002E0201" w:rsidRDefault="00A270B2" w:rsidP="006721B2">
            <w:pPr>
              <w:spacing w:before="40" w:after="40" w:line="220" w:lineRule="exact"/>
              <w:ind w:right="113"/>
              <w:rPr>
                <w:sz w:val="18"/>
                <w:lang w:val="en-GB" w:eastAsia="en-US"/>
              </w:rPr>
            </w:pPr>
            <w:proofErr w:type="spellStart"/>
            <w:r w:rsidRPr="002E0201">
              <w:rPr>
                <w:sz w:val="18"/>
                <w:lang w:val="en-GB" w:eastAsia="en-US"/>
              </w:rPr>
              <w:t>Cardiopatía</w:t>
            </w:r>
            <w:proofErr w:type="spellEnd"/>
          </w:p>
        </w:tc>
        <w:tc>
          <w:tcPr>
            <w:tcW w:w="1251" w:type="dxa"/>
            <w:shd w:val="clear" w:color="auto" w:fill="auto"/>
            <w:vAlign w:val="bottom"/>
          </w:tcPr>
          <w:p w14:paraId="552BB624" w14:textId="77777777"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w:t>
            </w:r>
            <w:r>
              <w:rPr>
                <w:sz w:val="18"/>
                <w:lang w:val="en-GB" w:eastAsia="en-US"/>
              </w:rPr>
              <w:t xml:space="preserve"> </w:t>
            </w:r>
            <w:r w:rsidRPr="002E0201">
              <w:rPr>
                <w:sz w:val="18"/>
                <w:lang w:val="en-GB" w:eastAsia="en-US"/>
              </w:rPr>
              <w:t>022</w:t>
            </w:r>
          </w:p>
        </w:tc>
        <w:tc>
          <w:tcPr>
            <w:tcW w:w="1148" w:type="dxa"/>
            <w:shd w:val="clear" w:color="auto" w:fill="auto"/>
            <w:vAlign w:val="bottom"/>
          </w:tcPr>
          <w:p w14:paraId="08F7665D" w14:textId="7CD50266" w:rsidR="00A270B2" w:rsidRPr="002E0201" w:rsidRDefault="00A270B2" w:rsidP="006721B2">
            <w:pPr>
              <w:spacing w:before="40" w:after="40" w:line="220" w:lineRule="exact"/>
              <w:ind w:right="113"/>
              <w:jc w:val="right"/>
              <w:rPr>
                <w:sz w:val="18"/>
                <w:lang w:val="en-GB" w:eastAsia="en-US"/>
              </w:rPr>
            </w:pPr>
            <w:r w:rsidRPr="002E0201">
              <w:rPr>
                <w:sz w:val="18"/>
                <w:lang w:val="en-GB" w:eastAsia="en-US"/>
              </w:rPr>
              <w:t>2,5</w:t>
            </w:r>
          </w:p>
        </w:tc>
      </w:tr>
    </w:tbl>
    <w:bookmarkEnd w:id="56"/>
    <w:p w14:paraId="0C018627" w14:textId="5554C49C" w:rsidR="00A270B2" w:rsidRPr="00B750B2" w:rsidRDefault="00B750B2" w:rsidP="00B750B2">
      <w:pPr>
        <w:spacing w:before="120" w:line="240" w:lineRule="auto"/>
        <w:ind w:firstLine="170"/>
        <w:rPr>
          <w:sz w:val="18"/>
          <w:szCs w:val="18"/>
        </w:rPr>
      </w:pPr>
      <w:r w:rsidRPr="00B750B2">
        <w:rPr>
          <w:i/>
          <w:iCs/>
          <w:sz w:val="18"/>
          <w:szCs w:val="18"/>
        </w:rPr>
        <w:t>Fuente:</w:t>
      </w:r>
      <w:r w:rsidRPr="00B750B2">
        <w:rPr>
          <w:sz w:val="18"/>
          <w:szCs w:val="18"/>
        </w:rPr>
        <w:t xml:space="preserve"> Oficina Australiana de Estadística, </w:t>
      </w:r>
      <w:r w:rsidRPr="00B750B2">
        <w:rPr>
          <w:i/>
          <w:iCs/>
          <w:sz w:val="18"/>
          <w:szCs w:val="18"/>
        </w:rPr>
        <w:t>3303.0 – Causas de las muertes, Australia</w:t>
      </w:r>
      <w:r w:rsidRPr="00B750B2">
        <w:rPr>
          <w:sz w:val="18"/>
          <w:szCs w:val="18"/>
        </w:rPr>
        <w:t>, 2021.</w:t>
      </w:r>
    </w:p>
    <w:p w14:paraId="65812FB6" w14:textId="77777777" w:rsidR="00B750B2" w:rsidRDefault="00B750B2" w:rsidP="00A270B2">
      <w:pPr>
        <w:spacing w:line="240" w:lineRule="auto"/>
      </w:pPr>
    </w:p>
    <w:p w14:paraId="138AAFA2" w14:textId="77777777" w:rsidR="00B750B2" w:rsidRDefault="00B750B2" w:rsidP="00A270B2">
      <w:pPr>
        <w:spacing w:line="240" w:lineRule="auto"/>
      </w:pPr>
    </w:p>
    <w:p w14:paraId="646BA71E" w14:textId="77777777" w:rsidR="003B110D" w:rsidRDefault="003B110D" w:rsidP="00A270B2">
      <w:pPr>
        <w:spacing w:line="240" w:lineRule="auto"/>
        <w:sectPr w:rsidR="003B110D" w:rsidSect="00A270B2">
          <w:headerReference w:type="even" r:id="rId38"/>
          <w:headerReference w:type="default" r:id="rId39"/>
          <w:footerReference w:type="even" r:id="rId40"/>
          <w:footerReference w:type="default" r:id="rId41"/>
          <w:endnotePr>
            <w:numFmt w:val="decimal"/>
          </w:endnotePr>
          <w:pgSz w:w="16838" w:h="11906" w:orient="landscape" w:code="9"/>
          <w:pgMar w:top="1134" w:right="1417" w:bottom="1134" w:left="1134" w:header="567" w:footer="567" w:gutter="0"/>
          <w:cols w:space="708"/>
          <w:docGrid w:linePitch="360"/>
        </w:sectPr>
      </w:pPr>
    </w:p>
    <w:p w14:paraId="39B61201" w14:textId="77777777" w:rsidR="003B110D" w:rsidRPr="003F2994" w:rsidRDefault="003B110D" w:rsidP="00286079">
      <w:pPr>
        <w:pStyle w:val="SingleTxtG"/>
        <w:spacing w:after="0"/>
      </w:pPr>
      <w:r w:rsidRPr="003F2994">
        <w:lastRenderedPageBreak/>
        <w:t xml:space="preserve">Figura </w:t>
      </w:r>
      <w:proofErr w:type="spellStart"/>
      <w:r w:rsidRPr="003F2994">
        <w:t>A1</w:t>
      </w:r>
      <w:proofErr w:type="spellEnd"/>
    </w:p>
    <w:p w14:paraId="18DD8A6E" w14:textId="3FFCBE32" w:rsidR="003B110D" w:rsidRPr="00286079" w:rsidRDefault="003B110D" w:rsidP="00286079">
      <w:pPr>
        <w:pStyle w:val="SingleTxtG"/>
        <w:jc w:val="left"/>
        <w:rPr>
          <w:b/>
          <w:bCs/>
        </w:rPr>
      </w:pPr>
      <w:r w:rsidRPr="00286079">
        <w:rPr>
          <w:b/>
          <w:bCs/>
        </w:rPr>
        <w:t xml:space="preserve">Principales causas de carga de morbilidad (años de vida ajustados por discapacidad </w:t>
      </w:r>
      <w:r w:rsidR="0046601B" w:rsidRPr="0046601B">
        <w:rPr>
          <w:b/>
          <w:bCs/>
        </w:rPr>
        <w:t>por</w:t>
      </w:r>
      <w:r w:rsidR="00286079" w:rsidRPr="0046601B">
        <w:rPr>
          <w:b/>
          <w:bCs/>
        </w:rPr>
        <w:t> </w:t>
      </w:r>
      <w:r w:rsidRPr="0046601B">
        <w:rPr>
          <w:b/>
          <w:bCs/>
        </w:rPr>
        <w:t>1</w:t>
      </w:r>
      <w:r w:rsidRPr="00286079">
        <w:rPr>
          <w:b/>
          <w:bCs/>
        </w:rPr>
        <w:t xml:space="preserve">.000, </w:t>
      </w:r>
      <w:r w:rsidR="00535CD0">
        <w:rPr>
          <w:b/>
          <w:bCs/>
        </w:rPr>
        <w:t>porcentaje</w:t>
      </w:r>
      <w:r w:rsidRPr="00286079">
        <w:rPr>
          <w:b/>
          <w:bCs/>
        </w:rPr>
        <w:t xml:space="preserve"> de la carga total para cada grupo de edad), por sexo y grupo de edad, en Australia, 2022</w:t>
      </w:r>
    </w:p>
    <w:p w14:paraId="06145E2E" w14:textId="77777777" w:rsidR="003B110D" w:rsidRPr="003F2994" w:rsidRDefault="003B110D" w:rsidP="003B110D">
      <w:pPr>
        <w:spacing w:line="360" w:lineRule="auto"/>
        <w:jc w:val="center"/>
        <w:rPr>
          <w:color w:val="000000" w:themeColor="text1"/>
        </w:rPr>
      </w:pPr>
      <w:r w:rsidRPr="003F2994">
        <w:rPr>
          <w:noProof/>
          <w:color w:val="000000" w:themeColor="text1"/>
        </w:rPr>
        <w:drawing>
          <wp:inline distT="0" distB="0" distL="0" distR="0" wp14:anchorId="768819FD" wp14:editId="5E59F6B8">
            <wp:extent cx="5732145" cy="5499735"/>
            <wp:effectExtent l="0" t="0" r="1905" b="5715"/>
            <wp:docPr id="1585595077" name="Picture 1585595077" descr="A table of information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95077" name="Picture 1585595077" descr="A table of information with different colored squares&#10;&#10;Description automatically generated with medium confidence"/>
                    <pic:cNvPicPr/>
                  </pic:nvPicPr>
                  <pic:blipFill>
                    <a:blip r:embed="rId42"/>
                    <a:stretch>
                      <a:fillRect/>
                    </a:stretch>
                  </pic:blipFill>
                  <pic:spPr>
                    <a:xfrm>
                      <a:off x="0" y="0"/>
                      <a:ext cx="5732145" cy="5499735"/>
                    </a:xfrm>
                    <a:prstGeom prst="rect">
                      <a:avLst/>
                    </a:prstGeom>
                  </pic:spPr>
                </pic:pic>
              </a:graphicData>
            </a:graphic>
          </wp:inline>
        </w:drawing>
      </w:r>
    </w:p>
    <w:p w14:paraId="566DB15F" w14:textId="77777777" w:rsidR="003B110D" w:rsidRPr="003F2994" w:rsidRDefault="003B110D" w:rsidP="003B110D">
      <w:pPr>
        <w:spacing w:line="360" w:lineRule="auto"/>
        <w:rPr>
          <w:color w:val="000000" w:themeColor="text1"/>
        </w:rPr>
      </w:pPr>
    </w:p>
    <w:p w14:paraId="493A7F39" w14:textId="77777777" w:rsidR="003B110D" w:rsidRPr="00286079" w:rsidRDefault="003B110D" w:rsidP="00286079">
      <w:pPr>
        <w:pStyle w:val="SingleTxtG"/>
        <w:spacing w:before="120" w:after="0"/>
        <w:ind w:firstLine="170"/>
        <w:jc w:val="left"/>
        <w:rPr>
          <w:sz w:val="18"/>
          <w:szCs w:val="18"/>
        </w:rPr>
      </w:pPr>
      <w:proofErr w:type="spellStart"/>
      <w:r w:rsidRPr="00286079">
        <w:rPr>
          <w:sz w:val="18"/>
          <w:szCs w:val="18"/>
        </w:rPr>
        <w:t>LBW</w:t>
      </w:r>
      <w:proofErr w:type="spellEnd"/>
      <w:r w:rsidRPr="00286079">
        <w:rPr>
          <w:sz w:val="18"/>
          <w:szCs w:val="18"/>
        </w:rPr>
        <w:t xml:space="preserve">: bajo peso al nacer; </w:t>
      </w:r>
      <w:proofErr w:type="spellStart"/>
      <w:r w:rsidRPr="00286079">
        <w:rPr>
          <w:sz w:val="18"/>
          <w:szCs w:val="18"/>
        </w:rPr>
        <w:t>RTI</w:t>
      </w:r>
      <w:proofErr w:type="spellEnd"/>
      <w:r w:rsidRPr="00286079">
        <w:rPr>
          <w:sz w:val="18"/>
          <w:szCs w:val="18"/>
        </w:rPr>
        <w:t xml:space="preserve">: accidente de tráfico; </w:t>
      </w:r>
      <w:proofErr w:type="spellStart"/>
      <w:r w:rsidRPr="00286079">
        <w:rPr>
          <w:sz w:val="18"/>
          <w:szCs w:val="18"/>
        </w:rPr>
        <w:t>COPD</w:t>
      </w:r>
      <w:proofErr w:type="spellEnd"/>
      <w:r w:rsidRPr="00286079">
        <w:rPr>
          <w:sz w:val="18"/>
          <w:szCs w:val="18"/>
        </w:rPr>
        <w:t xml:space="preserve">: enfermedad pulmonar obstructiva crónica; </w:t>
      </w:r>
      <w:proofErr w:type="spellStart"/>
      <w:r w:rsidRPr="00286079">
        <w:rPr>
          <w:sz w:val="18"/>
          <w:szCs w:val="18"/>
        </w:rPr>
        <w:t>SIDS</w:t>
      </w:r>
      <w:proofErr w:type="spellEnd"/>
      <w:r w:rsidRPr="00286079">
        <w:rPr>
          <w:sz w:val="18"/>
          <w:szCs w:val="18"/>
        </w:rPr>
        <w:t>: síndrome de muerte súbita del lactante.</w:t>
      </w:r>
    </w:p>
    <w:p w14:paraId="642F9542" w14:textId="77777777" w:rsidR="003B110D" w:rsidRPr="00286079" w:rsidRDefault="003B110D" w:rsidP="00286079">
      <w:pPr>
        <w:pStyle w:val="SingleTxtG"/>
        <w:spacing w:after="0"/>
        <w:ind w:firstLine="170"/>
        <w:jc w:val="left"/>
        <w:rPr>
          <w:sz w:val="18"/>
          <w:szCs w:val="18"/>
        </w:rPr>
      </w:pPr>
      <w:r w:rsidRPr="00286079">
        <w:rPr>
          <w:sz w:val="18"/>
          <w:szCs w:val="18"/>
        </w:rPr>
        <w:t>En la clasificación de enfermedades se excluyen las afecciones menos comunes agrupadas bajo la categoría genérica de “otras” para cada grupo de enfermedades; por ejemplo, “otras afecciones osteomusculares”.</w:t>
      </w:r>
    </w:p>
    <w:p w14:paraId="107DDFDE" w14:textId="77777777" w:rsidR="003B110D" w:rsidRPr="00286079" w:rsidRDefault="003B110D" w:rsidP="00286079">
      <w:pPr>
        <w:spacing w:after="240" w:line="360" w:lineRule="auto"/>
        <w:ind w:left="1134" w:right="1134" w:firstLine="170"/>
        <w:rPr>
          <w:sz w:val="16"/>
          <w:szCs w:val="18"/>
        </w:rPr>
      </w:pPr>
      <w:r w:rsidRPr="00535CD0">
        <w:rPr>
          <w:i/>
          <w:iCs/>
          <w:sz w:val="18"/>
          <w:szCs w:val="18"/>
        </w:rPr>
        <w:t xml:space="preserve">Fuente: </w:t>
      </w:r>
      <w:r w:rsidRPr="00286079">
        <w:rPr>
          <w:sz w:val="18"/>
          <w:szCs w:val="18"/>
        </w:rPr>
        <w:t xml:space="preserve">Informe resumido. Estudio australiano sobre la carga de morbilidad. </w:t>
      </w:r>
      <w:proofErr w:type="spellStart"/>
      <w:r w:rsidRPr="00286079">
        <w:rPr>
          <w:sz w:val="18"/>
          <w:szCs w:val="18"/>
        </w:rPr>
        <w:t>BOD</w:t>
      </w:r>
      <w:proofErr w:type="spellEnd"/>
      <w:r w:rsidRPr="00286079">
        <w:rPr>
          <w:sz w:val="18"/>
          <w:szCs w:val="18"/>
        </w:rPr>
        <w:t xml:space="preserve"> 37, 2022.</w:t>
      </w:r>
    </w:p>
    <w:p w14:paraId="480207C9" w14:textId="77777777" w:rsidR="003B110D" w:rsidRPr="003F2994" w:rsidRDefault="003B110D" w:rsidP="003B110D">
      <w:pPr>
        <w:pStyle w:val="SingleTxtG"/>
        <w:spacing w:line="360" w:lineRule="auto"/>
      </w:pPr>
      <w:r w:rsidRPr="003F2994">
        <w:br w:type="page"/>
      </w:r>
    </w:p>
    <w:p w14:paraId="10F19672" w14:textId="77777777" w:rsidR="003B110D" w:rsidRPr="003F2994" w:rsidRDefault="003B110D" w:rsidP="00286079">
      <w:pPr>
        <w:pStyle w:val="H1G"/>
      </w:pPr>
      <w:r w:rsidRPr="003F2994">
        <w:lastRenderedPageBreak/>
        <w:tab/>
        <w:t>B.</w:t>
      </w:r>
      <w:r w:rsidRPr="003F2994">
        <w:tab/>
        <w:t xml:space="preserve">Estructura constitucional, política y jurídica </w:t>
      </w:r>
      <w:bookmarkStart w:id="57" w:name="_Toc167980152"/>
      <w:bookmarkEnd w:id="57"/>
    </w:p>
    <w:p w14:paraId="1F254086" w14:textId="77777777" w:rsidR="003B110D" w:rsidRPr="003F2994" w:rsidRDefault="003B110D" w:rsidP="00286079">
      <w:pPr>
        <w:pStyle w:val="SingleTxtG"/>
        <w:spacing w:after="0"/>
      </w:pPr>
      <w:r w:rsidRPr="003F2994">
        <w:t xml:space="preserve">Cuadro </w:t>
      </w:r>
      <w:proofErr w:type="spellStart"/>
      <w:r w:rsidRPr="003F2994">
        <w:t>B1</w:t>
      </w:r>
      <w:proofErr w:type="spellEnd"/>
    </w:p>
    <w:p w14:paraId="7329157D" w14:textId="7FE1CA5F" w:rsidR="003B110D" w:rsidRPr="003F2994" w:rsidRDefault="003B110D" w:rsidP="00286079">
      <w:pPr>
        <w:pStyle w:val="SingleTxtG"/>
        <w:jc w:val="left"/>
        <w:rPr>
          <w:b/>
          <w:bCs/>
        </w:rPr>
      </w:pPr>
      <w:r w:rsidRPr="003F2994">
        <w:rPr>
          <w:b/>
          <w:bCs/>
        </w:rPr>
        <w:t>Resumen estadístico de la participación en las elecciones federales de Australia (2010</w:t>
      </w:r>
      <w:r w:rsidR="00286079">
        <w:rPr>
          <w:b/>
          <w:bCs/>
        </w:rPr>
        <w:noBreakHyphen/>
      </w:r>
      <w:r w:rsidRPr="003F2994">
        <w:rPr>
          <w:b/>
          <w:bCs/>
        </w:rPr>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46"/>
        <w:gridCol w:w="1440"/>
        <w:gridCol w:w="1958"/>
        <w:gridCol w:w="1282"/>
        <w:gridCol w:w="1844"/>
      </w:tblGrid>
      <w:tr w:rsidR="003B110D" w:rsidRPr="003F2994" w14:paraId="1BF1CF0A" w14:textId="77777777" w:rsidTr="006721B2">
        <w:trPr>
          <w:tblHeader/>
        </w:trPr>
        <w:tc>
          <w:tcPr>
            <w:tcW w:w="846" w:type="dxa"/>
            <w:vMerge w:val="restart"/>
            <w:tcBorders>
              <w:top w:val="single" w:sz="4" w:space="0" w:color="auto"/>
              <w:bottom w:val="single" w:sz="12" w:space="0" w:color="auto"/>
            </w:tcBorders>
            <w:shd w:val="clear" w:color="auto" w:fill="auto"/>
            <w:vAlign w:val="bottom"/>
          </w:tcPr>
          <w:p w14:paraId="0A2A6130" w14:textId="77777777" w:rsidR="003B110D" w:rsidRPr="003F2994" w:rsidRDefault="003B110D" w:rsidP="00286079">
            <w:pPr>
              <w:spacing w:before="80" w:after="80" w:line="200" w:lineRule="exact"/>
              <w:ind w:right="113"/>
              <w:rPr>
                <w:i/>
                <w:sz w:val="18"/>
                <w:szCs w:val="18"/>
              </w:rPr>
            </w:pPr>
            <w:proofErr w:type="spellStart"/>
            <w:r w:rsidRPr="00286079">
              <w:rPr>
                <w:i/>
                <w:sz w:val="16"/>
                <w:lang w:val="en-GB" w:eastAsia="en-US"/>
              </w:rPr>
              <w:t>Año</w:t>
            </w:r>
            <w:proofErr w:type="spellEnd"/>
          </w:p>
        </w:tc>
        <w:tc>
          <w:tcPr>
            <w:tcW w:w="3398" w:type="dxa"/>
            <w:gridSpan w:val="2"/>
            <w:tcBorders>
              <w:top w:val="single" w:sz="4" w:space="0" w:color="auto"/>
              <w:bottom w:val="single" w:sz="4" w:space="0" w:color="auto"/>
              <w:right w:val="single" w:sz="24" w:space="0" w:color="FFFFFF" w:themeColor="background1"/>
            </w:tcBorders>
            <w:shd w:val="clear" w:color="auto" w:fill="auto"/>
            <w:vAlign w:val="bottom"/>
          </w:tcPr>
          <w:p w14:paraId="16DF1CD2" w14:textId="77777777" w:rsidR="003B110D" w:rsidRPr="00286079" w:rsidRDefault="003B110D" w:rsidP="00286079">
            <w:pPr>
              <w:spacing w:before="80" w:after="80" w:line="200" w:lineRule="exact"/>
              <w:ind w:right="113"/>
              <w:jc w:val="center"/>
              <w:rPr>
                <w:i/>
                <w:sz w:val="16"/>
                <w:lang w:val="en-GB" w:eastAsia="en-US"/>
              </w:rPr>
            </w:pPr>
            <w:r w:rsidRPr="00286079">
              <w:rPr>
                <w:i/>
                <w:sz w:val="16"/>
                <w:lang w:val="en-GB" w:eastAsia="en-US"/>
              </w:rPr>
              <w:t xml:space="preserve">Cámara de </w:t>
            </w:r>
            <w:proofErr w:type="spellStart"/>
            <w:r w:rsidRPr="00286079">
              <w:rPr>
                <w:i/>
                <w:sz w:val="16"/>
                <w:lang w:val="en-GB" w:eastAsia="en-US"/>
              </w:rPr>
              <w:t>Representantes</w:t>
            </w:r>
            <w:proofErr w:type="spellEnd"/>
          </w:p>
        </w:tc>
        <w:tc>
          <w:tcPr>
            <w:tcW w:w="3126" w:type="dxa"/>
            <w:gridSpan w:val="2"/>
            <w:tcBorders>
              <w:top w:val="single" w:sz="4" w:space="0" w:color="auto"/>
              <w:left w:val="single" w:sz="24" w:space="0" w:color="FFFFFF" w:themeColor="background1"/>
              <w:bottom w:val="single" w:sz="4" w:space="0" w:color="auto"/>
            </w:tcBorders>
            <w:shd w:val="clear" w:color="auto" w:fill="auto"/>
            <w:vAlign w:val="bottom"/>
          </w:tcPr>
          <w:p w14:paraId="0861687A" w14:textId="77777777" w:rsidR="003B110D" w:rsidRPr="00286079" w:rsidRDefault="003B110D" w:rsidP="00286079">
            <w:pPr>
              <w:spacing w:before="80" w:after="80" w:line="200" w:lineRule="exact"/>
              <w:ind w:right="113"/>
              <w:jc w:val="center"/>
              <w:rPr>
                <w:i/>
                <w:sz w:val="16"/>
                <w:lang w:val="en-GB" w:eastAsia="en-US"/>
              </w:rPr>
            </w:pPr>
            <w:proofErr w:type="spellStart"/>
            <w:r w:rsidRPr="00286079">
              <w:rPr>
                <w:i/>
                <w:sz w:val="16"/>
                <w:lang w:val="en-GB" w:eastAsia="en-US"/>
              </w:rPr>
              <w:t>Senado</w:t>
            </w:r>
            <w:proofErr w:type="spellEnd"/>
          </w:p>
        </w:tc>
      </w:tr>
      <w:tr w:rsidR="003B110D" w:rsidRPr="003F2994" w14:paraId="1936521F" w14:textId="77777777" w:rsidTr="006721B2">
        <w:trPr>
          <w:tblHeader/>
        </w:trPr>
        <w:tc>
          <w:tcPr>
            <w:tcW w:w="846" w:type="dxa"/>
            <w:vMerge/>
            <w:tcBorders>
              <w:top w:val="single" w:sz="12" w:space="0" w:color="auto"/>
              <w:bottom w:val="single" w:sz="12" w:space="0" w:color="auto"/>
            </w:tcBorders>
            <w:shd w:val="clear" w:color="auto" w:fill="auto"/>
            <w:vAlign w:val="bottom"/>
          </w:tcPr>
          <w:p w14:paraId="26A06762" w14:textId="77777777" w:rsidR="003B110D" w:rsidRPr="003F2994" w:rsidRDefault="003B110D" w:rsidP="006721B2">
            <w:pPr>
              <w:spacing w:before="40" w:after="40" w:line="360" w:lineRule="auto"/>
              <w:ind w:right="113"/>
              <w:rPr>
                <w:sz w:val="18"/>
                <w:szCs w:val="18"/>
              </w:rPr>
            </w:pPr>
          </w:p>
        </w:tc>
        <w:tc>
          <w:tcPr>
            <w:tcW w:w="1440" w:type="dxa"/>
            <w:tcBorders>
              <w:top w:val="single" w:sz="4" w:space="0" w:color="auto"/>
              <w:bottom w:val="single" w:sz="12" w:space="0" w:color="auto"/>
            </w:tcBorders>
            <w:shd w:val="clear" w:color="auto" w:fill="auto"/>
            <w:vAlign w:val="bottom"/>
          </w:tcPr>
          <w:p w14:paraId="72AAEFA4" w14:textId="77777777" w:rsidR="003B110D" w:rsidRPr="00286079" w:rsidRDefault="003B110D" w:rsidP="00286079">
            <w:pPr>
              <w:spacing w:before="40" w:after="40" w:line="220" w:lineRule="exact"/>
              <w:jc w:val="right"/>
              <w:rPr>
                <w:i/>
                <w:sz w:val="16"/>
                <w:lang w:val="en-GB" w:eastAsia="en-US"/>
              </w:rPr>
            </w:pPr>
            <w:proofErr w:type="spellStart"/>
            <w:r w:rsidRPr="00286079">
              <w:rPr>
                <w:i/>
                <w:sz w:val="16"/>
                <w:lang w:val="en-GB" w:eastAsia="en-US"/>
              </w:rPr>
              <w:t>Participación</w:t>
            </w:r>
            <w:proofErr w:type="spellEnd"/>
            <w:r w:rsidRPr="00286079">
              <w:rPr>
                <w:i/>
                <w:sz w:val="16"/>
                <w:lang w:val="en-GB" w:eastAsia="en-US"/>
              </w:rPr>
              <w:t xml:space="preserve"> electoral</w:t>
            </w:r>
          </w:p>
        </w:tc>
        <w:tc>
          <w:tcPr>
            <w:tcW w:w="1958" w:type="dxa"/>
            <w:tcBorders>
              <w:top w:val="single" w:sz="4" w:space="0" w:color="auto"/>
              <w:bottom w:val="single" w:sz="12" w:space="0" w:color="auto"/>
              <w:right w:val="single" w:sz="24" w:space="0" w:color="FFFFFF" w:themeColor="background1"/>
            </w:tcBorders>
            <w:shd w:val="clear" w:color="auto" w:fill="auto"/>
            <w:vAlign w:val="bottom"/>
          </w:tcPr>
          <w:p w14:paraId="22B86D00" w14:textId="77777777" w:rsidR="003B110D" w:rsidRPr="00025EB9" w:rsidRDefault="003B110D" w:rsidP="00286079">
            <w:pPr>
              <w:spacing w:before="40" w:after="40" w:line="220" w:lineRule="exact"/>
              <w:jc w:val="right"/>
              <w:rPr>
                <w:i/>
                <w:sz w:val="16"/>
                <w:lang w:eastAsia="en-US"/>
              </w:rPr>
            </w:pPr>
            <w:r w:rsidRPr="00025EB9">
              <w:rPr>
                <w:i/>
                <w:sz w:val="16"/>
                <w:lang w:eastAsia="en-US"/>
              </w:rPr>
              <w:t>Tasa de votos que no cumplen los requisitos formales*</w:t>
            </w:r>
          </w:p>
        </w:tc>
        <w:tc>
          <w:tcPr>
            <w:tcW w:w="1282" w:type="dxa"/>
            <w:tcBorders>
              <w:top w:val="single" w:sz="4" w:space="0" w:color="auto"/>
              <w:left w:val="single" w:sz="24" w:space="0" w:color="FFFFFF" w:themeColor="background1"/>
              <w:bottom w:val="single" w:sz="12" w:space="0" w:color="auto"/>
            </w:tcBorders>
            <w:shd w:val="clear" w:color="auto" w:fill="auto"/>
            <w:vAlign w:val="bottom"/>
          </w:tcPr>
          <w:p w14:paraId="183A6DBF" w14:textId="77777777" w:rsidR="003B110D" w:rsidRPr="00286079" w:rsidRDefault="003B110D" w:rsidP="00286079">
            <w:pPr>
              <w:spacing w:before="40" w:after="40" w:line="220" w:lineRule="exact"/>
              <w:jc w:val="right"/>
              <w:rPr>
                <w:i/>
                <w:sz w:val="16"/>
                <w:lang w:val="en-GB" w:eastAsia="en-US"/>
              </w:rPr>
            </w:pPr>
            <w:proofErr w:type="spellStart"/>
            <w:r w:rsidRPr="00286079">
              <w:rPr>
                <w:i/>
                <w:sz w:val="16"/>
                <w:lang w:val="en-GB" w:eastAsia="en-US"/>
              </w:rPr>
              <w:t>Participación</w:t>
            </w:r>
            <w:proofErr w:type="spellEnd"/>
            <w:r w:rsidRPr="00286079">
              <w:rPr>
                <w:i/>
                <w:sz w:val="16"/>
                <w:lang w:val="en-GB" w:eastAsia="en-US"/>
              </w:rPr>
              <w:t xml:space="preserve"> electoral </w:t>
            </w:r>
          </w:p>
        </w:tc>
        <w:tc>
          <w:tcPr>
            <w:tcW w:w="1844" w:type="dxa"/>
            <w:tcBorders>
              <w:top w:val="single" w:sz="4" w:space="0" w:color="auto"/>
              <w:bottom w:val="single" w:sz="12" w:space="0" w:color="auto"/>
            </w:tcBorders>
            <w:shd w:val="clear" w:color="auto" w:fill="auto"/>
            <w:vAlign w:val="bottom"/>
          </w:tcPr>
          <w:p w14:paraId="1490FC93" w14:textId="77777777" w:rsidR="003B110D" w:rsidRPr="00025EB9" w:rsidRDefault="003B110D" w:rsidP="00286079">
            <w:pPr>
              <w:spacing w:before="40" w:after="40" w:line="220" w:lineRule="exact"/>
              <w:jc w:val="right"/>
              <w:rPr>
                <w:i/>
                <w:sz w:val="16"/>
                <w:lang w:eastAsia="en-US"/>
              </w:rPr>
            </w:pPr>
            <w:r w:rsidRPr="00025EB9">
              <w:rPr>
                <w:i/>
                <w:sz w:val="16"/>
                <w:lang w:eastAsia="en-US"/>
              </w:rPr>
              <w:t>Tasa de votos que no cumplen los requisitos formales*</w:t>
            </w:r>
          </w:p>
        </w:tc>
      </w:tr>
      <w:tr w:rsidR="003B110D" w:rsidRPr="003F2994" w14:paraId="78C45B62" w14:textId="77777777" w:rsidTr="006721B2">
        <w:tc>
          <w:tcPr>
            <w:tcW w:w="846" w:type="dxa"/>
            <w:tcBorders>
              <w:top w:val="single" w:sz="12" w:space="0" w:color="auto"/>
            </w:tcBorders>
            <w:shd w:val="clear" w:color="auto" w:fill="auto"/>
          </w:tcPr>
          <w:p w14:paraId="53F92403" w14:textId="77777777" w:rsidR="003B110D" w:rsidRPr="00286079" w:rsidRDefault="003B110D" w:rsidP="00286079">
            <w:pPr>
              <w:spacing w:before="40" w:after="40" w:line="220" w:lineRule="exact"/>
              <w:ind w:right="113"/>
              <w:rPr>
                <w:sz w:val="18"/>
                <w:lang w:val="en-GB" w:eastAsia="en-US"/>
              </w:rPr>
            </w:pPr>
            <w:r w:rsidRPr="00286079">
              <w:rPr>
                <w:sz w:val="18"/>
                <w:lang w:val="en-GB" w:eastAsia="en-US"/>
              </w:rPr>
              <w:t>2010</w:t>
            </w:r>
          </w:p>
        </w:tc>
        <w:tc>
          <w:tcPr>
            <w:tcW w:w="1440" w:type="dxa"/>
            <w:tcBorders>
              <w:top w:val="single" w:sz="12" w:space="0" w:color="auto"/>
            </w:tcBorders>
            <w:shd w:val="clear" w:color="auto" w:fill="auto"/>
            <w:vAlign w:val="bottom"/>
          </w:tcPr>
          <w:p w14:paraId="17E75C23" w14:textId="0C1316BD" w:rsidR="003B110D" w:rsidRPr="00286079" w:rsidRDefault="003B110D" w:rsidP="00286079">
            <w:pPr>
              <w:spacing w:before="40" w:after="40" w:line="220" w:lineRule="exact"/>
              <w:jc w:val="right"/>
              <w:rPr>
                <w:sz w:val="18"/>
                <w:lang w:val="en-GB" w:eastAsia="en-US"/>
              </w:rPr>
            </w:pPr>
            <w:r w:rsidRPr="00286079">
              <w:rPr>
                <w:sz w:val="18"/>
                <w:lang w:val="en-GB" w:eastAsia="en-US"/>
              </w:rPr>
              <w:t>93,2</w:t>
            </w:r>
          </w:p>
        </w:tc>
        <w:tc>
          <w:tcPr>
            <w:tcW w:w="1958" w:type="dxa"/>
            <w:tcBorders>
              <w:top w:val="single" w:sz="12" w:space="0" w:color="auto"/>
            </w:tcBorders>
            <w:shd w:val="clear" w:color="auto" w:fill="auto"/>
            <w:vAlign w:val="bottom"/>
          </w:tcPr>
          <w:p w14:paraId="21C66469" w14:textId="5EA200E5" w:rsidR="003B110D" w:rsidRPr="00286079" w:rsidRDefault="003B110D" w:rsidP="00286079">
            <w:pPr>
              <w:spacing w:before="40" w:after="40" w:line="220" w:lineRule="exact"/>
              <w:jc w:val="right"/>
              <w:rPr>
                <w:sz w:val="18"/>
                <w:lang w:val="en-GB" w:eastAsia="en-US"/>
              </w:rPr>
            </w:pPr>
            <w:r w:rsidRPr="00286079">
              <w:rPr>
                <w:sz w:val="18"/>
                <w:lang w:val="en-GB" w:eastAsia="en-US"/>
              </w:rPr>
              <w:t>5,6</w:t>
            </w:r>
          </w:p>
        </w:tc>
        <w:tc>
          <w:tcPr>
            <w:tcW w:w="1282" w:type="dxa"/>
            <w:tcBorders>
              <w:top w:val="single" w:sz="12" w:space="0" w:color="auto"/>
            </w:tcBorders>
            <w:shd w:val="clear" w:color="auto" w:fill="auto"/>
            <w:vAlign w:val="bottom"/>
          </w:tcPr>
          <w:p w14:paraId="5306E4BD" w14:textId="37361E12" w:rsidR="003B110D" w:rsidRPr="00286079" w:rsidRDefault="003B110D" w:rsidP="00286079">
            <w:pPr>
              <w:spacing w:before="40" w:after="40" w:line="220" w:lineRule="exact"/>
              <w:jc w:val="right"/>
              <w:rPr>
                <w:sz w:val="18"/>
                <w:lang w:val="en-GB" w:eastAsia="en-US"/>
              </w:rPr>
            </w:pPr>
            <w:r w:rsidRPr="00286079">
              <w:rPr>
                <w:sz w:val="18"/>
                <w:lang w:val="en-GB" w:eastAsia="en-US"/>
              </w:rPr>
              <w:t>93,8</w:t>
            </w:r>
          </w:p>
        </w:tc>
        <w:tc>
          <w:tcPr>
            <w:tcW w:w="1844" w:type="dxa"/>
            <w:tcBorders>
              <w:top w:val="single" w:sz="12" w:space="0" w:color="auto"/>
            </w:tcBorders>
            <w:shd w:val="clear" w:color="auto" w:fill="auto"/>
            <w:vAlign w:val="bottom"/>
          </w:tcPr>
          <w:p w14:paraId="4A820345" w14:textId="599C60B9" w:rsidR="003B110D" w:rsidRPr="00286079" w:rsidRDefault="003B110D" w:rsidP="00286079">
            <w:pPr>
              <w:spacing w:before="40" w:after="40" w:line="220" w:lineRule="exact"/>
              <w:jc w:val="right"/>
              <w:rPr>
                <w:sz w:val="18"/>
                <w:lang w:val="en-GB" w:eastAsia="en-US"/>
              </w:rPr>
            </w:pPr>
            <w:r w:rsidRPr="00286079">
              <w:rPr>
                <w:sz w:val="18"/>
                <w:lang w:val="en-GB" w:eastAsia="en-US"/>
              </w:rPr>
              <w:t>3,8</w:t>
            </w:r>
          </w:p>
        </w:tc>
      </w:tr>
      <w:tr w:rsidR="003B110D" w:rsidRPr="003F2994" w14:paraId="3B4764CD" w14:textId="77777777" w:rsidTr="006721B2">
        <w:tc>
          <w:tcPr>
            <w:tcW w:w="846" w:type="dxa"/>
            <w:shd w:val="clear" w:color="auto" w:fill="auto"/>
          </w:tcPr>
          <w:p w14:paraId="1FF2BF55" w14:textId="77777777" w:rsidR="003B110D" w:rsidRPr="00286079" w:rsidRDefault="003B110D" w:rsidP="00286079">
            <w:pPr>
              <w:spacing w:before="40" w:after="40" w:line="220" w:lineRule="exact"/>
              <w:ind w:right="113"/>
              <w:rPr>
                <w:sz w:val="18"/>
                <w:lang w:val="en-GB" w:eastAsia="en-US"/>
              </w:rPr>
            </w:pPr>
            <w:r w:rsidRPr="00286079">
              <w:rPr>
                <w:sz w:val="18"/>
                <w:lang w:val="en-GB" w:eastAsia="en-US"/>
              </w:rPr>
              <w:t>2013</w:t>
            </w:r>
          </w:p>
        </w:tc>
        <w:tc>
          <w:tcPr>
            <w:tcW w:w="1440" w:type="dxa"/>
            <w:shd w:val="clear" w:color="auto" w:fill="auto"/>
            <w:vAlign w:val="bottom"/>
          </w:tcPr>
          <w:p w14:paraId="3EA2D5C1" w14:textId="0F0002E5" w:rsidR="003B110D" w:rsidRPr="00286079" w:rsidRDefault="003B110D" w:rsidP="00286079">
            <w:pPr>
              <w:spacing w:before="40" w:after="40" w:line="220" w:lineRule="exact"/>
              <w:jc w:val="right"/>
              <w:rPr>
                <w:sz w:val="18"/>
                <w:lang w:val="en-GB" w:eastAsia="en-US"/>
              </w:rPr>
            </w:pPr>
            <w:r w:rsidRPr="00286079">
              <w:rPr>
                <w:sz w:val="18"/>
                <w:lang w:val="en-GB" w:eastAsia="en-US"/>
              </w:rPr>
              <w:t>93,2</w:t>
            </w:r>
          </w:p>
        </w:tc>
        <w:tc>
          <w:tcPr>
            <w:tcW w:w="1958" w:type="dxa"/>
            <w:shd w:val="clear" w:color="auto" w:fill="auto"/>
            <w:vAlign w:val="bottom"/>
          </w:tcPr>
          <w:p w14:paraId="07EF1799" w14:textId="6653DA94" w:rsidR="003B110D" w:rsidRPr="00286079" w:rsidRDefault="003B110D" w:rsidP="00286079">
            <w:pPr>
              <w:spacing w:before="40" w:after="40" w:line="220" w:lineRule="exact"/>
              <w:jc w:val="right"/>
              <w:rPr>
                <w:sz w:val="18"/>
                <w:lang w:val="en-GB" w:eastAsia="en-US"/>
              </w:rPr>
            </w:pPr>
            <w:r w:rsidRPr="00286079">
              <w:rPr>
                <w:sz w:val="18"/>
                <w:lang w:val="en-GB" w:eastAsia="en-US"/>
              </w:rPr>
              <w:t>5,9</w:t>
            </w:r>
          </w:p>
        </w:tc>
        <w:tc>
          <w:tcPr>
            <w:tcW w:w="1282" w:type="dxa"/>
            <w:shd w:val="clear" w:color="auto" w:fill="auto"/>
            <w:vAlign w:val="bottom"/>
          </w:tcPr>
          <w:p w14:paraId="7A68EAD2" w14:textId="6B7DC3D1" w:rsidR="003B110D" w:rsidRPr="00286079" w:rsidRDefault="003B110D" w:rsidP="00286079">
            <w:pPr>
              <w:spacing w:before="40" w:after="40" w:line="220" w:lineRule="exact"/>
              <w:jc w:val="right"/>
              <w:rPr>
                <w:sz w:val="18"/>
                <w:lang w:val="en-GB" w:eastAsia="en-US"/>
              </w:rPr>
            </w:pPr>
            <w:r w:rsidRPr="00286079">
              <w:rPr>
                <w:sz w:val="18"/>
                <w:lang w:val="en-GB" w:eastAsia="en-US"/>
              </w:rPr>
              <w:t>93,9</w:t>
            </w:r>
          </w:p>
        </w:tc>
        <w:tc>
          <w:tcPr>
            <w:tcW w:w="1844" w:type="dxa"/>
            <w:shd w:val="clear" w:color="auto" w:fill="auto"/>
            <w:vAlign w:val="bottom"/>
          </w:tcPr>
          <w:p w14:paraId="26057ADE" w14:textId="708F9F23" w:rsidR="003B110D" w:rsidRPr="00286079" w:rsidRDefault="003B110D" w:rsidP="00286079">
            <w:pPr>
              <w:spacing w:before="40" w:after="40" w:line="220" w:lineRule="exact"/>
              <w:jc w:val="right"/>
              <w:rPr>
                <w:sz w:val="18"/>
                <w:lang w:val="en-GB" w:eastAsia="en-US"/>
              </w:rPr>
            </w:pPr>
            <w:r w:rsidRPr="00286079">
              <w:rPr>
                <w:sz w:val="18"/>
                <w:lang w:val="en-GB" w:eastAsia="en-US"/>
              </w:rPr>
              <w:t>3.0</w:t>
            </w:r>
          </w:p>
        </w:tc>
      </w:tr>
      <w:tr w:rsidR="003B110D" w:rsidRPr="003F2994" w14:paraId="0D7E7C5C" w14:textId="77777777" w:rsidTr="006721B2">
        <w:tc>
          <w:tcPr>
            <w:tcW w:w="846" w:type="dxa"/>
            <w:shd w:val="clear" w:color="auto" w:fill="auto"/>
          </w:tcPr>
          <w:p w14:paraId="3CF2D142" w14:textId="77777777" w:rsidR="003B110D" w:rsidRPr="00286079" w:rsidRDefault="003B110D" w:rsidP="00286079">
            <w:pPr>
              <w:spacing w:before="40" w:after="40" w:line="220" w:lineRule="exact"/>
              <w:ind w:right="113"/>
              <w:rPr>
                <w:sz w:val="18"/>
                <w:lang w:val="en-GB" w:eastAsia="en-US"/>
              </w:rPr>
            </w:pPr>
            <w:r w:rsidRPr="00286079">
              <w:rPr>
                <w:sz w:val="18"/>
                <w:lang w:val="en-GB" w:eastAsia="en-US"/>
              </w:rPr>
              <w:t>2016</w:t>
            </w:r>
          </w:p>
        </w:tc>
        <w:tc>
          <w:tcPr>
            <w:tcW w:w="1440" w:type="dxa"/>
            <w:shd w:val="clear" w:color="auto" w:fill="auto"/>
            <w:vAlign w:val="bottom"/>
          </w:tcPr>
          <w:p w14:paraId="4A52A113" w14:textId="3D42CCCD" w:rsidR="003B110D" w:rsidRPr="00286079" w:rsidRDefault="003B110D" w:rsidP="00286079">
            <w:pPr>
              <w:spacing w:before="40" w:after="40" w:line="220" w:lineRule="exact"/>
              <w:jc w:val="right"/>
              <w:rPr>
                <w:sz w:val="18"/>
                <w:lang w:val="en-GB" w:eastAsia="en-US"/>
              </w:rPr>
            </w:pPr>
            <w:r w:rsidRPr="00286079">
              <w:rPr>
                <w:sz w:val="18"/>
                <w:lang w:val="en-GB" w:eastAsia="en-US"/>
              </w:rPr>
              <w:t>91,0</w:t>
            </w:r>
          </w:p>
        </w:tc>
        <w:tc>
          <w:tcPr>
            <w:tcW w:w="1958" w:type="dxa"/>
            <w:shd w:val="clear" w:color="auto" w:fill="auto"/>
            <w:vAlign w:val="bottom"/>
          </w:tcPr>
          <w:p w14:paraId="5EFA3669" w14:textId="1510A309" w:rsidR="003B110D" w:rsidRPr="00286079" w:rsidRDefault="003B110D" w:rsidP="00286079">
            <w:pPr>
              <w:spacing w:before="40" w:after="40" w:line="220" w:lineRule="exact"/>
              <w:jc w:val="right"/>
              <w:rPr>
                <w:sz w:val="18"/>
                <w:lang w:val="en-GB" w:eastAsia="en-US"/>
              </w:rPr>
            </w:pPr>
            <w:r w:rsidRPr="00286079">
              <w:rPr>
                <w:sz w:val="18"/>
                <w:lang w:val="en-GB" w:eastAsia="en-US"/>
              </w:rPr>
              <w:t>5,1</w:t>
            </w:r>
          </w:p>
        </w:tc>
        <w:tc>
          <w:tcPr>
            <w:tcW w:w="1282" w:type="dxa"/>
            <w:shd w:val="clear" w:color="auto" w:fill="auto"/>
            <w:vAlign w:val="bottom"/>
          </w:tcPr>
          <w:p w14:paraId="40063230" w14:textId="481B5F2F" w:rsidR="003B110D" w:rsidRPr="00286079" w:rsidRDefault="003B110D" w:rsidP="00286079">
            <w:pPr>
              <w:spacing w:before="40" w:after="40" w:line="220" w:lineRule="exact"/>
              <w:jc w:val="right"/>
              <w:rPr>
                <w:sz w:val="18"/>
                <w:lang w:val="en-GB" w:eastAsia="en-US"/>
              </w:rPr>
            </w:pPr>
            <w:r w:rsidRPr="00286079">
              <w:rPr>
                <w:sz w:val="18"/>
                <w:lang w:val="en-GB" w:eastAsia="en-US"/>
              </w:rPr>
              <w:t>91,9</w:t>
            </w:r>
          </w:p>
        </w:tc>
        <w:tc>
          <w:tcPr>
            <w:tcW w:w="1844" w:type="dxa"/>
            <w:shd w:val="clear" w:color="auto" w:fill="auto"/>
            <w:vAlign w:val="bottom"/>
          </w:tcPr>
          <w:p w14:paraId="48C01F53" w14:textId="2D5FA665" w:rsidR="003B110D" w:rsidRPr="00286079" w:rsidRDefault="003B110D" w:rsidP="00286079">
            <w:pPr>
              <w:spacing w:before="40" w:after="40" w:line="220" w:lineRule="exact"/>
              <w:jc w:val="right"/>
              <w:rPr>
                <w:sz w:val="18"/>
                <w:lang w:val="en-GB" w:eastAsia="en-US"/>
              </w:rPr>
            </w:pPr>
            <w:r w:rsidRPr="00286079">
              <w:rPr>
                <w:sz w:val="18"/>
                <w:lang w:val="en-GB" w:eastAsia="en-US"/>
              </w:rPr>
              <w:t>3,9</w:t>
            </w:r>
          </w:p>
        </w:tc>
      </w:tr>
      <w:tr w:rsidR="003B110D" w:rsidRPr="003F2994" w14:paraId="3BB48AC3" w14:textId="77777777" w:rsidTr="006721B2">
        <w:tc>
          <w:tcPr>
            <w:tcW w:w="846" w:type="dxa"/>
            <w:shd w:val="clear" w:color="auto" w:fill="auto"/>
          </w:tcPr>
          <w:p w14:paraId="48759AA8" w14:textId="77777777" w:rsidR="003B110D" w:rsidRPr="00286079" w:rsidRDefault="003B110D" w:rsidP="00286079">
            <w:pPr>
              <w:spacing w:before="40" w:after="40" w:line="220" w:lineRule="exact"/>
              <w:ind w:right="113"/>
              <w:rPr>
                <w:sz w:val="18"/>
                <w:lang w:val="en-GB" w:eastAsia="en-US"/>
              </w:rPr>
            </w:pPr>
            <w:r w:rsidRPr="00286079">
              <w:rPr>
                <w:sz w:val="18"/>
                <w:lang w:val="en-GB" w:eastAsia="en-US"/>
              </w:rPr>
              <w:t>2019</w:t>
            </w:r>
          </w:p>
        </w:tc>
        <w:tc>
          <w:tcPr>
            <w:tcW w:w="1440" w:type="dxa"/>
            <w:shd w:val="clear" w:color="auto" w:fill="auto"/>
            <w:vAlign w:val="bottom"/>
          </w:tcPr>
          <w:p w14:paraId="62BAF293" w14:textId="0ED52E2E" w:rsidR="003B110D" w:rsidRPr="00286079" w:rsidRDefault="003B110D" w:rsidP="00286079">
            <w:pPr>
              <w:spacing w:before="40" w:after="40" w:line="220" w:lineRule="exact"/>
              <w:jc w:val="right"/>
              <w:rPr>
                <w:sz w:val="18"/>
                <w:lang w:val="en-GB" w:eastAsia="en-US"/>
              </w:rPr>
            </w:pPr>
            <w:r w:rsidRPr="00286079">
              <w:rPr>
                <w:sz w:val="18"/>
                <w:lang w:val="en-GB" w:eastAsia="en-US"/>
              </w:rPr>
              <w:t>91,9</w:t>
            </w:r>
          </w:p>
        </w:tc>
        <w:tc>
          <w:tcPr>
            <w:tcW w:w="1958" w:type="dxa"/>
            <w:shd w:val="clear" w:color="auto" w:fill="auto"/>
            <w:vAlign w:val="bottom"/>
          </w:tcPr>
          <w:p w14:paraId="38F8DF8C" w14:textId="778384C0" w:rsidR="003B110D" w:rsidRPr="00286079" w:rsidRDefault="003B110D" w:rsidP="00286079">
            <w:pPr>
              <w:spacing w:before="40" w:after="40" w:line="220" w:lineRule="exact"/>
              <w:jc w:val="right"/>
              <w:rPr>
                <w:sz w:val="18"/>
                <w:lang w:val="en-GB" w:eastAsia="en-US"/>
              </w:rPr>
            </w:pPr>
            <w:r w:rsidRPr="00286079">
              <w:rPr>
                <w:sz w:val="18"/>
                <w:lang w:val="en-GB" w:eastAsia="en-US"/>
              </w:rPr>
              <w:t>5,5</w:t>
            </w:r>
          </w:p>
        </w:tc>
        <w:tc>
          <w:tcPr>
            <w:tcW w:w="1282" w:type="dxa"/>
            <w:shd w:val="clear" w:color="auto" w:fill="auto"/>
            <w:vAlign w:val="bottom"/>
          </w:tcPr>
          <w:p w14:paraId="3EA4D826" w14:textId="188371F3" w:rsidR="003B110D" w:rsidRPr="00286079" w:rsidRDefault="003B110D" w:rsidP="00286079">
            <w:pPr>
              <w:spacing w:before="40" w:after="40" w:line="220" w:lineRule="exact"/>
              <w:jc w:val="right"/>
              <w:rPr>
                <w:sz w:val="18"/>
                <w:lang w:val="en-GB" w:eastAsia="en-US"/>
              </w:rPr>
            </w:pPr>
            <w:r w:rsidRPr="00286079">
              <w:rPr>
                <w:sz w:val="18"/>
                <w:lang w:val="en-GB" w:eastAsia="en-US"/>
              </w:rPr>
              <w:t>92,5</w:t>
            </w:r>
          </w:p>
        </w:tc>
        <w:tc>
          <w:tcPr>
            <w:tcW w:w="1844" w:type="dxa"/>
            <w:shd w:val="clear" w:color="auto" w:fill="auto"/>
            <w:vAlign w:val="bottom"/>
          </w:tcPr>
          <w:p w14:paraId="5504FEEC" w14:textId="33EDAE7C" w:rsidR="003B110D" w:rsidRPr="00286079" w:rsidRDefault="003B110D" w:rsidP="00286079">
            <w:pPr>
              <w:spacing w:before="40" w:after="40" w:line="220" w:lineRule="exact"/>
              <w:jc w:val="right"/>
              <w:rPr>
                <w:sz w:val="18"/>
                <w:lang w:val="en-GB" w:eastAsia="en-US"/>
              </w:rPr>
            </w:pPr>
            <w:r w:rsidRPr="00286079">
              <w:rPr>
                <w:sz w:val="18"/>
                <w:lang w:val="en-GB" w:eastAsia="en-US"/>
              </w:rPr>
              <w:t>3,8</w:t>
            </w:r>
          </w:p>
        </w:tc>
      </w:tr>
      <w:tr w:rsidR="003B110D" w:rsidRPr="003F2994" w14:paraId="261DD6CA" w14:textId="77777777" w:rsidTr="006721B2">
        <w:tc>
          <w:tcPr>
            <w:tcW w:w="846" w:type="dxa"/>
            <w:shd w:val="clear" w:color="auto" w:fill="auto"/>
          </w:tcPr>
          <w:p w14:paraId="183C2B51" w14:textId="77777777" w:rsidR="003B110D" w:rsidRPr="00286079" w:rsidRDefault="003B110D" w:rsidP="00286079">
            <w:pPr>
              <w:spacing w:before="40" w:after="40" w:line="220" w:lineRule="exact"/>
              <w:ind w:right="113"/>
              <w:rPr>
                <w:sz w:val="18"/>
                <w:lang w:val="en-GB" w:eastAsia="en-US"/>
              </w:rPr>
            </w:pPr>
            <w:r w:rsidRPr="00286079">
              <w:rPr>
                <w:sz w:val="18"/>
                <w:lang w:val="en-GB" w:eastAsia="en-US"/>
              </w:rPr>
              <w:t>2022</w:t>
            </w:r>
          </w:p>
        </w:tc>
        <w:tc>
          <w:tcPr>
            <w:tcW w:w="1440" w:type="dxa"/>
            <w:shd w:val="clear" w:color="auto" w:fill="auto"/>
            <w:vAlign w:val="bottom"/>
          </w:tcPr>
          <w:p w14:paraId="5756790C" w14:textId="331F445D" w:rsidR="003B110D" w:rsidRPr="00286079" w:rsidRDefault="003B110D" w:rsidP="00286079">
            <w:pPr>
              <w:spacing w:before="40" w:after="40" w:line="220" w:lineRule="exact"/>
              <w:jc w:val="right"/>
              <w:rPr>
                <w:sz w:val="18"/>
                <w:lang w:val="en-GB" w:eastAsia="en-US"/>
              </w:rPr>
            </w:pPr>
            <w:r w:rsidRPr="00286079">
              <w:rPr>
                <w:sz w:val="18"/>
                <w:lang w:val="en-GB" w:eastAsia="en-US"/>
              </w:rPr>
              <w:t>89,82</w:t>
            </w:r>
          </w:p>
        </w:tc>
        <w:tc>
          <w:tcPr>
            <w:tcW w:w="1958" w:type="dxa"/>
            <w:shd w:val="clear" w:color="auto" w:fill="auto"/>
            <w:vAlign w:val="bottom"/>
          </w:tcPr>
          <w:p w14:paraId="2B6EAB29" w14:textId="15614DD7" w:rsidR="003B110D" w:rsidRPr="00286079" w:rsidRDefault="003B110D" w:rsidP="00286079">
            <w:pPr>
              <w:spacing w:before="40" w:after="40" w:line="220" w:lineRule="exact"/>
              <w:jc w:val="right"/>
              <w:rPr>
                <w:sz w:val="18"/>
                <w:lang w:val="en-GB" w:eastAsia="en-US"/>
              </w:rPr>
            </w:pPr>
            <w:r w:rsidRPr="00286079">
              <w:rPr>
                <w:sz w:val="18"/>
                <w:lang w:val="en-GB" w:eastAsia="en-US"/>
              </w:rPr>
              <w:t>5,2</w:t>
            </w:r>
          </w:p>
        </w:tc>
        <w:tc>
          <w:tcPr>
            <w:tcW w:w="1282" w:type="dxa"/>
            <w:shd w:val="clear" w:color="auto" w:fill="auto"/>
            <w:vAlign w:val="bottom"/>
          </w:tcPr>
          <w:p w14:paraId="4FA909A7" w14:textId="6200BC7A" w:rsidR="003B110D" w:rsidRPr="00286079" w:rsidRDefault="003B110D" w:rsidP="00286079">
            <w:pPr>
              <w:spacing w:before="40" w:after="40" w:line="220" w:lineRule="exact"/>
              <w:jc w:val="right"/>
              <w:rPr>
                <w:sz w:val="18"/>
                <w:lang w:val="en-GB" w:eastAsia="en-US"/>
              </w:rPr>
            </w:pPr>
            <w:r w:rsidRPr="00286079">
              <w:rPr>
                <w:sz w:val="18"/>
                <w:lang w:val="en-GB" w:eastAsia="en-US"/>
              </w:rPr>
              <w:t>90,5</w:t>
            </w:r>
          </w:p>
        </w:tc>
        <w:tc>
          <w:tcPr>
            <w:tcW w:w="1844" w:type="dxa"/>
            <w:shd w:val="clear" w:color="auto" w:fill="auto"/>
            <w:vAlign w:val="bottom"/>
          </w:tcPr>
          <w:p w14:paraId="22E429A1" w14:textId="2E2FEA99" w:rsidR="003B110D" w:rsidRPr="00286079" w:rsidRDefault="003B110D" w:rsidP="00286079">
            <w:pPr>
              <w:spacing w:before="40" w:after="40" w:line="220" w:lineRule="exact"/>
              <w:jc w:val="right"/>
              <w:rPr>
                <w:sz w:val="18"/>
                <w:lang w:val="en-GB" w:eastAsia="en-US"/>
              </w:rPr>
            </w:pPr>
            <w:r w:rsidRPr="00286079">
              <w:rPr>
                <w:sz w:val="18"/>
                <w:lang w:val="en-GB" w:eastAsia="en-US"/>
              </w:rPr>
              <w:t>3,4</w:t>
            </w:r>
          </w:p>
        </w:tc>
      </w:tr>
    </w:tbl>
    <w:p w14:paraId="61C5B9EE" w14:textId="77777777" w:rsidR="003B110D" w:rsidRPr="00025EB9" w:rsidRDefault="003B110D" w:rsidP="009C1633">
      <w:pPr>
        <w:spacing w:before="120" w:line="220" w:lineRule="exact"/>
        <w:ind w:left="1134" w:right="1134" w:firstLine="170"/>
        <w:rPr>
          <w:sz w:val="18"/>
          <w:lang w:eastAsia="en-US"/>
        </w:rPr>
      </w:pPr>
      <w:r w:rsidRPr="00025EB9">
        <w:rPr>
          <w:sz w:val="18"/>
          <w:lang w:eastAsia="en-US"/>
        </w:rPr>
        <w:t>* La participación electoral no indica una participación efectiva. Se considera que un voto no cumple los requisitos formales si la papeleta no se ha rellenado correctamente (por ejemplo, si no se ha marcado ninguna opción o si se ha escrito algo que identifique al votante), y no se contabiliza para ninguna candidatura.</w:t>
      </w:r>
    </w:p>
    <w:p w14:paraId="797AC24A" w14:textId="77777777" w:rsidR="003B110D" w:rsidRPr="00286079" w:rsidRDefault="003B110D" w:rsidP="003B110D">
      <w:pPr>
        <w:spacing w:after="240" w:line="360" w:lineRule="auto"/>
        <w:ind w:left="1134" w:right="1134" w:firstLine="170"/>
        <w:rPr>
          <w:sz w:val="16"/>
          <w:szCs w:val="18"/>
        </w:rPr>
      </w:pPr>
      <w:r w:rsidRPr="00F25A8E">
        <w:rPr>
          <w:i/>
          <w:iCs/>
          <w:sz w:val="18"/>
          <w:szCs w:val="18"/>
        </w:rPr>
        <w:t>Fuente:</w:t>
      </w:r>
      <w:r w:rsidRPr="00286079">
        <w:rPr>
          <w:sz w:val="18"/>
          <w:szCs w:val="18"/>
        </w:rPr>
        <w:t xml:space="preserve"> Comisión Electoral Australiana, 2022.</w:t>
      </w:r>
    </w:p>
    <w:p w14:paraId="757C811F" w14:textId="77777777" w:rsidR="003B110D" w:rsidRPr="003F2994" w:rsidRDefault="003B110D" w:rsidP="003B110D">
      <w:pPr>
        <w:pStyle w:val="SingleTxtG"/>
        <w:spacing w:line="360" w:lineRule="auto"/>
      </w:pPr>
      <w:r w:rsidRPr="003F2994">
        <w:br w:type="page"/>
      </w:r>
    </w:p>
    <w:p w14:paraId="4472865C" w14:textId="77777777" w:rsidR="003B110D" w:rsidRPr="003F2994" w:rsidRDefault="003B110D" w:rsidP="00286079">
      <w:pPr>
        <w:pStyle w:val="HChG"/>
      </w:pPr>
      <w:bookmarkStart w:id="58" w:name="_Toc147326787"/>
      <w:r w:rsidRPr="003F2994">
        <w:lastRenderedPageBreak/>
        <w:tab/>
        <w:t>Anexo II</w:t>
      </w:r>
      <w:bookmarkStart w:id="59" w:name="_Toc167980153"/>
      <w:bookmarkEnd w:id="59"/>
    </w:p>
    <w:p w14:paraId="78995A40" w14:textId="3BFA94FF" w:rsidR="003B110D" w:rsidRPr="003F2994" w:rsidRDefault="003B110D" w:rsidP="00286079">
      <w:pPr>
        <w:pStyle w:val="HChG"/>
      </w:pPr>
      <w:r w:rsidRPr="003F2994">
        <w:tab/>
      </w:r>
      <w:r w:rsidRPr="003F2994">
        <w:tab/>
        <w:t>Información adicional sobre la protección y promoción de</w:t>
      </w:r>
      <w:r w:rsidR="00286079">
        <w:t> </w:t>
      </w:r>
      <w:r w:rsidRPr="003F2994">
        <w:t>los</w:t>
      </w:r>
      <w:r w:rsidR="00286079">
        <w:t> </w:t>
      </w:r>
      <w:r w:rsidRPr="003F2994">
        <w:t>derechos humanos</w:t>
      </w:r>
      <w:bookmarkStart w:id="60" w:name="_Toc167980154"/>
      <w:bookmarkEnd w:id="58"/>
      <w:bookmarkEnd w:id="60"/>
    </w:p>
    <w:p w14:paraId="2E28397E" w14:textId="77777777" w:rsidR="003B110D" w:rsidRPr="003F2994" w:rsidRDefault="003B110D" w:rsidP="00286079">
      <w:pPr>
        <w:pStyle w:val="H1G"/>
      </w:pPr>
      <w:r w:rsidRPr="003F2994">
        <w:tab/>
      </w:r>
      <w:r w:rsidRPr="003F2994">
        <w:tab/>
        <w:t>Aceptación de las normas internacionales de derechos humanos</w:t>
      </w:r>
      <w:bookmarkStart w:id="61" w:name="_Toc167980155"/>
      <w:bookmarkEnd w:id="61"/>
    </w:p>
    <w:p w14:paraId="58327482" w14:textId="77777777" w:rsidR="003B110D" w:rsidRPr="003F2994" w:rsidRDefault="003B110D" w:rsidP="00286079">
      <w:pPr>
        <w:pStyle w:val="Ttulo1"/>
        <w:keepNext w:val="0"/>
        <w:keepLines w:val="0"/>
        <w:tabs>
          <w:tab w:val="clear" w:pos="2835"/>
        </w:tabs>
        <w:kinsoku/>
        <w:overflowPunct/>
        <w:autoSpaceDE/>
        <w:autoSpaceDN/>
        <w:adjustRightInd/>
        <w:snapToGrid/>
        <w:rPr>
          <w:lang w:val="es-ES"/>
        </w:rPr>
      </w:pPr>
      <w:r w:rsidRPr="003F2994">
        <w:rPr>
          <w:lang w:val="es-ES"/>
        </w:rPr>
        <w:t xml:space="preserve">Cuadro </w:t>
      </w:r>
      <w:proofErr w:type="spellStart"/>
      <w:r w:rsidRPr="003F2994">
        <w:rPr>
          <w:lang w:val="es-ES"/>
        </w:rPr>
        <w:t>A1</w:t>
      </w:r>
      <w:proofErr w:type="spellEnd"/>
    </w:p>
    <w:p w14:paraId="22AC81FC" w14:textId="43BCDB02" w:rsidR="003B110D" w:rsidRPr="00025EB9" w:rsidRDefault="003B110D" w:rsidP="00286079">
      <w:pPr>
        <w:pStyle w:val="Ttulo1"/>
        <w:keepNext w:val="0"/>
        <w:keepLines w:val="0"/>
        <w:tabs>
          <w:tab w:val="clear" w:pos="2835"/>
        </w:tabs>
        <w:kinsoku/>
        <w:overflowPunct/>
        <w:autoSpaceDE/>
        <w:autoSpaceDN/>
        <w:adjustRightInd/>
        <w:snapToGrid/>
        <w:spacing w:after="120" w:line="240" w:lineRule="atLeast"/>
        <w:ind w:right="1134"/>
        <w:rPr>
          <w:rFonts w:eastAsia="SimSun"/>
          <w:b/>
          <w:bCs/>
          <w:lang w:val="es-ES" w:eastAsia="zh-CN"/>
        </w:rPr>
      </w:pPr>
      <w:r w:rsidRPr="00025EB9">
        <w:rPr>
          <w:rFonts w:eastAsia="SimSun"/>
          <w:b/>
          <w:bCs/>
          <w:lang w:val="es-ES" w:eastAsia="zh-CN"/>
        </w:rPr>
        <w:t>Texto de las reservas y declaraciones de Australia relativas a los tratados</w:t>
      </w:r>
      <w:r w:rsidR="009C1633">
        <w:rPr>
          <w:rFonts w:eastAsia="SimSun"/>
          <w:b/>
          <w:bCs/>
          <w:lang w:val="es-ES" w:eastAsia="zh-CN"/>
        </w:rPr>
        <w:t> </w:t>
      </w:r>
      <w:r w:rsidRPr="00025EB9">
        <w:rPr>
          <w:rFonts w:eastAsia="SimSun"/>
          <w:b/>
          <w:bCs/>
          <w:lang w:val="es-ES" w:eastAsia="zh-CN"/>
        </w:rPr>
        <w:t>internacionales fundamentales de derechos humanos y</w:t>
      </w:r>
      <w:r w:rsidR="009C1633">
        <w:rPr>
          <w:rFonts w:eastAsia="SimSun"/>
          <w:b/>
          <w:bCs/>
          <w:lang w:val="es-ES" w:eastAsia="zh-CN"/>
        </w:rPr>
        <w:t> </w:t>
      </w:r>
      <w:r w:rsidRPr="00025EB9">
        <w:rPr>
          <w:rFonts w:eastAsia="SimSun"/>
          <w:b/>
          <w:bCs/>
          <w:lang w:val="es-ES" w:eastAsia="zh-CN"/>
        </w:rPr>
        <w:t>sus</w:t>
      </w:r>
      <w:r w:rsidR="009C1633">
        <w:rPr>
          <w:rFonts w:eastAsia="SimSun"/>
          <w:b/>
          <w:bCs/>
          <w:lang w:val="es-ES" w:eastAsia="zh-CN"/>
        </w:rPr>
        <w:t> </w:t>
      </w:r>
      <w:r w:rsidRPr="00025EB9">
        <w:rPr>
          <w:rFonts w:eastAsia="SimSun"/>
          <w:b/>
          <w:bCs/>
          <w:lang w:val="es-ES" w:eastAsia="zh-CN"/>
        </w:rPr>
        <w:t>protocolos</w:t>
      </w:r>
      <w:r w:rsidR="009C1633">
        <w:rPr>
          <w:rFonts w:eastAsia="SimSun"/>
          <w:b/>
          <w:bCs/>
          <w:lang w:val="es-ES" w:eastAsia="zh-CN"/>
        </w:rPr>
        <w:t> </w:t>
      </w:r>
      <w:proofErr w:type="spellStart"/>
      <w:r w:rsidRPr="00025EB9">
        <w:rPr>
          <w:rFonts w:eastAsia="SimSun"/>
          <w:b/>
          <w:bCs/>
          <w:lang w:val="es-ES" w:eastAsia="zh-CN"/>
        </w:rPr>
        <w:t>facultativos</w:t>
      </w:r>
      <w:r w:rsidRPr="009C1633">
        <w:rPr>
          <w:rFonts w:eastAsia="SimSun"/>
          <w:sz w:val="18"/>
          <w:szCs w:val="18"/>
          <w:vertAlign w:val="superscript"/>
          <w:lang w:val="es-ES" w:eastAsia="zh-CN"/>
        </w:rPr>
        <w:t>1</w:t>
      </w:r>
      <w:proofErr w:type="spell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3B110D" w:rsidRPr="003F2994" w14:paraId="500B6136" w14:textId="77777777" w:rsidTr="009C1633">
        <w:trPr>
          <w:cantSplit/>
        </w:trPr>
        <w:tc>
          <w:tcPr>
            <w:tcW w:w="7370" w:type="dxa"/>
            <w:tcBorders>
              <w:top w:val="single" w:sz="4" w:space="0" w:color="auto"/>
              <w:bottom w:val="single" w:sz="4" w:space="0" w:color="auto"/>
            </w:tcBorders>
            <w:shd w:val="clear" w:color="auto" w:fill="auto"/>
            <w:vAlign w:val="bottom"/>
          </w:tcPr>
          <w:p w14:paraId="4F036375" w14:textId="77777777" w:rsidR="003B110D" w:rsidRPr="003F2994" w:rsidRDefault="003B110D" w:rsidP="00286079">
            <w:pPr>
              <w:spacing w:before="80" w:after="80" w:line="200" w:lineRule="exact"/>
              <w:ind w:right="113"/>
              <w:rPr>
                <w:i/>
                <w:sz w:val="16"/>
              </w:rPr>
            </w:pPr>
            <w:r w:rsidRPr="00286079">
              <w:rPr>
                <w:i/>
                <w:sz w:val="16"/>
                <w:lang w:eastAsia="en-US"/>
              </w:rPr>
              <w:t>Pacto Internacional de Derechos Civiles y Políticos</w:t>
            </w:r>
          </w:p>
        </w:tc>
      </w:tr>
      <w:tr w:rsidR="003B110D" w:rsidRPr="003F2994" w14:paraId="793B5F61" w14:textId="77777777" w:rsidTr="009C1633">
        <w:tc>
          <w:tcPr>
            <w:tcW w:w="7370" w:type="dxa"/>
            <w:tcBorders>
              <w:top w:val="single" w:sz="4" w:space="0" w:color="auto"/>
              <w:bottom w:val="single" w:sz="4" w:space="0" w:color="auto"/>
            </w:tcBorders>
            <w:shd w:val="clear" w:color="auto" w:fill="auto"/>
          </w:tcPr>
          <w:p w14:paraId="5F9D290F" w14:textId="77777777" w:rsidR="003B110D" w:rsidRPr="00286079" w:rsidRDefault="003B110D" w:rsidP="009C1633">
            <w:pPr>
              <w:pStyle w:val="H23G"/>
              <w:keepNext w:val="0"/>
              <w:keepLines w:val="0"/>
              <w:tabs>
                <w:tab w:val="clear" w:pos="851"/>
              </w:tabs>
              <w:suppressAutoHyphens w:val="0"/>
              <w:spacing w:before="40" w:line="240" w:lineRule="atLeast"/>
              <w:ind w:left="0" w:right="113" w:firstLine="0"/>
              <w:outlineLvl w:val="9"/>
            </w:pPr>
            <w:r w:rsidRPr="00286079">
              <w:t>Reservas</w:t>
            </w:r>
          </w:p>
          <w:p w14:paraId="2B3D197D" w14:textId="77777777" w:rsidR="003B110D" w:rsidRPr="003F2994" w:rsidRDefault="003B110D" w:rsidP="009C1633">
            <w:pPr>
              <w:pStyle w:val="H4G"/>
              <w:keepNext w:val="0"/>
              <w:keepLines w:val="0"/>
              <w:tabs>
                <w:tab w:val="clear" w:pos="851"/>
              </w:tabs>
              <w:suppressAutoHyphens w:val="0"/>
              <w:spacing w:before="40" w:line="240" w:lineRule="atLeast"/>
              <w:ind w:left="0" w:right="113" w:firstLine="0"/>
              <w:outlineLvl w:val="9"/>
            </w:pPr>
            <w:r w:rsidRPr="003F2994">
              <w:rPr>
                <w:iCs/>
              </w:rPr>
              <w:t>Artículo 10</w:t>
            </w:r>
            <w:r w:rsidRPr="003F2994">
              <w:t xml:space="preserve"> </w:t>
            </w:r>
          </w:p>
          <w:p w14:paraId="62079F9C" w14:textId="77777777" w:rsidR="003B110D" w:rsidRPr="00286079" w:rsidRDefault="003B110D" w:rsidP="00286079">
            <w:pPr>
              <w:spacing w:before="40" w:after="120"/>
              <w:ind w:right="113"/>
              <w:rPr>
                <w:lang w:eastAsia="en-US"/>
              </w:rPr>
            </w:pPr>
            <w:r w:rsidRPr="00286079">
              <w:rPr>
                <w:lang w:eastAsia="en-US"/>
              </w:rPr>
              <w:t xml:space="preserve">En relación con el párrafo 2 a), se acepta el principio de separación como un objetivo que debe alcanzarse progresivamente. En cuanto a los párrafos 2 b) y 3 (segunda oración), la obligación de separar a los menores infractores de los adultos se acepta únicamente en la medida en que las autoridades competentes consideren que dicha separación es beneficiosa para los menores o adultos en cuestión. </w:t>
            </w:r>
          </w:p>
          <w:p w14:paraId="5982FD49" w14:textId="77777777" w:rsidR="003B110D" w:rsidRPr="003F2994" w:rsidRDefault="003B110D" w:rsidP="009C1633">
            <w:pPr>
              <w:pStyle w:val="H4G"/>
              <w:keepNext w:val="0"/>
              <w:keepLines w:val="0"/>
              <w:tabs>
                <w:tab w:val="clear" w:pos="851"/>
              </w:tabs>
              <w:suppressAutoHyphens w:val="0"/>
              <w:spacing w:before="40" w:line="240" w:lineRule="atLeast"/>
              <w:ind w:left="0" w:right="113" w:firstLine="0"/>
              <w:outlineLvl w:val="9"/>
            </w:pPr>
            <w:r w:rsidRPr="003F2994">
              <w:rPr>
                <w:iCs/>
              </w:rPr>
              <w:t>Artículo 14</w:t>
            </w:r>
            <w:r w:rsidRPr="003F2994">
              <w:t xml:space="preserve"> </w:t>
            </w:r>
          </w:p>
          <w:p w14:paraId="113BBCA7" w14:textId="77777777" w:rsidR="003B110D" w:rsidRPr="003F2994" w:rsidRDefault="003B110D" w:rsidP="00286079">
            <w:pPr>
              <w:spacing w:before="40" w:after="120"/>
              <w:ind w:right="113"/>
            </w:pPr>
            <w:r w:rsidRPr="003F2994">
              <w:t>Australia formula una reserva respecto a la indemnización por error judicial en las circunstancias previstas en el párrafo 6 del artículo 14, e indica que la tramitará mediante procedimientos administrativos y no en virtud de una disposición legal específica.</w:t>
            </w:r>
          </w:p>
          <w:p w14:paraId="3BC1120F" w14:textId="77777777" w:rsidR="003B110D" w:rsidRPr="003F2994" w:rsidRDefault="003B110D" w:rsidP="009C1633">
            <w:pPr>
              <w:pStyle w:val="H4G"/>
              <w:keepNext w:val="0"/>
              <w:keepLines w:val="0"/>
              <w:tabs>
                <w:tab w:val="clear" w:pos="851"/>
              </w:tabs>
              <w:suppressAutoHyphens w:val="0"/>
              <w:spacing w:before="40" w:line="240" w:lineRule="atLeast"/>
              <w:ind w:left="0" w:right="113" w:firstLine="0"/>
              <w:outlineLvl w:val="9"/>
            </w:pPr>
            <w:r w:rsidRPr="003F2994">
              <w:rPr>
                <w:iCs/>
              </w:rPr>
              <w:t>Artículo 20</w:t>
            </w:r>
          </w:p>
          <w:p w14:paraId="78DE968C" w14:textId="77777777" w:rsidR="003B110D" w:rsidRPr="003F2994" w:rsidRDefault="003B110D" w:rsidP="00286079">
            <w:pPr>
              <w:spacing w:before="40" w:after="120"/>
              <w:ind w:right="113"/>
            </w:pPr>
            <w:r w:rsidRPr="003F2994">
              <w:t>Australia considera que los derechos previstos en los artículos 19, 21 y 22 no entran en conflicto con lo dispuesto en el artículo 20. En consecuencia, el Commonwealth y los estados, dado que han legislado con respecto al objeto del artículo en cuestiones de interés práctico para proteger el orden público, se reservan el derecho de no introducir ninguna otra disposición legislativa sobre esas cuestiones.</w:t>
            </w:r>
          </w:p>
          <w:p w14:paraId="0E42758B" w14:textId="77777777" w:rsidR="003B110D" w:rsidRPr="00286079" w:rsidRDefault="003B110D" w:rsidP="009C1633">
            <w:pPr>
              <w:pStyle w:val="H23G"/>
              <w:keepNext w:val="0"/>
              <w:keepLines w:val="0"/>
              <w:tabs>
                <w:tab w:val="clear" w:pos="851"/>
              </w:tabs>
              <w:suppressAutoHyphens w:val="0"/>
              <w:spacing w:before="40" w:line="240" w:lineRule="atLeast"/>
              <w:ind w:left="0" w:right="113" w:firstLine="0"/>
              <w:outlineLvl w:val="9"/>
            </w:pPr>
            <w:r w:rsidRPr="00286079">
              <w:t>Declaraciones</w:t>
            </w:r>
          </w:p>
          <w:p w14:paraId="26A41291" w14:textId="77777777" w:rsidR="003B110D" w:rsidRPr="003F2994" w:rsidRDefault="003B110D" w:rsidP="00286079">
            <w:pPr>
              <w:spacing w:before="40" w:after="120"/>
              <w:ind w:right="113"/>
            </w:pPr>
            <w:r w:rsidRPr="003F2994">
              <w:t>Australia tiene un sistema constitucional federal en el que los poderes legislativo, ejecutivo y judicial están repartidos entre el Commonwealth y los estados. La aplicación del tratado en toda Australia correrá a cargo de las autoridades del Commonwealth, los estados y los territorios, con arreglo a sus respectivas competencias constitucionales y a las disposiciones relativas al ejercicio de dichas competencias (28 de enero de 1993).</w:t>
            </w:r>
          </w:p>
          <w:p w14:paraId="7F68F992" w14:textId="77777777" w:rsidR="003B110D" w:rsidRPr="003F2994" w:rsidRDefault="003B110D" w:rsidP="00286079">
            <w:pPr>
              <w:spacing w:before="40" w:after="120"/>
              <w:ind w:right="113"/>
            </w:pPr>
            <w:r w:rsidRPr="003F2994">
              <w:t>El Gobierno de Australia declara que reconoce, en nombre y representación de todo el país, la competencia del Comité de Derechos Humanos para recibir y examinar las comunicaciones en que un Estado Parte alegue que otro Estado Parte no cumple las obligaciones que le impone el Pacto Internacional de Derechos Civiles y Políticos (28 de enero de 1993).</w:t>
            </w:r>
          </w:p>
        </w:tc>
      </w:tr>
      <w:tr w:rsidR="003B110D" w:rsidRPr="003F2994" w14:paraId="6FEA6028" w14:textId="77777777" w:rsidTr="009C1633">
        <w:tc>
          <w:tcPr>
            <w:tcW w:w="7370" w:type="dxa"/>
            <w:tcBorders>
              <w:top w:val="single" w:sz="4" w:space="0" w:color="auto"/>
              <w:bottom w:val="single" w:sz="4" w:space="0" w:color="auto"/>
            </w:tcBorders>
            <w:shd w:val="clear" w:color="auto" w:fill="auto"/>
          </w:tcPr>
          <w:p w14:paraId="75C70A7D" w14:textId="20206291" w:rsidR="003B110D" w:rsidRPr="003F2994" w:rsidRDefault="003B110D" w:rsidP="00286079">
            <w:pPr>
              <w:spacing w:before="40" w:after="120" w:line="220" w:lineRule="exact"/>
              <w:ind w:right="113"/>
              <w:rPr>
                <w:i/>
                <w:sz w:val="16"/>
              </w:rPr>
            </w:pPr>
            <w:r w:rsidRPr="00286079">
              <w:rPr>
                <w:i/>
                <w:sz w:val="16"/>
                <w:lang w:eastAsia="en-US"/>
              </w:rPr>
              <w:t xml:space="preserve">Convención </w:t>
            </w:r>
            <w:r w:rsidR="009C1633">
              <w:rPr>
                <w:i/>
                <w:sz w:val="16"/>
                <w:lang w:eastAsia="en-US"/>
              </w:rPr>
              <w:t>c</w:t>
            </w:r>
            <w:r w:rsidRPr="00286079">
              <w:rPr>
                <w:i/>
                <w:sz w:val="16"/>
                <w:lang w:eastAsia="en-US"/>
              </w:rPr>
              <w:t>ontra la Tortura y Otros Tratos o Penas Crueles, Inhumanos o Degradantes</w:t>
            </w:r>
          </w:p>
        </w:tc>
      </w:tr>
      <w:tr w:rsidR="003B110D" w:rsidRPr="003F2994" w14:paraId="6C1F731B" w14:textId="77777777" w:rsidTr="009C1633">
        <w:tc>
          <w:tcPr>
            <w:tcW w:w="7370" w:type="dxa"/>
            <w:tcBorders>
              <w:top w:val="single" w:sz="4" w:space="0" w:color="auto"/>
              <w:bottom w:val="nil"/>
            </w:tcBorders>
            <w:shd w:val="clear" w:color="auto" w:fill="auto"/>
          </w:tcPr>
          <w:p w14:paraId="0D77DD63" w14:textId="77777777" w:rsidR="003B110D" w:rsidRPr="003F2994" w:rsidRDefault="003B110D" w:rsidP="009C1633">
            <w:pPr>
              <w:pStyle w:val="H23G"/>
              <w:keepNext w:val="0"/>
              <w:keepLines w:val="0"/>
              <w:tabs>
                <w:tab w:val="clear" w:pos="851"/>
              </w:tabs>
              <w:suppressAutoHyphens w:val="0"/>
              <w:spacing w:before="40" w:line="240" w:lineRule="atLeast"/>
              <w:ind w:left="0" w:right="113" w:firstLine="0"/>
              <w:outlineLvl w:val="9"/>
            </w:pPr>
            <w:r w:rsidRPr="009C1633">
              <w:t>Declaración</w:t>
            </w:r>
          </w:p>
          <w:p w14:paraId="4A74E65F" w14:textId="468EFC12" w:rsidR="003B110D" w:rsidRPr="003F2994" w:rsidRDefault="003B110D" w:rsidP="00286079">
            <w:pPr>
              <w:spacing w:before="40" w:after="120"/>
              <w:ind w:right="113"/>
            </w:pPr>
            <w:r w:rsidRPr="003F2994">
              <w:t xml:space="preserve">El Gobierno de Australia declara que reconoce, en nombre y representación de todo el país, la competencia del Comité para recibir y examinar las comunicaciones en que un Estado Parte alegue que otro Estado </w:t>
            </w:r>
            <w:r w:rsidR="009C1633">
              <w:t>p</w:t>
            </w:r>
            <w:r w:rsidRPr="003F2994">
              <w:t>arte no cumple las obligaciones que le impone la Convención; y</w:t>
            </w:r>
          </w:p>
          <w:p w14:paraId="3B4BF5BF" w14:textId="22B99070" w:rsidR="003B110D" w:rsidRPr="003F2994" w:rsidRDefault="003B110D" w:rsidP="006721B2">
            <w:pPr>
              <w:spacing w:before="40" w:after="120" w:line="360" w:lineRule="auto"/>
              <w:ind w:right="113"/>
            </w:pPr>
          </w:p>
        </w:tc>
      </w:tr>
      <w:tr w:rsidR="00286079" w:rsidRPr="003F2994" w14:paraId="66CDDEC4" w14:textId="77777777" w:rsidTr="00286079">
        <w:tc>
          <w:tcPr>
            <w:tcW w:w="7370" w:type="dxa"/>
            <w:tcBorders>
              <w:top w:val="nil"/>
              <w:bottom w:val="single" w:sz="4" w:space="0" w:color="auto"/>
            </w:tcBorders>
            <w:shd w:val="clear" w:color="auto" w:fill="auto"/>
          </w:tcPr>
          <w:p w14:paraId="43E6E3D7" w14:textId="77777777" w:rsidR="00286079" w:rsidRPr="003F2994" w:rsidRDefault="00286079" w:rsidP="00286079">
            <w:pPr>
              <w:spacing w:before="40" w:after="120"/>
              <w:ind w:right="113"/>
            </w:pPr>
            <w:r w:rsidRPr="003F2994">
              <w:lastRenderedPageBreak/>
              <w:t>Declara que reconoce, en nombre y representación de todo el país, la competencia del Comité para recibir y examinar las comunicaciones enviadas por personas sometidas a la jurisdicción de Australia, o en su nombre, que aleguen ser víctimas de una violación por un Estado Parte de las disposiciones de la Convención (28 de enero de 1993).</w:t>
            </w:r>
          </w:p>
          <w:p w14:paraId="0BBF9011" w14:textId="77777777" w:rsidR="00286079" w:rsidRPr="003F2994" w:rsidRDefault="00286079" w:rsidP="009C1633">
            <w:pPr>
              <w:pStyle w:val="H23G"/>
              <w:keepNext w:val="0"/>
              <w:keepLines w:val="0"/>
              <w:tabs>
                <w:tab w:val="clear" w:pos="851"/>
              </w:tabs>
              <w:suppressAutoHyphens w:val="0"/>
              <w:spacing w:before="40" w:line="240" w:lineRule="atLeast"/>
              <w:ind w:left="0" w:right="113" w:firstLine="0"/>
              <w:outlineLvl w:val="9"/>
            </w:pPr>
            <w:r w:rsidRPr="003F2994">
              <w:t>Enmiendas</w:t>
            </w:r>
          </w:p>
          <w:p w14:paraId="516D3D1A" w14:textId="38889688" w:rsidR="00286079" w:rsidRPr="003F2994" w:rsidRDefault="00286079" w:rsidP="00286079">
            <w:pPr>
              <w:spacing w:before="40" w:after="120"/>
              <w:ind w:right="113"/>
              <w:rPr>
                <w:bCs/>
              </w:rPr>
            </w:pPr>
            <w:r w:rsidRPr="003F2994">
              <w:t>El 15 de octubre de 1993 se aprobaron enmiendas al artículo 17, párrafo 7, y al artículo</w:t>
            </w:r>
            <w:r w:rsidR="009C1633">
              <w:t> </w:t>
            </w:r>
            <w:r w:rsidRPr="003F2994">
              <w:t>18, párrafo 5.</w:t>
            </w:r>
          </w:p>
        </w:tc>
      </w:tr>
      <w:tr w:rsidR="003B110D" w:rsidRPr="003F2994" w14:paraId="6044A09B" w14:textId="77777777" w:rsidTr="00286079">
        <w:tc>
          <w:tcPr>
            <w:tcW w:w="7370" w:type="dxa"/>
            <w:tcBorders>
              <w:top w:val="single" w:sz="4" w:space="0" w:color="auto"/>
              <w:bottom w:val="single" w:sz="4" w:space="0" w:color="auto"/>
            </w:tcBorders>
            <w:shd w:val="clear" w:color="auto" w:fill="auto"/>
          </w:tcPr>
          <w:p w14:paraId="070830CB" w14:textId="77777777" w:rsidR="003B110D" w:rsidRPr="003F2994" w:rsidRDefault="003B110D" w:rsidP="00286079">
            <w:pPr>
              <w:spacing w:before="40" w:after="120" w:line="220" w:lineRule="exact"/>
              <w:ind w:right="113"/>
              <w:rPr>
                <w:i/>
                <w:sz w:val="16"/>
              </w:rPr>
            </w:pPr>
            <w:r w:rsidRPr="00286079">
              <w:rPr>
                <w:i/>
                <w:sz w:val="16"/>
                <w:lang w:eastAsia="en-US"/>
              </w:rPr>
              <w:t>Protocolo Facultativo de la Convención contra la Tortura y Otros Tratos o Penas Crueles, Inhumanos o Degradantes</w:t>
            </w:r>
          </w:p>
        </w:tc>
      </w:tr>
      <w:tr w:rsidR="003B110D" w:rsidRPr="003F2994" w14:paraId="7C8C3EC0" w14:textId="77777777" w:rsidTr="00286079">
        <w:tc>
          <w:tcPr>
            <w:tcW w:w="7370" w:type="dxa"/>
            <w:tcBorders>
              <w:top w:val="single" w:sz="4" w:space="0" w:color="auto"/>
              <w:bottom w:val="single" w:sz="4" w:space="0" w:color="auto"/>
            </w:tcBorders>
            <w:shd w:val="clear" w:color="auto" w:fill="auto"/>
          </w:tcPr>
          <w:p w14:paraId="43D23160" w14:textId="77777777" w:rsidR="003B110D" w:rsidRPr="003F2994" w:rsidRDefault="003B110D" w:rsidP="009C1633">
            <w:pPr>
              <w:pStyle w:val="H23G"/>
              <w:keepNext w:val="0"/>
              <w:keepLines w:val="0"/>
              <w:tabs>
                <w:tab w:val="clear" w:pos="851"/>
              </w:tabs>
              <w:suppressAutoHyphens w:val="0"/>
              <w:spacing w:before="40" w:line="240" w:lineRule="atLeast"/>
              <w:ind w:left="0" w:right="113" w:firstLine="0"/>
              <w:outlineLvl w:val="9"/>
            </w:pPr>
            <w:r w:rsidRPr="009C1633">
              <w:t>Declaración</w:t>
            </w:r>
          </w:p>
          <w:p w14:paraId="71BD0C42" w14:textId="77777777" w:rsidR="003B110D" w:rsidRPr="003F2994" w:rsidRDefault="003B110D" w:rsidP="00286079">
            <w:pPr>
              <w:spacing w:before="40" w:after="120"/>
              <w:ind w:right="113"/>
            </w:pPr>
            <w:r w:rsidRPr="003F2994">
              <w:t>De conformidad con el artículo 24 del Protocolo Facultativo de la Convención contra la Tortura y Otros Tratos o Penas Crueles, Inhumanos o Degradantes, Australia declara el aplazamiento por tres años del cumplimiento de sus obligaciones contraídas en virtud de la Parte IV de dicho Protocolo Facultativo.</w:t>
            </w:r>
          </w:p>
        </w:tc>
      </w:tr>
      <w:tr w:rsidR="003B110D" w:rsidRPr="00286079" w14:paraId="446D0B25" w14:textId="77777777" w:rsidTr="00286079">
        <w:tc>
          <w:tcPr>
            <w:tcW w:w="7370" w:type="dxa"/>
            <w:tcBorders>
              <w:top w:val="single" w:sz="4" w:space="0" w:color="auto"/>
              <w:bottom w:val="single" w:sz="4" w:space="0" w:color="auto"/>
            </w:tcBorders>
            <w:shd w:val="clear" w:color="auto" w:fill="auto"/>
          </w:tcPr>
          <w:p w14:paraId="2B5058D7" w14:textId="77777777" w:rsidR="003B110D" w:rsidRPr="00286079" w:rsidRDefault="003B110D" w:rsidP="00286079">
            <w:pPr>
              <w:spacing w:before="40" w:after="120" w:line="220" w:lineRule="exact"/>
              <w:ind w:right="113"/>
              <w:rPr>
                <w:i/>
                <w:sz w:val="16"/>
                <w:lang w:eastAsia="en-US"/>
              </w:rPr>
            </w:pPr>
            <w:r w:rsidRPr="00286079">
              <w:rPr>
                <w:i/>
                <w:sz w:val="16"/>
                <w:lang w:eastAsia="en-US"/>
              </w:rPr>
              <w:t>Convención sobre la Eliminación de Todas las Formas de Discriminación contra la Mujer</w:t>
            </w:r>
          </w:p>
        </w:tc>
      </w:tr>
      <w:tr w:rsidR="003B110D" w:rsidRPr="003F2994" w14:paraId="73990AF1" w14:textId="77777777" w:rsidTr="009C1633">
        <w:tc>
          <w:tcPr>
            <w:tcW w:w="7370" w:type="dxa"/>
            <w:tcBorders>
              <w:top w:val="single" w:sz="4" w:space="0" w:color="auto"/>
              <w:bottom w:val="nil"/>
            </w:tcBorders>
            <w:shd w:val="clear" w:color="auto" w:fill="auto"/>
          </w:tcPr>
          <w:p w14:paraId="26515885" w14:textId="77777777" w:rsidR="003B110D" w:rsidRPr="00286079" w:rsidRDefault="003B110D" w:rsidP="009C1633">
            <w:pPr>
              <w:pStyle w:val="H23G"/>
              <w:keepNext w:val="0"/>
              <w:keepLines w:val="0"/>
              <w:tabs>
                <w:tab w:val="clear" w:pos="851"/>
              </w:tabs>
              <w:suppressAutoHyphens w:val="0"/>
              <w:spacing w:before="40" w:line="240" w:lineRule="atLeast"/>
              <w:ind w:left="0" w:right="113" w:firstLine="0"/>
              <w:outlineLvl w:val="9"/>
              <w:rPr>
                <w:bCs/>
              </w:rPr>
            </w:pPr>
            <w:r w:rsidRPr="009C1633">
              <w:t>Reservas</w:t>
            </w:r>
          </w:p>
          <w:p w14:paraId="19BDA423" w14:textId="77777777" w:rsidR="003B110D" w:rsidRPr="003F2994" w:rsidRDefault="003B110D" w:rsidP="009C1633">
            <w:pPr>
              <w:pStyle w:val="H4G"/>
              <w:keepNext w:val="0"/>
              <w:keepLines w:val="0"/>
              <w:tabs>
                <w:tab w:val="clear" w:pos="851"/>
              </w:tabs>
              <w:suppressAutoHyphens w:val="0"/>
              <w:spacing w:before="40" w:line="240" w:lineRule="atLeast"/>
              <w:ind w:left="0" w:right="113" w:firstLine="0"/>
              <w:outlineLvl w:val="9"/>
              <w:rPr>
                <w:i w:val="0"/>
                <w:iCs/>
              </w:rPr>
            </w:pPr>
            <w:r w:rsidRPr="003F2994">
              <w:rPr>
                <w:iCs/>
              </w:rPr>
              <w:t>Artículo 11, párrafo 2</w:t>
            </w:r>
          </w:p>
          <w:p w14:paraId="1B4E8093" w14:textId="77777777" w:rsidR="003B110D" w:rsidRPr="003F2994" w:rsidRDefault="003B110D" w:rsidP="00286079">
            <w:pPr>
              <w:spacing w:before="40" w:after="120"/>
              <w:ind w:right="113"/>
            </w:pPr>
            <w:r w:rsidRPr="003F2994">
              <w:t>El Gobierno de Australia declara que la mayoría de las mujeres empleadas por el Gobierno del Commonwealth y los Gobiernos de Nueva Gales del Sur y Victoria disfrutan de la licencia de maternidad con sueldo pagado. La licencia de maternidad no remunerada se concede al resto de las mujeres empleadas en el estado de Nueva Gales del Sur y a las mujeres empleadas en otros lugares con arreglo a convenios laborales sectoriales a escala nacional y de algunos estados. Las mujeres que son madres solas pueden acceder a prestaciones de la seguridad social siempre que superen una prueba de ingresos. El Gobierno de Australia informa de que por el momento no está en condiciones de adoptar las medidas previstas en el artículo 11, párrafo 2, e implantar la licencia de maternidad con sueldo pagado o con prestaciones sociales comparables en todo el país.</w:t>
            </w:r>
          </w:p>
          <w:p w14:paraId="2DA7412C" w14:textId="77777777" w:rsidR="003B110D" w:rsidRPr="00286079" w:rsidRDefault="003B110D" w:rsidP="009C1633">
            <w:pPr>
              <w:pStyle w:val="H23G"/>
              <w:keepNext w:val="0"/>
              <w:keepLines w:val="0"/>
              <w:tabs>
                <w:tab w:val="clear" w:pos="851"/>
              </w:tabs>
              <w:suppressAutoHyphens w:val="0"/>
              <w:spacing w:before="40" w:line="240" w:lineRule="atLeast"/>
              <w:ind w:left="0" w:right="113" w:firstLine="0"/>
              <w:outlineLvl w:val="9"/>
              <w:rPr>
                <w:bCs/>
              </w:rPr>
            </w:pPr>
            <w:r w:rsidRPr="009C1633">
              <w:t>Declaración</w:t>
            </w:r>
          </w:p>
          <w:p w14:paraId="047C108D" w14:textId="77777777" w:rsidR="003B110D" w:rsidRPr="003F2994" w:rsidRDefault="003B110D" w:rsidP="00286079">
            <w:pPr>
              <w:spacing w:before="40" w:after="120"/>
              <w:ind w:right="113"/>
            </w:pPr>
            <w:r w:rsidRPr="003F2994">
              <w:t>Australia tiene un sistema constitucional federal en el que los poderes legislativo, ejecutivo y judicial están repartidos entre el Commonwealth y los estados. La aplicación del tratado en toda Australia correrá a cargo de las autoridades del Commonwealth, los estados y los territorios, con arreglo a sus respectivas competencias constitucionales y a las disposiciones relativas al ejercicio de dichas competencias.</w:t>
            </w:r>
          </w:p>
          <w:p w14:paraId="2693A35A" w14:textId="77777777" w:rsidR="003B110D" w:rsidRPr="00286079" w:rsidRDefault="003B110D" w:rsidP="009C1633">
            <w:pPr>
              <w:pStyle w:val="H23G"/>
              <w:keepNext w:val="0"/>
              <w:keepLines w:val="0"/>
              <w:tabs>
                <w:tab w:val="clear" w:pos="851"/>
              </w:tabs>
              <w:suppressAutoHyphens w:val="0"/>
              <w:spacing w:before="40" w:line="240" w:lineRule="atLeast"/>
              <w:ind w:left="0" w:right="113" w:firstLine="0"/>
              <w:outlineLvl w:val="9"/>
              <w:rPr>
                <w:bCs/>
              </w:rPr>
            </w:pPr>
            <w:r w:rsidRPr="009C1633">
              <w:t>Enmiendas</w:t>
            </w:r>
          </w:p>
          <w:p w14:paraId="08EE7B08" w14:textId="77777777" w:rsidR="003B110D" w:rsidRPr="003F2994" w:rsidRDefault="003B110D" w:rsidP="009C1633">
            <w:pPr>
              <w:spacing w:before="40" w:after="120"/>
              <w:ind w:right="113"/>
            </w:pPr>
            <w:r w:rsidRPr="003F2994">
              <w:t>El 4 de junio de 1998 se aprobó la enmienda al artículo 20, párrafo 1.</w:t>
            </w:r>
          </w:p>
          <w:p w14:paraId="3FF29263" w14:textId="77777777" w:rsidR="003B110D" w:rsidRPr="003F2994" w:rsidRDefault="003B110D" w:rsidP="009C1633">
            <w:pPr>
              <w:pStyle w:val="H4G"/>
              <w:keepNext w:val="0"/>
              <w:keepLines w:val="0"/>
              <w:tabs>
                <w:tab w:val="clear" w:pos="851"/>
              </w:tabs>
              <w:suppressAutoHyphens w:val="0"/>
              <w:spacing w:before="40" w:line="240" w:lineRule="atLeast"/>
              <w:ind w:left="0" w:right="113" w:firstLine="0"/>
              <w:outlineLvl w:val="9"/>
              <w:rPr>
                <w:i w:val="0"/>
                <w:iCs/>
              </w:rPr>
            </w:pPr>
            <w:r w:rsidRPr="003F2994">
              <w:rPr>
                <w:iCs/>
              </w:rPr>
              <w:t>Reserva en relación con las funciones de combate</w:t>
            </w:r>
          </w:p>
          <w:p w14:paraId="57E6A772" w14:textId="5F09B053" w:rsidR="003B110D" w:rsidRPr="003F2994" w:rsidRDefault="003B110D" w:rsidP="00286079">
            <w:pPr>
              <w:spacing w:before="40" w:after="120"/>
              <w:ind w:right="113"/>
            </w:pPr>
            <w:r w:rsidRPr="003F2994">
              <w:t>Australia ratificó la Convención con la siguiente reserva: “El Gobierno de Australia informa de que no acepta las disposiciones de la Convención que exigirían la modificación de la política de las Fuerzas de Defensa, que excluye a las mujeres del combate y de las funciones relacionadas con el combate. El Gobierno de Australia está revisando dicha política con el fin de definir con mayor precisión</w:t>
            </w:r>
            <w:r w:rsidR="003207F2">
              <w:t xml:space="preserve"> ‘</w:t>
            </w:r>
            <w:r w:rsidRPr="003F2994">
              <w:t>combate</w:t>
            </w:r>
            <w:r w:rsidR="003207F2">
              <w:t>’</w:t>
            </w:r>
            <w:r w:rsidRPr="003F2994">
              <w:t xml:space="preserve"> y </w:t>
            </w:r>
            <w:r w:rsidR="003207F2">
              <w:t>‘</w:t>
            </w:r>
            <w:r w:rsidRPr="003F2994">
              <w:t>funciones relacionadas con el combate</w:t>
            </w:r>
            <w:r w:rsidR="003207F2">
              <w:t>’</w:t>
            </w:r>
            <w:r w:rsidRPr="003F2994">
              <w:t>”.</w:t>
            </w:r>
          </w:p>
          <w:p w14:paraId="4E782E67" w14:textId="38386154" w:rsidR="003B110D" w:rsidRPr="003F2994" w:rsidRDefault="003B110D" w:rsidP="00286079">
            <w:pPr>
              <w:spacing w:before="40" w:after="120"/>
              <w:ind w:right="113"/>
            </w:pPr>
            <w:r w:rsidRPr="003F2994">
              <w:t xml:space="preserve">El 30 de agosto de 2000, Australia retiró una parte de su reserva y formuló esta otra: “El Gobierno de Australia informa de que no acepta las disposiciones de la Convención que exigirían la modificación de la política de las Fuerzas de Defensa que excluye a las mujeres de las funciones de combate”. </w:t>
            </w:r>
          </w:p>
        </w:tc>
      </w:tr>
      <w:tr w:rsidR="00286079" w:rsidRPr="003F2994" w14:paraId="0F1AAF53" w14:textId="77777777" w:rsidTr="009C1633">
        <w:tc>
          <w:tcPr>
            <w:tcW w:w="7370" w:type="dxa"/>
            <w:tcBorders>
              <w:top w:val="nil"/>
              <w:bottom w:val="nil"/>
            </w:tcBorders>
            <w:shd w:val="clear" w:color="auto" w:fill="auto"/>
          </w:tcPr>
          <w:p w14:paraId="411CF61E" w14:textId="0B77F7C3" w:rsidR="009C1633" w:rsidRPr="009C1633" w:rsidRDefault="00286079" w:rsidP="009C1633">
            <w:pPr>
              <w:pStyle w:val="H23G"/>
              <w:keepNext w:val="0"/>
              <w:keepLines w:val="0"/>
              <w:tabs>
                <w:tab w:val="clear" w:pos="851"/>
              </w:tabs>
              <w:suppressAutoHyphens w:val="0"/>
              <w:spacing w:before="40" w:line="240" w:lineRule="atLeast"/>
              <w:ind w:left="0" w:right="113" w:firstLine="0"/>
              <w:outlineLvl w:val="9"/>
            </w:pPr>
            <w:r w:rsidRPr="00286079">
              <w:rPr>
                <w:b w:val="0"/>
              </w:rPr>
              <w:t xml:space="preserve">El 14 de diciembre de 2018, con efecto a partir de esa fecha, Australia retiró dicha </w:t>
            </w:r>
            <w:proofErr w:type="spellStart"/>
            <w:r w:rsidRPr="00286079">
              <w:rPr>
                <w:b w:val="0"/>
              </w:rPr>
              <w:t>reserva</w:t>
            </w:r>
            <w:r w:rsidRPr="00286079">
              <w:rPr>
                <w:b w:val="0"/>
                <w:vertAlign w:val="superscript"/>
              </w:rPr>
              <w:t>2</w:t>
            </w:r>
            <w:proofErr w:type="spellEnd"/>
            <w:r w:rsidRPr="00286079">
              <w:rPr>
                <w:b w:val="0"/>
              </w:rPr>
              <w:t>.</w:t>
            </w:r>
          </w:p>
        </w:tc>
      </w:tr>
      <w:tr w:rsidR="009C1633" w:rsidRPr="003F2994" w14:paraId="2DA71EE8" w14:textId="77777777" w:rsidTr="009C1633">
        <w:trPr>
          <w:trHeight w:hRule="exact" w:val="113"/>
        </w:trPr>
        <w:tc>
          <w:tcPr>
            <w:tcW w:w="7370" w:type="dxa"/>
            <w:tcBorders>
              <w:top w:val="nil"/>
              <w:bottom w:val="nil"/>
            </w:tcBorders>
            <w:shd w:val="clear" w:color="auto" w:fill="auto"/>
          </w:tcPr>
          <w:p w14:paraId="0C6C312C" w14:textId="77777777" w:rsidR="009C1633" w:rsidRPr="00286079" w:rsidRDefault="009C1633" w:rsidP="009C1633">
            <w:pPr>
              <w:pStyle w:val="H23G"/>
              <w:keepNext w:val="0"/>
              <w:keepLines w:val="0"/>
              <w:tabs>
                <w:tab w:val="clear" w:pos="851"/>
              </w:tabs>
              <w:suppressAutoHyphens w:val="0"/>
              <w:spacing w:before="40" w:line="240" w:lineRule="atLeast"/>
              <w:ind w:left="0" w:right="113" w:firstLine="0"/>
              <w:outlineLvl w:val="9"/>
              <w:rPr>
                <w:b w:val="0"/>
              </w:rPr>
            </w:pPr>
          </w:p>
        </w:tc>
      </w:tr>
      <w:tr w:rsidR="009C1633" w:rsidRPr="003F2994" w14:paraId="07650BB8" w14:textId="77777777" w:rsidTr="009C1633">
        <w:trPr>
          <w:trHeight w:val="57"/>
        </w:trPr>
        <w:tc>
          <w:tcPr>
            <w:tcW w:w="7370" w:type="dxa"/>
            <w:tcBorders>
              <w:top w:val="nil"/>
              <w:bottom w:val="nil"/>
            </w:tcBorders>
            <w:shd w:val="clear" w:color="auto" w:fill="auto"/>
          </w:tcPr>
          <w:p w14:paraId="78CA63D6" w14:textId="77777777" w:rsidR="009C1633" w:rsidRPr="00286079" w:rsidRDefault="009C1633" w:rsidP="009C1633">
            <w:pPr>
              <w:spacing w:line="240" w:lineRule="auto"/>
              <w:ind w:right="113"/>
              <w:rPr>
                <w:i/>
                <w:sz w:val="16"/>
                <w:lang w:eastAsia="en-US"/>
              </w:rPr>
            </w:pPr>
          </w:p>
        </w:tc>
      </w:tr>
      <w:tr w:rsidR="009C1633" w:rsidRPr="003F2994" w14:paraId="6F80AA4E" w14:textId="77777777" w:rsidTr="009C1633">
        <w:trPr>
          <w:trHeight w:hRule="exact" w:val="113"/>
        </w:trPr>
        <w:tc>
          <w:tcPr>
            <w:tcW w:w="7370" w:type="dxa"/>
            <w:tcBorders>
              <w:top w:val="nil"/>
              <w:bottom w:val="single" w:sz="4" w:space="0" w:color="auto"/>
            </w:tcBorders>
            <w:shd w:val="clear" w:color="auto" w:fill="auto"/>
          </w:tcPr>
          <w:p w14:paraId="1D8E19CE" w14:textId="77777777" w:rsidR="009C1633" w:rsidRPr="00286079" w:rsidRDefault="009C1633" w:rsidP="00286079">
            <w:pPr>
              <w:spacing w:before="40" w:after="120" w:line="220" w:lineRule="exact"/>
              <w:ind w:right="113"/>
              <w:rPr>
                <w:i/>
                <w:sz w:val="16"/>
                <w:lang w:eastAsia="en-US"/>
              </w:rPr>
            </w:pPr>
          </w:p>
        </w:tc>
      </w:tr>
      <w:tr w:rsidR="003B110D" w:rsidRPr="003F2994" w14:paraId="7C8F38C9" w14:textId="77777777" w:rsidTr="009C1633">
        <w:tc>
          <w:tcPr>
            <w:tcW w:w="7370" w:type="dxa"/>
            <w:tcBorders>
              <w:top w:val="nil"/>
              <w:bottom w:val="single" w:sz="4" w:space="0" w:color="auto"/>
            </w:tcBorders>
            <w:shd w:val="clear" w:color="auto" w:fill="auto"/>
          </w:tcPr>
          <w:p w14:paraId="5145C479" w14:textId="77777777" w:rsidR="003B110D" w:rsidRPr="003F2994" w:rsidRDefault="003B110D" w:rsidP="00286079">
            <w:pPr>
              <w:spacing w:before="40" w:after="120" w:line="220" w:lineRule="exact"/>
              <w:ind w:right="113"/>
              <w:rPr>
                <w:i/>
                <w:sz w:val="16"/>
              </w:rPr>
            </w:pPr>
            <w:r w:rsidRPr="00286079">
              <w:rPr>
                <w:i/>
                <w:sz w:val="16"/>
                <w:lang w:eastAsia="en-US"/>
              </w:rPr>
              <w:t>Convención Internacional sobre la Eliminación de Todas las Formas de Discriminación Racial</w:t>
            </w:r>
          </w:p>
        </w:tc>
      </w:tr>
      <w:tr w:rsidR="003B110D" w:rsidRPr="003F2994" w14:paraId="64E7304E" w14:textId="77777777" w:rsidTr="00286079">
        <w:tc>
          <w:tcPr>
            <w:tcW w:w="7370" w:type="dxa"/>
            <w:tcBorders>
              <w:top w:val="single" w:sz="4" w:space="0" w:color="auto"/>
              <w:bottom w:val="nil"/>
            </w:tcBorders>
            <w:shd w:val="clear" w:color="auto" w:fill="auto"/>
          </w:tcPr>
          <w:p w14:paraId="1D826744" w14:textId="77777777" w:rsidR="003B110D" w:rsidRPr="00286079" w:rsidRDefault="003B110D" w:rsidP="004754E8">
            <w:pPr>
              <w:pStyle w:val="H23G"/>
              <w:keepNext w:val="0"/>
              <w:keepLines w:val="0"/>
              <w:tabs>
                <w:tab w:val="clear" w:pos="851"/>
              </w:tabs>
              <w:suppressAutoHyphens w:val="0"/>
              <w:spacing w:before="40" w:line="240" w:lineRule="atLeast"/>
              <w:ind w:left="0" w:right="113" w:firstLine="0"/>
              <w:outlineLvl w:val="9"/>
              <w:rPr>
                <w:bCs/>
              </w:rPr>
            </w:pPr>
            <w:r w:rsidRPr="009C1633">
              <w:t>Reserva</w:t>
            </w:r>
          </w:p>
          <w:p w14:paraId="2EC05314" w14:textId="77777777" w:rsidR="003B110D" w:rsidRPr="003F2994" w:rsidRDefault="003B110D" w:rsidP="009C1633">
            <w:pPr>
              <w:pStyle w:val="H4G"/>
              <w:keepNext w:val="0"/>
              <w:keepLines w:val="0"/>
              <w:tabs>
                <w:tab w:val="clear" w:pos="851"/>
              </w:tabs>
              <w:suppressAutoHyphens w:val="0"/>
              <w:spacing w:before="40" w:line="240" w:lineRule="atLeast"/>
              <w:ind w:left="0" w:right="113" w:firstLine="0"/>
              <w:outlineLvl w:val="9"/>
              <w:rPr>
                <w:i w:val="0"/>
                <w:iCs/>
              </w:rPr>
            </w:pPr>
            <w:r w:rsidRPr="003F2994">
              <w:rPr>
                <w:iCs/>
              </w:rPr>
              <w:t>Artículo 4 a)</w:t>
            </w:r>
          </w:p>
          <w:p w14:paraId="233FE2A9" w14:textId="77777777" w:rsidR="003B110D" w:rsidRPr="003F2994" w:rsidRDefault="003B110D" w:rsidP="00286079">
            <w:pPr>
              <w:spacing w:before="40" w:after="120"/>
              <w:ind w:right="113"/>
              <w:rPr>
                <w:i/>
                <w:sz w:val="16"/>
              </w:rPr>
            </w:pPr>
            <w:r w:rsidRPr="003F2994">
              <w:t>El Gobierno de Australia [...] declara que Australia no está por el momento en condiciones de considerar específicamente como delitos todos los actos previstos en el artículo 4 a) de la Convención. Esos actos son punibles únicamente con arreglo a la legislación penal vigente relativa a cuestiones como el mantenimiento del orden público, el vandalismo, la agresión, los disturbios, la difamación, la conspiración y los intentos de cometerlos. El Gobierno de Australia tiene intención de solicitar al Parlamento, en la primera ocasión oportuna, la aprobación de legislación que aplique específicamente lo dispuesto en el artículo 4 a).</w:t>
            </w:r>
          </w:p>
        </w:tc>
      </w:tr>
      <w:tr w:rsidR="003B110D" w:rsidRPr="003F2994" w14:paraId="3C54FE2E" w14:textId="77777777" w:rsidTr="00286079">
        <w:tc>
          <w:tcPr>
            <w:tcW w:w="7370" w:type="dxa"/>
            <w:tcBorders>
              <w:top w:val="nil"/>
              <w:bottom w:val="single" w:sz="4" w:space="0" w:color="auto"/>
            </w:tcBorders>
            <w:shd w:val="clear" w:color="auto" w:fill="auto"/>
          </w:tcPr>
          <w:p w14:paraId="1435020C" w14:textId="77777777" w:rsidR="003B110D" w:rsidRPr="003F2994" w:rsidRDefault="003B110D" w:rsidP="009C1633">
            <w:pPr>
              <w:pStyle w:val="H23G"/>
              <w:keepNext w:val="0"/>
              <w:keepLines w:val="0"/>
              <w:tabs>
                <w:tab w:val="clear" w:pos="851"/>
              </w:tabs>
              <w:suppressAutoHyphens w:val="0"/>
              <w:spacing w:before="40" w:line="240" w:lineRule="atLeast"/>
              <w:ind w:left="0" w:right="113" w:firstLine="0"/>
              <w:outlineLvl w:val="9"/>
              <w:rPr>
                <w:b w:val="0"/>
                <w:bCs/>
              </w:rPr>
            </w:pPr>
            <w:r w:rsidRPr="009C1633">
              <w:t>Declaración</w:t>
            </w:r>
          </w:p>
          <w:p w14:paraId="509C3471" w14:textId="77777777" w:rsidR="003B110D" w:rsidRPr="003F2994" w:rsidRDefault="003B110D" w:rsidP="00286079">
            <w:pPr>
              <w:spacing w:before="40" w:after="120"/>
              <w:ind w:right="113"/>
            </w:pPr>
            <w:r w:rsidRPr="003F2994">
              <w:t>El Gobierno de Australia declara que reconoce, en nombre y representación de todo el país, la competencia del Comité para la Eliminación de la Discriminación Racial para recibir y examinar comunicaciones de personas o grupos de personas comprendidas dentro de su jurisdicción, que alegaren ser víctimas de violaciones, por parte de Australia, de cualquiera de los derechos estipulados en la Convención (28 de enero de 1993).</w:t>
            </w:r>
          </w:p>
          <w:p w14:paraId="1394A1BB" w14:textId="77777777" w:rsidR="003B110D" w:rsidRPr="003F2994" w:rsidRDefault="003B110D" w:rsidP="009C1633">
            <w:pPr>
              <w:pStyle w:val="H23G"/>
              <w:keepNext w:val="0"/>
              <w:keepLines w:val="0"/>
              <w:tabs>
                <w:tab w:val="clear" w:pos="851"/>
              </w:tabs>
              <w:suppressAutoHyphens w:val="0"/>
              <w:spacing w:before="40" w:line="240" w:lineRule="atLeast"/>
              <w:ind w:left="0" w:right="113" w:firstLine="0"/>
              <w:outlineLvl w:val="9"/>
              <w:rPr>
                <w:b w:val="0"/>
                <w:bCs/>
              </w:rPr>
            </w:pPr>
            <w:r w:rsidRPr="009C1633">
              <w:t>Enmienda</w:t>
            </w:r>
          </w:p>
          <w:p w14:paraId="480D2BC5" w14:textId="77777777" w:rsidR="003B110D" w:rsidRPr="003F2994" w:rsidRDefault="003B110D" w:rsidP="006721B2">
            <w:pPr>
              <w:spacing w:before="40" w:after="120" w:line="360" w:lineRule="auto"/>
              <w:ind w:right="113"/>
            </w:pPr>
            <w:r w:rsidRPr="003F2994">
              <w:t>El 15 de octubre de 1993 se aprobó una enmienda al artículo 18.</w:t>
            </w:r>
          </w:p>
        </w:tc>
      </w:tr>
      <w:tr w:rsidR="003B110D" w:rsidRPr="003F2994" w14:paraId="0127D6DD" w14:textId="77777777" w:rsidTr="00286079">
        <w:tc>
          <w:tcPr>
            <w:tcW w:w="7370" w:type="dxa"/>
            <w:tcBorders>
              <w:top w:val="single" w:sz="4" w:space="0" w:color="auto"/>
              <w:bottom w:val="single" w:sz="4" w:space="0" w:color="auto"/>
            </w:tcBorders>
            <w:shd w:val="clear" w:color="auto" w:fill="auto"/>
          </w:tcPr>
          <w:p w14:paraId="23A80DD8" w14:textId="77777777" w:rsidR="003B110D" w:rsidRPr="003F2994" w:rsidRDefault="003B110D" w:rsidP="00286079">
            <w:pPr>
              <w:spacing w:before="40" w:after="120" w:line="220" w:lineRule="exact"/>
              <w:ind w:right="113"/>
              <w:rPr>
                <w:i/>
                <w:sz w:val="16"/>
              </w:rPr>
            </w:pPr>
            <w:r w:rsidRPr="00286079">
              <w:rPr>
                <w:i/>
                <w:sz w:val="16"/>
                <w:lang w:eastAsia="en-US"/>
              </w:rPr>
              <w:t>Convención sobre los Derechos del Niño</w:t>
            </w:r>
          </w:p>
        </w:tc>
      </w:tr>
      <w:tr w:rsidR="003B110D" w:rsidRPr="003F2994" w14:paraId="532011AA" w14:textId="77777777" w:rsidTr="004754E8">
        <w:tc>
          <w:tcPr>
            <w:tcW w:w="7370" w:type="dxa"/>
            <w:tcBorders>
              <w:top w:val="single" w:sz="4" w:space="0" w:color="auto"/>
              <w:bottom w:val="single" w:sz="4" w:space="0" w:color="auto"/>
            </w:tcBorders>
            <w:shd w:val="clear" w:color="auto" w:fill="auto"/>
          </w:tcPr>
          <w:p w14:paraId="706A8305" w14:textId="77777777" w:rsidR="003B110D" w:rsidRPr="004754E8" w:rsidRDefault="003B110D" w:rsidP="004754E8">
            <w:pPr>
              <w:pStyle w:val="H23G"/>
              <w:keepNext w:val="0"/>
              <w:keepLines w:val="0"/>
              <w:tabs>
                <w:tab w:val="clear" w:pos="851"/>
              </w:tabs>
              <w:suppressAutoHyphens w:val="0"/>
              <w:spacing w:before="40" w:line="240" w:lineRule="atLeast"/>
              <w:ind w:left="0" w:right="113" w:firstLine="0"/>
              <w:outlineLvl w:val="9"/>
              <w:rPr>
                <w:bCs/>
              </w:rPr>
            </w:pPr>
            <w:r w:rsidRPr="009C1633">
              <w:t>Reserva</w:t>
            </w:r>
          </w:p>
          <w:p w14:paraId="41315380" w14:textId="77777777" w:rsidR="003B110D" w:rsidRPr="003F2994" w:rsidRDefault="003B110D" w:rsidP="009C1633">
            <w:pPr>
              <w:pStyle w:val="H4G"/>
              <w:keepNext w:val="0"/>
              <w:keepLines w:val="0"/>
              <w:tabs>
                <w:tab w:val="clear" w:pos="851"/>
              </w:tabs>
              <w:suppressAutoHyphens w:val="0"/>
              <w:spacing w:before="40" w:line="240" w:lineRule="atLeast"/>
              <w:ind w:left="0" w:right="113" w:firstLine="0"/>
              <w:outlineLvl w:val="9"/>
              <w:rPr>
                <w:i w:val="0"/>
                <w:iCs/>
              </w:rPr>
            </w:pPr>
            <w:r w:rsidRPr="003F2994">
              <w:rPr>
                <w:iCs/>
              </w:rPr>
              <w:t>Artículo 37 c)</w:t>
            </w:r>
          </w:p>
          <w:p w14:paraId="1C5D1E1C" w14:textId="16A2F2C1" w:rsidR="003B110D" w:rsidRPr="004754E8" w:rsidRDefault="003B110D" w:rsidP="00286079">
            <w:pPr>
              <w:spacing w:before="40" w:after="120"/>
              <w:ind w:right="113"/>
              <w:rPr>
                <w:spacing w:val="-1"/>
              </w:rPr>
            </w:pPr>
            <w:r w:rsidRPr="004754E8">
              <w:rPr>
                <w:spacing w:val="-1"/>
              </w:rPr>
              <w:t>Australia acepta los principios generales establecidos en el artículo 37. En relación con la segunda oración del párrafo c), la obligación de separar a los niños privados de libertad de los adultos únicamente se acepta en la medida en que las autoridades responsables consideren que esa separación es factible y compatible con la obligación de que los niños puedan mantener el contacto con sus familias, teniendo en cuenta las características geográficas y demográficas de Australia. Por consiguiente, Australia ratifica la Convención con una reserva al cumplimiento de la obligación que impone el artículo</w:t>
            </w:r>
            <w:r w:rsidR="00286079" w:rsidRPr="004754E8">
              <w:rPr>
                <w:spacing w:val="-1"/>
              </w:rPr>
              <w:t> </w:t>
            </w:r>
            <w:r w:rsidRPr="004754E8">
              <w:rPr>
                <w:spacing w:val="-1"/>
              </w:rPr>
              <w:t>37</w:t>
            </w:r>
            <w:r w:rsidR="00286079" w:rsidRPr="004754E8">
              <w:rPr>
                <w:spacing w:val="-1"/>
              </w:rPr>
              <w:t> </w:t>
            </w:r>
            <w:r w:rsidRPr="004754E8">
              <w:rPr>
                <w:spacing w:val="-1"/>
              </w:rPr>
              <w:t>c).</w:t>
            </w:r>
          </w:p>
          <w:p w14:paraId="3B58CC06" w14:textId="77777777" w:rsidR="003B110D" w:rsidRPr="003F2994" w:rsidRDefault="003B110D" w:rsidP="009C1633">
            <w:pPr>
              <w:pStyle w:val="H23G"/>
              <w:keepNext w:val="0"/>
              <w:keepLines w:val="0"/>
              <w:tabs>
                <w:tab w:val="clear" w:pos="851"/>
              </w:tabs>
              <w:suppressAutoHyphens w:val="0"/>
              <w:spacing w:before="40" w:line="240" w:lineRule="atLeast"/>
              <w:ind w:left="0" w:right="113" w:firstLine="0"/>
              <w:outlineLvl w:val="9"/>
              <w:rPr>
                <w:b w:val="0"/>
                <w:bCs/>
              </w:rPr>
            </w:pPr>
            <w:r w:rsidRPr="009C1633">
              <w:t>Enmiendas</w:t>
            </w:r>
          </w:p>
          <w:p w14:paraId="5897D054" w14:textId="77777777" w:rsidR="003B110D" w:rsidRPr="003F2994" w:rsidRDefault="003B110D" w:rsidP="006721B2">
            <w:pPr>
              <w:spacing w:before="40" w:after="120" w:line="360" w:lineRule="auto"/>
              <w:ind w:right="113"/>
            </w:pPr>
            <w:r w:rsidRPr="003F2994">
              <w:t xml:space="preserve">La enmienda al artículo 43, párrafo 2, no se ha aprobado. </w:t>
            </w:r>
          </w:p>
        </w:tc>
      </w:tr>
      <w:tr w:rsidR="003B110D" w:rsidRPr="003F2994" w14:paraId="46A69011" w14:textId="77777777" w:rsidTr="004754E8">
        <w:tc>
          <w:tcPr>
            <w:tcW w:w="7370" w:type="dxa"/>
            <w:tcBorders>
              <w:top w:val="single" w:sz="4" w:space="0" w:color="auto"/>
              <w:bottom w:val="single" w:sz="4" w:space="0" w:color="auto"/>
            </w:tcBorders>
            <w:shd w:val="clear" w:color="auto" w:fill="auto"/>
          </w:tcPr>
          <w:p w14:paraId="105276DC" w14:textId="77777777" w:rsidR="003B110D" w:rsidRPr="003F2994" w:rsidRDefault="003B110D" w:rsidP="00286079">
            <w:pPr>
              <w:spacing w:before="40" w:after="120" w:line="220" w:lineRule="exact"/>
              <w:ind w:right="113"/>
              <w:rPr>
                <w:i/>
                <w:sz w:val="16"/>
              </w:rPr>
            </w:pPr>
            <w:r w:rsidRPr="00286079">
              <w:rPr>
                <w:i/>
                <w:sz w:val="16"/>
              </w:rPr>
              <w:t>Protocolo Facultativo de la Convención sobre los Derechos del Niño relativo a la participación de niños en los conflictos armados</w:t>
            </w:r>
          </w:p>
        </w:tc>
      </w:tr>
      <w:tr w:rsidR="003B110D" w:rsidRPr="003F2994" w14:paraId="5C8C8119" w14:textId="77777777" w:rsidTr="00555CBD">
        <w:tc>
          <w:tcPr>
            <w:tcW w:w="7370" w:type="dxa"/>
            <w:tcBorders>
              <w:top w:val="single" w:sz="4" w:space="0" w:color="auto"/>
              <w:bottom w:val="nil"/>
            </w:tcBorders>
            <w:shd w:val="clear" w:color="auto" w:fill="auto"/>
          </w:tcPr>
          <w:p w14:paraId="7EF1B437" w14:textId="77777777" w:rsidR="003B110D" w:rsidRPr="004754E8" w:rsidRDefault="003B110D" w:rsidP="004754E8">
            <w:pPr>
              <w:pStyle w:val="H23G"/>
              <w:keepNext w:val="0"/>
              <w:keepLines w:val="0"/>
              <w:tabs>
                <w:tab w:val="clear" w:pos="851"/>
              </w:tabs>
              <w:suppressAutoHyphens w:val="0"/>
              <w:spacing w:before="40" w:line="240" w:lineRule="atLeast"/>
              <w:ind w:left="0" w:right="113" w:firstLine="0"/>
              <w:outlineLvl w:val="9"/>
              <w:rPr>
                <w:bCs/>
              </w:rPr>
            </w:pPr>
            <w:r w:rsidRPr="009C1633">
              <w:t>Declaración</w:t>
            </w:r>
          </w:p>
          <w:p w14:paraId="199B8C3B" w14:textId="77777777" w:rsidR="003B110D" w:rsidRPr="003F2994" w:rsidRDefault="003B110D" w:rsidP="004754E8">
            <w:pPr>
              <w:spacing w:before="40" w:after="120"/>
              <w:ind w:right="113"/>
            </w:pPr>
            <w:r w:rsidRPr="003F2994">
              <w:t xml:space="preserve">Las Fuerzas de Defensa de Australia seguirán respetando una edad mínima de reclutamiento voluntario de 17 años. </w:t>
            </w:r>
          </w:p>
          <w:p w14:paraId="63DE2709" w14:textId="2411A0FA" w:rsidR="003B110D" w:rsidRPr="003F2994" w:rsidRDefault="003B110D" w:rsidP="004754E8">
            <w:pPr>
              <w:spacing w:before="40" w:after="120"/>
              <w:ind w:right="113"/>
            </w:pPr>
            <w:r w:rsidRPr="003F2994">
              <w:t xml:space="preserve">De conformidad con el artículo 3, párrafo 5, del Protocolo Facultativo, la norma sobre la edad mínima prevista en el párrafo 1 no se aplica a las escuelas militares. La Dirección General de Gestión de Carreras del Servicio mantiene una lista de los establecimientos autorizados, tanto militares como civiles (incluidos los destinados a la formación de reclutas), a los que se aplica esa exención. Tampoco se aplica a los programas de cadetes, cuyos miembros no son reclutados en las Fuerzas de Defensa de Australia y, por lo tanto, no pertenecen a ellas. </w:t>
            </w:r>
          </w:p>
        </w:tc>
      </w:tr>
      <w:tr w:rsidR="00555CBD" w:rsidRPr="003F2994" w14:paraId="1E9D017E" w14:textId="77777777" w:rsidTr="00555CBD">
        <w:tc>
          <w:tcPr>
            <w:tcW w:w="7370" w:type="dxa"/>
            <w:tcBorders>
              <w:top w:val="nil"/>
              <w:bottom w:val="nil"/>
            </w:tcBorders>
            <w:shd w:val="clear" w:color="auto" w:fill="auto"/>
          </w:tcPr>
          <w:p w14:paraId="5A0F78E0" w14:textId="083B0F04" w:rsidR="00555CBD" w:rsidRPr="00555CBD" w:rsidRDefault="00555CBD" w:rsidP="004754E8">
            <w:pPr>
              <w:spacing w:before="40" w:after="120"/>
              <w:ind w:right="113"/>
            </w:pPr>
            <w:r w:rsidRPr="00555CBD">
              <w:t>Las personas que deseen alistarse en las Fuerzas de Defensa de Australia deben presentar en la oficina de reclutamiento una copia original certificada de su partida de nacimiento. Para que se apruebe el reclutamiento en las Fuerzas de Defensa de Australia de menores de 18 años, se requiere el consentimiento informado por escrito de los padres o tutores.</w:t>
            </w:r>
          </w:p>
        </w:tc>
      </w:tr>
      <w:tr w:rsidR="004754E8" w:rsidRPr="003F2994" w14:paraId="741084B9" w14:textId="77777777" w:rsidTr="00555CBD">
        <w:tc>
          <w:tcPr>
            <w:tcW w:w="7370" w:type="dxa"/>
            <w:tcBorders>
              <w:top w:val="nil"/>
              <w:bottom w:val="single" w:sz="4" w:space="0" w:color="auto"/>
            </w:tcBorders>
            <w:shd w:val="clear" w:color="auto" w:fill="auto"/>
          </w:tcPr>
          <w:p w14:paraId="0AC9A01F" w14:textId="33F32A28" w:rsidR="004754E8" w:rsidRPr="00555CBD" w:rsidRDefault="004754E8" w:rsidP="004754E8">
            <w:pPr>
              <w:pStyle w:val="H23G"/>
              <w:keepNext w:val="0"/>
              <w:keepLines w:val="0"/>
              <w:tabs>
                <w:tab w:val="clear" w:pos="851"/>
              </w:tabs>
              <w:suppressAutoHyphens w:val="0"/>
              <w:spacing w:before="40" w:line="240" w:lineRule="atLeast"/>
              <w:ind w:left="0" w:right="113" w:firstLine="0"/>
              <w:outlineLvl w:val="9"/>
              <w:rPr>
                <w:b w:val="0"/>
              </w:rPr>
            </w:pPr>
            <w:r w:rsidRPr="00555CBD">
              <w:rPr>
                <w:b w:val="0"/>
              </w:rPr>
              <w:lastRenderedPageBreak/>
              <w:t>Toda persona que desee ingresar en las Fuerzas de Defensa de Australia debe estar plenamente informada de la naturaleza de sus futuras funciones y responsabilidades. El personal de las oficinas de reclutamiento debe cerciorarse de que la solicitud de ingreso presentada por los menores de 18 años es realmente voluntaria.</w:t>
            </w:r>
          </w:p>
        </w:tc>
      </w:tr>
      <w:tr w:rsidR="003B110D" w:rsidRPr="003F2994" w14:paraId="0EDC47CD" w14:textId="77777777" w:rsidTr="004754E8">
        <w:tc>
          <w:tcPr>
            <w:tcW w:w="7370" w:type="dxa"/>
            <w:tcBorders>
              <w:top w:val="single" w:sz="4" w:space="0" w:color="auto"/>
              <w:bottom w:val="single" w:sz="4" w:space="0" w:color="auto"/>
            </w:tcBorders>
            <w:shd w:val="clear" w:color="auto" w:fill="auto"/>
          </w:tcPr>
          <w:p w14:paraId="15418D74" w14:textId="77777777" w:rsidR="003B110D" w:rsidRPr="003F2994" w:rsidRDefault="003B110D" w:rsidP="00286079">
            <w:pPr>
              <w:spacing w:before="40" w:after="120" w:line="220" w:lineRule="exact"/>
              <w:ind w:right="113"/>
              <w:rPr>
                <w:i/>
                <w:sz w:val="16"/>
              </w:rPr>
            </w:pPr>
            <w:r w:rsidRPr="00286079">
              <w:rPr>
                <w:i/>
                <w:sz w:val="16"/>
              </w:rPr>
              <w:t>Convención sobre los Derechos de las Personas con Discapacidad</w:t>
            </w:r>
          </w:p>
        </w:tc>
      </w:tr>
      <w:tr w:rsidR="003B110D" w:rsidRPr="003F2994" w14:paraId="7D65811C" w14:textId="77777777" w:rsidTr="00286079">
        <w:tc>
          <w:tcPr>
            <w:tcW w:w="7370" w:type="dxa"/>
            <w:tcBorders>
              <w:top w:val="single" w:sz="4" w:space="0" w:color="auto"/>
              <w:bottom w:val="nil"/>
            </w:tcBorders>
            <w:shd w:val="clear" w:color="auto" w:fill="auto"/>
          </w:tcPr>
          <w:p w14:paraId="33BB40D7" w14:textId="77777777" w:rsidR="003B110D" w:rsidRPr="003F2994" w:rsidRDefault="003B110D" w:rsidP="009C1633">
            <w:pPr>
              <w:pStyle w:val="H23G"/>
              <w:keepNext w:val="0"/>
              <w:keepLines w:val="0"/>
              <w:tabs>
                <w:tab w:val="clear" w:pos="851"/>
              </w:tabs>
              <w:suppressAutoHyphens w:val="0"/>
              <w:spacing w:before="40" w:line="240" w:lineRule="atLeast"/>
              <w:ind w:left="0" w:right="113" w:firstLine="0"/>
              <w:outlineLvl w:val="9"/>
              <w:rPr>
                <w:b w:val="0"/>
                <w:bCs/>
              </w:rPr>
            </w:pPr>
            <w:r w:rsidRPr="009C1633">
              <w:t>Declaración</w:t>
            </w:r>
          </w:p>
          <w:p w14:paraId="31B348E1" w14:textId="2E9B4BF5" w:rsidR="003B110D" w:rsidRPr="003F2994" w:rsidRDefault="003B110D" w:rsidP="00286079">
            <w:pPr>
              <w:spacing w:before="40" w:after="120"/>
              <w:ind w:right="113"/>
            </w:pPr>
            <w:r w:rsidRPr="003F2994">
              <w:t>Australia reconoce que las personas con discapacidad tienen capacidad jurídica en igualdad de condiciones con las demás en todos los aspectos de la vida. Declara que entiende que la Convención permite mecanismos de apoyo para la adopción de decisiones y de sustitución en la adopción de decisiones, que prevén que las decisiones se tomen en nombre de una persona, únicamente cuando esos mecanismos sean necesarios, como último recurso y con sujeción a salvaguardias</w:t>
            </w:r>
            <w:r w:rsidR="00756938">
              <w:t>.</w:t>
            </w:r>
            <w:r w:rsidRPr="003F2994">
              <w:t xml:space="preserve"> </w:t>
            </w:r>
          </w:p>
          <w:p w14:paraId="45FFB23C" w14:textId="33887FD9" w:rsidR="003B110D" w:rsidRPr="003F2994" w:rsidRDefault="003B110D" w:rsidP="00286079">
            <w:pPr>
              <w:spacing w:before="40" w:after="120"/>
              <w:ind w:right="113"/>
              <w:rPr>
                <w:i/>
                <w:sz w:val="16"/>
              </w:rPr>
            </w:pPr>
            <w:r w:rsidRPr="003F2994">
              <w:t>También reconoce que toda persona con discapacidad tiene derecho a que se respete su integridad física y mental en igualdad de condiciones con las demás. Asimismo, declara que entiende que la Convención prevé la asistencia o el tratamiento obligatorios, incluidas las medidas adoptadas para el tratamiento de la discapacidad mental, cuando dicho tratamiento sea necesario, como último recurso y sujeto a salvaguardias</w:t>
            </w:r>
            <w:r w:rsidR="00756938">
              <w:t>.</w:t>
            </w:r>
          </w:p>
        </w:tc>
      </w:tr>
      <w:tr w:rsidR="003B110D" w:rsidRPr="003F2994" w14:paraId="1EECC7B2" w14:textId="77777777" w:rsidTr="00B54FCB">
        <w:tc>
          <w:tcPr>
            <w:tcW w:w="7370" w:type="dxa"/>
            <w:tcBorders>
              <w:top w:val="nil"/>
              <w:bottom w:val="single" w:sz="12" w:space="0" w:color="auto"/>
            </w:tcBorders>
            <w:shd w:val="clear" w:color="auto" w:fill="auto"/>
          </w:tcPr>
          <w:p w14:paraId="3A16FCCB" w14:textId="77777777" w:rsidR="003B110D" w:rsidRPr="003F2994" w:rsidRDefault="003B110D" w:rsidP="00286079">
            <w:pPr>
              <w:spacing w:before="40" w:after="120"/>
              <w:ind w:right="113"/>
            </w:pPr>
            <w:r w:rsidRPr="003F2994">
              <w:t>Australia reconoce el derecho de las personas con discapacidad a la libertad de desplazamiento, a la libertad para elegir su residencia y a una nacionalidad, en igualdad de condiciones con las demás. Además, declara que entiende que la Convención no otorga a una persona el derecho a entrar o permanecer en un país del que no sea nacional, ni repercute en los requisitos de salud exigidos por Australia a los no nacionales que deseen entrar o permanecer en el país, siempre que dichos requisitos se basen en criterios legítimos, objetivos y razonables.</w:t>
            </w:r>
          </w:p>
        </w:tc>
      </w:tr>
    </w:tbl>
    <w:p w14:paraId="7CB5CA3B" w14:textId="77777777" w:rsidR="003B110D" w:rsidRPr="009C1633" w:rsidRDefault="003B110D" w:rsidP="004754E8">
      <w:pPr>
        <w:suppressAutoHyphens/>
        <w:spacing w:before="120"/>
        <w:ind w:left="1134" w:right="1134" w:firstLine="170"/>
        <w:rPr>
          <w:sz w:val="16"/>
          <w:szCs w:val="18"/>
        </w:rPr>
      </w:pPr>
      <w:r w:rsidRPr="009C1633">
        <w:rPr>
          <w:sz w:val="18"/>
          <w:szCs w:val="18"/>
          <w:vertAlign w:val="superscript"/>
        </w:rPr>
        <w:t>1</w:t>
      </w:r>
      <w:r w:rsidRPr="009C1633">
        <w:rPr>
          <w:sz w:val="18"/>
          <w:szCs w:val="18"/>
        </w:rPr>
        <w:t xml:space="preserve"> Australia no ha formulado reservas al Pacto Internacional de Derechos Económicos, Sociales y Culturales, ni ha hecho declaraciones sobre el mismo, ni ha aprobado enmiendas de sus disposiciones.</w:t>
      </w:r>
    </w:p>
    <w:p w14:paraId="651C4014" w14:textId="77777777" w:rsidR="003B110D" w:rsidRPr="009C1633" w:rsidRDefault="003B110D" w:rsidP="004754E8">
      <w:pPr>
        <w:suppressAutoHyphens/>
        <w:ind w:left="1134" w:right="1134" w:firstLine="170"/>
        <w:rPr>
          <w:sz w:val="18"/>
          <w:szCs w:val="18"/>
        </w:rPr>
      </w:pPr>
      <w:r w:rsidRPr="009C1633">
        <w:rPr>
          <w:sz w:val="18"/>
          <w:szCs w:val="18"/>
          <w:vertAlign w:val="superscript"/>
        </w:rPr>
        <w:t>2</w:t>
      </w:r>
      <w:r w:rsidRPr="009C1633">
        <w:rPr>
          <w:sz w:val="18"/>
          <w:szCs w:val="18"/>
        </w:rPr>
        <w:t xml:space="preserve"> El 25 de octubre de 2018, el Parlamento Federal aprobó el Proyecto de Ley de Modificación de la Legislación sobre Derecho Civil y Justicia de 2018, por el que se derogó el artículo 43 de la Ley de Discriminación Sexual de 1984, que establecía excepciones a la discriminación contra las mujeres en relación con las funciones de combate, y se eliminaron todas las barreras que impedían a las mujeres desempeñar funciones de combate. Esto ha permitido que Australia retire su reserva a la Convención sobre la Eliminación de Todas las Formas de Discriminación contra la Mujer, puesto que ahora cumple las obligaciones establecidas en el artículo 11, párrafo 1 b), y en el artículo 11, párrafo 1 c).</w:t>
      </w:r>
    </w:p>
    <w:p w14:paraId="07D328D8" w14:textId="77777777" w:rsidR="003B110D" w:rsidRPr="003F2994" w:rsidRDefault="003B110D" w:rsidP="003B110D">
      <w:pPr>
        <w:pStyle w:val="SingleTxtG"/>
        <w:spacing w:line="360" w:lineRule="auto"/>
      </w:pPr>
      <w:r w:rsidRPr="003F2994">
        <w:br w:type="page"/>
      </w:r>
    </w:p>
    <w:p w14:paraId="4AD29752" w14:textId="77777777" w:rsidR="003B110D" w:rsidRPr="003F2994" w:rsidRDefault="003B110D" w:rsidP="004754E8">
      <w:pPr>
        <w:pStyle w:val="Ttulo1"/>
        <w:spacing w:line="240" w:lineRule="atLeast"/>
        <w:rPr>
          <w:lang w:val="es-ES"/>
        </w:rPr>
      </w:pPr>
      <w:r w:rsidRPr="003F2994">
        <w:rPr>
          <w:lang w:val="es-ES"/>
        </w:rPr>
        <w:lastRenderedPageBreak/>
        <w:t xml:space="preserve">Cuadro </w:t>
      </w:r>
      <w:proofErr w:type="spellStart"/>
      <w:r w:rsidRPr="003F2994">
        <w:rPr>
          <w:lang w:val="es-ES"/>
        </w:rPr>
        <w:t>A2</w:t>
      </w:r>
      <w:proofErr w:type="spellEnd"/>
    </w:p>
    <w:p w14:paraId="0C040F1E" w14:textId="77777777" w:rsidR="003B110D" w:rsidRPr="003F2994" w:rsidRDefault="003B110D" w:rsidP="003B110D">
      <w:pPr>
        <w:pStyle w:val="SingleTxtG"/>
        <w:spacing w:line="360" w:lineRule="auto"/>
        <w:rPr>
          <w:b/>
          <w:bCs/>
        </w:rPr>
      </w:pPr>
      <w:r w:rsidRPr="003F2994">
        <w:rPr>
          <w:b/>
          <w:bCs/>
        </w:rPr>
        <w:t>Otros instrumentos internacionales en los que Australia es parte</w:t>
      </w:r>
      <w:r w:rsidRPr="003F2994">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3B110D" w:rsidRPr="003F2994" w14:paraId="1B96563C" w14:textId="77777777" w:rsidTr="00B54FCB">
        <w:trPr>
          <w:cantSplit/>
        </w:trPr>
        <w:tc>
          <w:tcPr>
            <w:tcW w:w="7370" w:type="dxa"/>
            <w:tcBorders>
              <w:top w:val="single" w:sz="4" w:space="0" w:color="auto"/>
              <w:bottom w:val="single" w:sz="4" w:space="0" w:color="auto"/>
            </w:tcBorders>
            <w:shd w:val="clear" w:color="auto" w:fill="auto"/>
            <w:vAlign w:val="bottom"/>
          </w:tcPr>
          <w:p w14:paraId="12C49BB6" w14:textId="77777777" w:rsidR="003B110D" w:rsidRPr="00025EB9" w:rsidRDefault="003B110D" w:rsidP="004754E8">
            <w:pPr>
              <w:spacing w:before="80" w:after="80" w:line="200" w:lineRule="exact"/>
              <w:ind w:right="113"/>
              <w:rPr>
                <w:i/>
                <w:sz w:val="16"/>
                <w:lang w:eastAsia="en-US"/>
              </w:rPr>
            </w:pPr>
            <w:r w:rsidRPr="00025EB9">
              <w:rPr>
                <w:i/>
                <w:sz w:val="16"/>
                <w:lang w:eastAsia="en-US"/>
              </w:rPr>
              <w:t>Instrumentos de derechos humanos de las Naciones Unidas e instrumentos conexos</w:t>
            </w:r>
          </w:p>
        </w:tc>
      </w:tr>
      <w:tr w:rsidR="003B110D" w:rsidRPr="003F2994" w14:paraId="4856BC1D" w14:textId="77777777" w:rsidTr="00B54FCB">
        <w:tc>
          <w:tcPr>
            <w:tcW w:w="7370" w:type="dxa"/>
            <w:tcBorders>
              <w:top w:val="single" w:sz="4" w:space="0" w:color="auto"/>
              <w:bottom w:val="single" w:sz="4" w:space="0" w:color="auto"/>
            </w:tcBorders>
            <w:shd w:val="clear" w:color="auto" w:fill="auto"/>
          </w:tcPr>
          <w:p w14:paraId="7176E95A" w14:textId="77777777" w:rsidR="003B110D" w:rsidRPr="003F2994" w:rsidRDefault="003B110D" w:rsidP="00B54FCB">
            <w:pPr>
              <w:pStyle w:val="Bullet1G"/>
              <w:numPr>
                <w:ilvl w:val="0"/>
                <w:numId w:val="0"/>
              </w:numPr>
              <w:spacing w:before="40"/>
              <w:ind w:left="425" w:right="567" w:hanging="170"/>
            </w:pPr>
            <w:r w:rsidRPr="003F2994">
              <w:t>•</w:t>
            </w:r>
            <w:r w:rsidRPr="003F2994">
              <w:tab/>
              <w:t>Convención para la Prevención y la Sanción del Delito de Genocidio de 1948</w:t>
            </w:r>
          </w:p>
          <w:p w14:paraId="79E30C51" w14:textId="77777777" w:rsidR="003B110D" w:rsidRPr="003F2994" w:rsidRDefault="003B110D" w:rsidP="004754E8">
            <w:pPr>
              <w:pStyle w:val="Bullet1G"/>
              <w:numPr>
                <w:ilvl w:val="0"/>
                <w:numId w:val="0"/>
              </w:numPr>
              <w:ind w:left="425" w:right="567" w:hanging="170"/>
            </w:pPr>
            <w:r w:rsidRPr="003F2994">
              <w:t>•</w:t>
            </w:r>
            <w:r w:rsidRPr="003F2994">
              <w:tab/>
              <w:t>Convención sobre la Esclavitud de 1926, enmendada en 1955</w:t>
            </w:r>
          </w:p>
          <w:p w14:paraId="165C6B8D" w14:textId="77777777" w:rsidR="003B110D" w:rsidRPr="003F2994" w:rsidRDefault="003B110D" w:rsidP="004754E8">
            <w:pPr>
              <w:pStyle w:val="Bullet1G"/>
              <w:numPr>
                <w:ilvl w:val="0"/>
                <w:numId w:val="0"/>
              </w:numPr>
              <w:ind w:left="425" w:right="567" w:hanging="170"/>
            </w:pPr>
            <w:r w:rsidRPr="003F2994">
              <w:t>•</w:t>
            </w:r>
            <w:r w:rsidRPr="003F2994">
              <w:tab/>
              <w:t>Convención sobre el Estatuto de los Refugiados de 1951 y su Protocolo de 1967</w:t>
            </w:r>
          </w:p>
          <w:p w14:paraId="7296B7E4" w14:textId="77777777" w:rsidR="003B110D" w:rsidRPr="003F2994" w:rsidRDefault="003B110D" w:rsidP="004754E8">
            <w:pPr>
              <w:pStyle w:val="Bullet1G"/>
              <w:numPr>
                <w:ilvl w:val="0"/>
                <w:numId w:val="0"/>
              </w:numPr>
              <w:ind w:left="425" w:right="567" w:hanging="170"/>
            </w:pPr>
            <w:r w:rsidRPr="003F2994">
              <w:t>•</w:t>
            </w:r>
            <w:r w:rsidRPr="003F2994">
              <w:tab/>
              <w:t>Convención sobre los Derechos Políticos de la Mujer de 1954</w:t>
            </w:r>
          </w:p>
          <w:p w14:paraId="1B19A476" w14:textId="77777777" w:rsidR="003B110D" w:rsidRPr="003F2994" w:rsidRDefault="003B110D" w:rsidP="004754E8">
            <w:pPr>
              <w:pStyle w:val="Bullet1G"/>
              <w:numPr>
                <w:ilvl w:val="0"/>
                <w:numId w:val="0"/>
              </w:numPr>
              <w:ind w:left="425" w:right="567" w:hanging="170"/>
            </w:pPr>
            <w:r w:rsidRPr="003F2994">
              <w:t>•</w:t>
            </w:r>
            <w:r w:rsidRPr="003F2994">
              <w:tab/>
              <w:t>Convención sobre el Estatuto de los Apátridas de 1954</w:t>
            </w:r>
          </w:p>
          <w:p w14:paraId="41C6F572" w14:textId="77777777" w:rsidR="003B110D" w:rsidRPr="003F2994" w:rsidRDefault="003B110D" w:rsidP="004754E8">
            <w:pPr>
              <w:pStyle w:val="Bullet1G"/>
              <w:numPr>
                <w:ilvl w:val="0"/>
                <w:numId w:val="0"/>
              </w:numPr>
              <w:ind w:left="425" w:right="567" w:hanging="170"/>
            </w:pPr>
            <w:r w:rsidRPr="003F2994">
              <w:t>•</w:t>
            </w:r>
            <w:r w:rsidRPr="003F2994">
              <w:tab/>
              <w:t>Convención para Reducir los Casos de Apatridia de 1961</w:t>
            </w:r>
          </w:p>
          <w:p w14:paraId="08C2E132" w14:textId="77777777" w:rsidR="003B110D" w:rsidRPr="003F2994" w:rsidRDefault="003B110D" w:rsidP="004754E8">
            <w:pPr>
              <w:pStyle w:val="Bullet1G"/>
              <w:numPr>
                <w:ilvl w:val="0"/>
                <w:numId w:val="0"/>
              </w:numPr>
              <w:ind w:left="425" w:right="567" w:hanging="170"/>
            </w:pPr>
            <w:r w:rsidRPr="003F2994">
              <w:t>•</w:t>
            </w:r>
            <w:r w:rsidRPr="003F2994">
              <w:tab/>
              <w:t>Estatuto de Roma de la Corte Penal Internacional de 1998</w:t>
            </w:r>
          </w:p>
          <w:p w14:paraId="3745F948" w14:textId="77777777" w:rsidR="003B110D" w:rsidRPr="003F2994" w:rsidRDefault="003B110D" w:rsidP="004754E8">
            <w:pPr>
              <w:pStyle w:val="Bullet1G"/>
              <w:numPr>
                <w:ilvl w:val="0"/>
                <w:numId w:val="0"/>
              </w:numPr>
              <w:ind w:left="425" w:right="567" w:hanging="170"/>
            </w:pPr>
            <w:r w:rsidRPr="003F2994">
              <w:t>•</w:t>
            </w:r>
            <w:r w:rsidRPr="003F2994">
              <w:tab/>
              <w:t>Convención de las Naciones Unidas contra la Delincuencia Organizada Transnacional de 2000, su Protocolo contra el Tráfico Ilícito de Migrantes por Tierra, Mar y Aire, y su Protocolo para Prevenir, Reprimir y Sancionar la Trata de Personas, Especialmente Mujeres y Niños</w:t>
            </w:r>
          </w:p>
          <w:p w14:paraId="127908E4" w14:textId="77777777" w:rsidR="003B110D" w:rsidRPr="003F2994" w:rsidRDefault="003B110D" w:rsidP="004754E8">
            <w:pPr>
              <w:pStyle w:val="Bullet1G"/>
              <w:numPr>
                <w:ilvl w:val="0"/>
                <w:numId w:val="0"/>
              </w:numPr>
              <w:ind w:left="425" w:right="567" w:hanging="170"/>
            </w:pPr>
            <w:r w:rsidRPr="003F2994">
              <w:t>•</w:t>
            </w:r>
            <w:r w:rsidRPr="003F2994">
              <w:tab/>
              <w:t>Tratado de Marrakech para Facilitar el Acceso a las Obras Publicadas a las Personas Ciegas, con Discapacidad Visual o con Otras Dificultades para Acceder al Texto Impreso de 2016</w:t>
            </w:r>
          </w:p>
        </w:tc>
      </w:tr>
      <w:tr w:rsidR="003B110D" w:rsidRPr="003F2994" w14:paraId="172794FD" w14:textId="77777777" w:rsidTr="004754E8">
        <w:tc>
          <w:tcPr>
            <w:tcW w:w="7370" w:type="dxa"/>
            <w:tcBorders>
              <w:top w:val="single" w:sz="4" w:space="0" w:color="auto"/>
              <w:bottom w:val="single" w:sz="4" w:space="0" w:color="auto"/>
            </w:tcBorders>
            <w:shd w:val="clear" w:color="auto" w:fill="auto"/>
          </w:tcPr>
          <w:p w14:paraId="427B8199" w14:textId="77777777" w:rsidR="003B110D" w:rsidRPr="00025EB9" w:rsidRDefault="003B110D" w:rsidP="004754E8">
            <w:pPr>
              <w:spacing w:before="80" w:after="80" w:line="200" w:lineRule="exact"/>
              <w:ind w:right="113"/>
              <w:rPr>
                <w:i/>
                <w:sz w:val="16"/>
                <w:lang w:eastAsia="en-US"/>
              </w:rPr>
            </w:pPr>
            <w:r w:rsidRPr="00025EB9">
              <w:rPr>
                <w:i/>
                <w:sz w:val="16"/>
                <w:lang w:eastAsia="en-US"/>
              </w:rPr>
              <w:t>Convenios de la Organización Internacional del Trabajo en los que Australia es parte</w:t>
            </w:r>
          </w:p>
        </w:tc>
      </w:tr>
      <w:tr w:rsidR="003B110D" w:rsidRPr="003F2994" w14:paraId="1A1CAD75" w14:textId="77777777" w:rsidTr="004754E8">
        <w:tc>
          <w:tcPr>
            <w:tcW w:w="7370" w:type="dxa"/>
            <w:tcBorders>
              <w:top w:val="single" w:sz="4" w:space="0" w:color="auto"/>
              <w:bottom w:val="single" w:sz="4" w:space="0" w:color="auto"/>
            </w:tcBorders>
            <w:shd w:val="clear" w:color="auto" w:fill="auto"/>
          </w:tcPr>
          <w:p w14:paraId="648B6F8C" w14:textId="77777777" w:rsidR="003B110D" w:rsidRPr="003F2994" w:rsidRDefault="003B110D" w:rsidP="00B54FCB">
            <w:pPr>
              <w:pStyle w:val="Bullet1G"/>
              <w:numPr>
                <w:ilvl w:val="0"/>
                <w:numId w:val="0"/>
              </w:numPr>
              <w:spacing w:before="40"/>
              <w:ind w:left="425" w:right="567" w:hanging="170"/>
            </w:pPr>
            <w:r w:rsidRPr="003F2994">
              <w:t>•</w:t>
            </w:r>
            <w:r w:rsidRPr="003F2994">
              <w:tab/>
              <w:t>Convenio relativo al Trabajo Forzoso u Obligatorio, 1930 (núm. 29)</w:t>
            </w:r>
          </w:p>
          <w:p w14:paraId="54432C31" w14:textId="77777777" w:rsidR="003B110D" w:rsidRPr="003F2994" w:rsidRDefault="003B110D" w:rsidP="004754E8">
            <w:pPr>
              <w:pStyle w:val="Bullet1G"/>
              <w:numPr>
                <w:ilvl w:val="0"/>
                <w:numId w:val="0"/>
              </w:numPr>
              <w:ind w:left="425" w:right="567" w:hanging="170"/>
            </w:pPr>
            <w:r w:rsidRPr="003F2994">
              <w:t>•</w:t>
            </w:r>
            <w:r w:rsidRPr="003F2994">
              <w:tab/>
              <w:t>Convenio sobre la Inspección del Trabajo, 1947 (núm. 81)</w:t>
            </w:r>
          </w:p>
          <w:p w14:paraId="300347F1" w14:textId="77777777" w:rsidR="003B110D" w:rsidRPr="003F2994" w:rsidRDefault="003B110D" w:rsidP="004754E8">
            <w:pPr>
              <w:pStyle w:val="Bullet1G"/>
              <w:numPr>
                <w:ilvl w:val="0"/>
                <w:numId w:val="0"/>
              </w:numPr>
              <w:ind w:left="425" w:right="567" w:hanging="170"/>
            </w:pPr>
            <w:r w:rsidRPr="003F2994">
              <w:t>•</w:t>
            </w:r>
            <w:r w:rsidRPr="003F2994">
              <w:tab/>
              <w:t>Convenio sobre la Libertad Sindical y la Protección del Derecho de Sindicación, 1948 (núm. 87)</w:t>
            </w:r>
          </w:p>
          <w:p w14:paraId="08EBB0DC" w14:textId="77777777" w:rsidR="003B110D" w:rsidRPr="003F2994" w:rsidRDefault="003B110D" w:rsidP="004754E8">
            <w:pPr>
              <w:pStyle w:val="Bullet1G"/>
              <w:numPr>
                <w:ilvl w:val="0"/>
                <w:numId w:val="0"/>
              </w:numPr>
              <w:ind w:left="425" w:right="567" w:hanging="170"/>
            </w:pPr>
            <w:r w:rsidRPr="003F2994">
              <w:t>•</w:t>
            </w:r>
            <w:r w:rsidRPr="003F2994">
              <w:tab/>
              <w:t>Convenio sobre el Derecho de Sindicación y de Negociación Colectiva, 1949 (núm. 98)</w:t>
            </w:r>
          </w:p>
          <w:p w14:paraId="54ECA643" w14:textId="77777777" w:rsidR="003B110D" w:rsidRPr="003F2994" w:rsidRDefault="003B110D" w:rsidP="004754E8">
            <w:pPr>
              <w:pStyle w:val="Bullet1G"/>
              <w:numPr>
                <w:ilvl w:val="0"/>
                <w:numId w:val="0"/>
              </w:numPr>
              <w:ind w:left="425" w:right="567" w:hanging="170"/>
            </w:pPr>
            <w:r w:rsidRPr="003F2994">
              <w:t>•</w:t>
            </w:r>
            <w:r w:rsidRPr="003F2994">
              <w:tab/>
              <w:t>Convenio sobre Igualdad de Remuneración, 1951 (núm. 100)</w:t>
            </w:r>
          </w:p>
          <w:p w14:paraId="15B336FA" w14:textId="77777777" w:rsidR="003B110D" w:rsidRPr="003F2994" w:rsidRDefault="003B110D" w:rsidP="004754E8">
            <w:pPr>
              <w:pStyle w:val="Bullet1G"/>
              <w:numPr>
                <w:ilvl w:val="0"/>
                <w:numId w:val="0"/>
              </w:numPr>
              <w:ind w:left="425" w:right="567" w:hanging="170"/>
            </w:pPr>
            <w:r w:rsidRPr="003F2994">
              <w:t>•</w:t>
            </w:r>
            <w:r w:rsidRPr="003F2994">
              <w:tab/>
              <w:t>Convenio sobre la Abolición del Trabajo Forzoso, 1957 (núm. 105)</w:t>
            </w:r>
          </w:p>
          <w:p w14:paraId="1750D81C" w14:textId="77777777" w:rsidR="003B110D" w:rsidRPr="003F2994" w:rsidRDefault="003B110D" w:rsidP="004754E8">
            <w:pPr>
              <w:pStyle w:val="Bullet1G"/>
              <w:numPr>
                <w:ilvl w:val="0"/>
                <w:numId w:val="0"/>
              </w:numPr>
              <w:ind w:left="425" w:right="567" w:hanging="170"/>
            </w:pPr>
            <w:r w:rsidRPr="003F2994">
              <w:t>•</w:t>
            </w:r>
            <w:r w:rsidRPr="003F2994">
              <w:tab/>
              <w:t>Convenio sobre la Discriminación (Empleo y Ocupación), 1958 (núm. 111)</w:t>
            </w:r>
          </w:p>
          <w:p w14:paraId="137F61FF" w14:textId="77777777" w:rsidR="003B110D" w:rsidRPr="003F2994" w:rsidRDefault="003B110D" w:rsidP="004754E8">
            <w:pPr>
              <w:pStyle w:val="Bullet1G"/>
              <w:numPr>
                <w:ilvl w:val="0"/>
                <w:numId w:val="0"/>
              </w:numPr>
              <w:ind w:left="425" w:right="567" w:hanging="170"/>
            </w:pPr>
            <w:r w:rsidRPr="003F2994">
              <w:t>•</w:t>
            </w:r>
            <w:r w:rsidRPr="003F2994">
              <w:tab/>
              <w:t>Convenio sobre la Política del Empleo, 1964 (núm. 122)</w:t>
            </w:r>
          </w:p>
          <w:p w14:paraId="18DF337A" w14:textId="77777777" w:rsidR="003B110D" w:rsidRPr="003F2994" w:rsidRDefault="003B110D" w:rsidP="004754E8">
            <w:pPr>
              <w:pStyle w:val="Bullet1G"/>
              <w:numPr>
                <w:ilvl w:val="0"/>
                <w:numId w:val="0"/>
              </w:numPr>
              <w:ind w:left="425" w:right="567" w:hanging="170"/>
            </w:pPr>
            <w:r w:rsidRPr="003F2994">
              <w:t>•</w:t>
            </w:r>
            <w:r w:rsidRPr="003F2994">
              <w:tab/>
              <w:t>Convenio sobre la Fijación de Salarios Mínimos, 1970 (núm. 131)</w:t>
            </w:r>
          </w:p>
          <w:p w14:paraId="45C69FDE" w14:textId="77777777" w:rsidR="003B110D" w:rsidRPr="003F2994" w:rsidRDefault="003B110D" w:rsidP="004754E8">
            <w:pPr>
              <w:pStyle w:val="Bullet1G"/>
              <w:numPr>
                <w:ilvl w:val="0"/>
                <w:numId w:val="0"/>
              </w:numPr>
              <w:ind w:left="425" w:right="567" w:hanging="170"/>
            </w:pPr>
            <w:r w:rsidRPr="003F2994">
              <w:t>•</w:t>
            </w:r>
            <w:r w:rsidRPr="003F2994">
              <w:tab/>
              <w:t>Convenio sobre Seguridad y Salud de los Trabajadores, 1981 (núm. 155)</w:t>
            </w:r>
          </w:p>
          <w:p w14:paraId="6FEFEB9A" w14:textId="77777777" w:rsidR="003B110D" w:rsidRPr="003F2994" w:rsidRDefault="003B110D" w:rsidP="004754E8">
            <w:pPr>
              <w:pStyle w:val="Bullet1G"/>
              <w:numPr>
                <w:ilvl w:val="0"/>
                <w:numId w:val="0"/>
              </w:numPr>
              <w:ind w:left="425" w:right="567" w:hanging="170"/>
            </w:pPr>
            <w:r w:rsidRPr="003F2994">
              <w:t>•</w:t>
            </w:r>
            <w:r w:rsidRPr="003F2994">
              <w:tab/>
              <w:t>Convenio sobre la Igualdad de Oportunidades y de Trato entre Trabajadores y Trabajadoras: Trabajadores con Responsabilidades Familiares, 1981 (núm. 156)</w:t>
            </w:r>
          </w:p>
          <w:p w14:paraId="622E589F" w14:textId="77777777" w:rsidR="003B110D" w:rsidRPr="003F2994" w:rsidRDefault="003B110D" w:rsidP="004754E8">
            <w:pPr>
              <w:pStyle w:val="Bullet1G"/>
              <w:numPr>
                <w:ilvl w:val="0"/>
                <w:numId w:val="0"/>
              </w:numPr>
              <w:ind w:left="425" w:right="567" w:hanging="170"/>
            </w:pPr>
            <w:r w:rsidRPr="003F2994">
              <w:t>•</w:t>
            </w:r>
            <w:r w:rsidRPr="003F2994">
              <w:tab/>
              <w:t>Convenio sobre la Edad Mínima, 1973 (núm. 138)</w:t>
            </w:r>
          </w:p>
          <w:p w14:paraId="270AB856" w14:textId="77777777" w:rsidR="003B110D" w:rsidRPr="003F2994" w:rsidRDefault="003B110D" w:rsidP="004754E8">
            <w:pPr>
              <w:pStyle w:val="Bullet1G"/>
              <w:numPr>
                <w:ilvl w:val="0"/>
                <w:numId w:val="0"/>
              </w:numPr>
              <w:ind w:left="425" w:right="567" w:hanging="170"/>
            </w:pPr>
            <w:r w:rsidRPr="003F2994">
              <w:t>•</w:t>
            </w:r>
            <w:r w:rsidRPr="003F2994">
              <w:tab/>
              <w:t>Convenio sobre las Peores Formas de Trabajo Infantil, 1999 (núm. 182)</w:t>
            </w:r>
          </w:p>
          <w:p w14:paraId="614E7649" w14:textId="77777777" w:rsidR="003B110D" w:rsidRPr="003F2994" w:rsidRDefault="003B110D" w:rsidP="004754E8">
            <w:pPr>
              <w:pStyle w:val="Bullet1G"/>
              <w:numPr>
                <w:ilvl w:val="0"/>
                <w:numId w:val="0"/>
              </w:numPr>
              <w:ind w:left="425" w:right="567" w:hanging="170"/>
            </w:pPr>
            <w:r w:rsidRPr="003F2994">
              <w:t>•</w:t>
            </w:r>
            <w:r w:rsidRPr="003F2994">
              <w:tab/>
              <w:t>Convenio sobre la Violencia y el Acoso, 2019 (núm. 190)</w:t>
            </w:r>
          </w:p>
        </w:tc>
      </w:tr>
      <w:tr w:rsidR="003B110D" w:rsidRPr="003F2994" w14:paraId="31F8C9AD" w14:textId="77777777" w:rsidTr="004754E8">
        <w:tc>
          <w:tcPr>
            <w:tcW w:w="7370" w:type="dxa"/>
            <w:tcBorders>
              <w:top w:val="single" w:sz="4" w:space="0" w:color="auto"/>
              <w:bottom w:val="single" w:sz="4" w:space="0" w:color="auto"/>
            </w:tcBorders>
            <w:shd w:val="clear" w:color="auto" w:fill="auto"/>
          </w:tcPr>
          <w:p w14:paraId="59371A4C" w14:textId="77777777" w:rsidR="003B110D" w:rsidRPr="00025EB9" w:rsidRDefault="003B110D" w:rsidP="004754E8">
            <w:pPr>
              <w:spacing w:before="80" w:after="80" w:line="200" w:lineRule="exact"/>
              <w:ind w:right="113"/>
              <w:rPr>
                <w:i/>
                <w:sz w:val="16"/>
                <w:lang w:eastAsia="en-US"/>
              </w:rPr>
            </w:pPr>
            <w:r w:rsidRPr="00025EB9">
              <w:rPr>
                <w:i/>
                <w:sz w:val="16"/>
                <w:lang w:eastAsia="en-US"/>
              </w:rPr>
              <w:t>Convenciones de la Organización de las Naciones Unidas para la Educación, la Ciencia y la Cultura</w:t>
            </w:r>
          </w:p>
        </w:tc>
      </w:tr>
      <w:tr w:rsidR="003B110D" w:rsidRPr="003F2994" w14:paraId="15AFFAE7" w14:textId="77777777" w:rsidTr="004754E8">
        <w:tc>
          <w:tcPr>
            <w:tcW w:w="7370" w:type="dxa"/>
            <w:tcBorders>
              <w:top w:val="single" w:sz="4" w:space="0" w:color="auto"/>
              <w:bottom w:val="single" w:sz="4" w:space="0" w:color="auto"/>
            </w:tcBorders>
            <w:shd w:val="clear" w:color="auto" w:fill="auto"/>
          </w:tcPr>
          <w:p w14:paraId="305DB330" w14:textId="77777777" w:rsidR="003B110D" w:rsidRPr="003F2994" w:rsidRDefault="003B110D" w:rsidP="00B54FCB">
            <w:pPr>
              <w:pStyle w:val="Bullet1G"/>
              <w:numPr>
                <w:ilvl w:val="0"/>
                <w:numId w:val="0"/>
              </w:numPr>
              <w:spacing w:before="40"/>
              <w:ind w:left="425" w:right="567" w:hanging="170"/>
            </w:pPr>
            <w:r w:rsidRPr="003F2994">
              <w:t>•</w:t>
            </w:r>
            <w:r w:rsidRPr="003F2994">
              <w:tab/>
              <w:t>Convención relativa a la Lucha contra las Discriminaciones en la Esfera de la Enseñanza de 1960</w:t>
            </w:r>
          </w:p>
        </w:tc>
      </w:tr>
      <w:tr w:rsidR="003B110D" w:rsidRPr="003F2994" w14:paraId="2CC7508A" w14:textId="77777777" w:rsidTr="004754E8">
        <w:tc>
          <w:tcPr>
            <w:tcW w:w="7370" w:type="dxa"/>
            <w:tcBorders>
              <w:top w:val="single" w:sz="4" w:space="0" w:color="auto"/>
              <w:bottom w:val="single" w:sz="4" w:space="0" w:color="auto"/>
            </w:tcBorders>
            <w:shd w:val="clear" w:color="auto" w:fill="auto"/>
          </w:tcPr>
          <w:p w14:paraId="30684FBA" w14:textId="77777777" w:rsidR="003B110D" w:rsidRPr="004754E8" w:rsidRDefault="003B110D" w:rsidP="004754E8">
            <w:pPr>
              <w:keepNext/>
              <w:keepLines/>
              <w:spacing w:before="80" w:after="80" w:line="200" w:lineRule="exact"/>
              <w:ind w:right="113"/>
              <w:rPr>
                <w:i/>
                <w:sz w:val="16"/>
                <w:lang w:eastAsia="en-US"/>
              </w:rPr>
            </w:pPr>
            <w:r w:rsidRPr="004754E8">
              <w:rPr>
                <w:i/>
                <w:sz w:val="16"/>
                <w:lang w:eastAsia="en-US"/>
              </w:rPr>
              <w:lastRenderedPageBreak/>
              <w:t>Convenios de la Conferencia de La Haya de Derecho Internacional Privado</w:t>
            </w:r>
          </w:p>
        </w:tc>
      </w:tr>
      <w:tr w:rsidR="003B110D" w:rsidRPr="003F2994" w14:paraId="0A1A08FF" w14:textId="77777777" w:rsidTr="004754E8">
        <w:tc>
          <w:tcPr>
            <w:tcW w:w="7370" w:type="dxa"/>
            <w:tcBorders>
              <w:top w:val="single" w:sz="4" w:space="0" w:color="auto"/>
              <w:bottom w:val="single" w:sz="4" w:space="0" w:color="auto"/>
            </w:tcBorders>
            <w:shd w:val="clear" w:color="auto" w:fill="auto"/>
          </w:tcPr>
          <w:p w14:paraId="756979EC" w14:textId="104CB960" w:rsidR="003B110D" w:rsidRPr="003F2994" w:rsidRDefault="003B110D" w:rsidP="00B54FCB">
            <w:pPr>
              <w:pStyle w:val="Bullet1G"/>
              <w:keepNext/>
              <w:numPr>
                <w:ilvl w:val="0"/>
                <w:numId w:val="0"/>
              </w:numPr>
              <w:spacing w:before="40"/>
              <w:ind w:left="425" w:right="567" w:hanging="170"/>
            </w:pPr>
            <w:r w:rsidRPr="003F2994">
              <w:t>•</w:t>
            </w:r>
            <w:r w:rsidRPr="003F2994">
              <w:tab/>
              <w:t>Convenio sobre el Reconocimiento de Divorcios y de Separaciones Legales de</w:t>
            </w:r>
            <w:r w:rsidR="00B54FCB">
              <w:t> </w:t>
            </w:r>
            <w:r w:rsidRPr="003F2994">
              <w:t>1970</w:t>
            </w:r>
          </w:p>
          <w:p w14:paraId="6A7750FC" w14:textId="77777777" w:rsidR="003B110D" w:rsidRPr="003F2994" w:rsidRDefault="003B110D" w:rsidP="004754E8">
            <w:pPr>
              <w:pStyle w:val="Bullet1G"/>
              <w:keepNext/>
              <w:numPr>
                <w:ilvl w:val="0"/>
                <w:numId w:val="0"/>
              </w:numPr>
              <w:ind w:left="425" w:right="567" w:hanging="170"/>
            </w:pPr>
            <w:r w:rsidRPr="003F2994">
              <w:t>•</w:t>
            </w:r>
            <w:r w:rsidRPr="003F2994">
              <w:tab/>
              <w:t>Convenio sobre Reconocimiento y Ejecución de Resoluciones relativas a las Obligaciones Alimenticias de 1973</w:t>
            </w:r>
          </w:p>
          <w:p w14:paraId="7E6AD64B" w14:textId="77777777" w:rsidR="003B110D" w:rsidRPr="003F2994" w:rsidRDefault="003B110D" w:rsidP="004754E8">
            <w:pPr>
              <w:pStyle w:val="Bullet1G"/>
              <w:keepNext/>
              <w:numPr>
                <w:ilvl w:val="0"/>
                <w:numId w:val="0"/>
              </w:numPr>
              <w:ind w:left="425" w:right="567" w:hanging="170"/>
            </w:pPr>
            <w:r w:rsidRPr="003F2994">
              <w:t>•</w:t>
            </w:r>
            <w:r w:rsidRPr="003F2994">
              <w:tab/>
              <w:t>Convenio sobre los Aspectos Civiles de la Sustracción Internacional de Menores de 1980</w:t>
            </w:r>
          </w:p>
          <w:p w14:paraId="63ABFA06" w14:textId="77777777" w:rsidR="003B110D" w:rsidRPr="003F2994" w:rsidRDefault="003B110D" w:rsidP="004754E8">
            <w:pPr>
              <w:pStyle w:val="Bullet1G"/>
              <w:keepNext/>
              <w:numPr>
                <w:ilvl w:val="0"/>
                <w:numId w:val="0"/>
              </w:numPr>
              <w:ind w:left="425" w:right="567" w:hanging="170"/>
            </w:pPr>
            <w:r w:rsidRPr="003F2994">
              <w:t>•</w:t>
            </w:r>
            <w:r w:rsidRPr="003F2994">
              <w:tab/>
              <w:t>Convenio relativo a la Celebración y al Reconocimiento del Matrimonio de 1978</w:t>
            </w:r>
          </w:p>
          <w:p w14:paraId="57A39EE8" w14:textId="77777777" w:rsidR="003B110D" w:rsidRPr="003F2994" w:rsidRDefault="003B110D" w:rsidP="004754E8">
            <w:pPr>
              <w:pStyle w:val="Bullet1G"/>
              <w:keepNext/>
              <w:numPr>
                <w:ilvl w:val="0"/>
                <w:numId w:val="0"/>
              </w:numPr>
              <w:ind w:left="425" w:right="567" w:hanging="170"/>
            </w:pPr>
            <w:r w:rsidRPr="003F2994">
              <w:t>•</w:t>
            </w:r>
            <w:r w:rsidRPr="003F2994">
              <w:tab/>
              <w:t>Convenio relativo a la Protección del Niño y a la Cooperación en materia de Adopción Internacional de 1993</w:t>
            </w:r>
          </w:p>
          <w:p w14:paraId="3B14053F" w14:textId="77777777" w:rsidR="003B110D" w:rsidRPr="003F2994" w:rsidRDefault="003B110D" w:rsidP="004754E8">
            <w:pPr>
              <w:pStyle w:val="Bullet1G"/>
              <w:keepNext/>
              <w:numPr>
                <w:ilvl w:val="0"/>
                <w:numId w:val="0"/>
              </w:numPr>
              <w:ind w:left="425" w:right="567" w:hanging="170"/>
            </w:pPr>
            <w:r w:rsidRPr="003F2994">
              <w:t>•</w:t>
            </w:r>
            <w:r w:rsidRPr="003F2994">
              <w:tab/>
              <w:t>Convenio de La Haya relativo a la Competencia, la Ley Aplicable, el Reconocimiento, la Ejecución y la Cooperación en materia de Responsabilidad Parental y de Medidas de Protección de los Niños de 1996</w:t>
            </w:r>
          </w:p>
        </w:tc>
      </w:tr>
      <w:tr w:rsidR="003B110D" w:rsidRPr="003F2994" w14:paraId="2BCF3B40" w14:textId="77777777" w:rsidTr="004754E8">
        <w:tc>
          <w:tcPr>
            <w:tcW w:w="7370" w:type="dxa"/>
            <w:tcBorders>
              <w:top w:val="single" w:sz="4" w:space="0" w:color="auto"/>
              <w:bottom w:val="single" w:sz="4" w:space="0" w:color="auto"/>
            </w:tcBorders>
            <w:shd w:val="clear" w:color="auto" w:fill="auto"/>
          </w:tcPr>
          <w:p w14:paraId="23D7E093" w14:textId="77777777" w:rsidR="003B110D" w:rsidRPr="003F2994" w:rsidRDefault="003B110D" w:rsidP="004754E8">
            <w:pPr>
              <w:keepNext/>
              <w:keepLines/>
              <w:spacing w:before="80" w:after="80" w:line="200" w:lineRule="exact"/>
              <w:ind w:right="113"/>
              <w:rPr>
                <w:i/>
                <w:sz w:val="16"/>
              </w:rPr>
            </w:pPr>
            <w:r w:rsidRPr="004754E8">
              <w:rPr>
                <w:i/>
                <w:sz w:val="16"/>
                <w:lang w:eastAsia="en-US"/>
              </w:rPr>
              <w:t>Convenios de Ginebra y otros tratados de derecho internacional humanitario</w:t>
            </w:r>
          </w:p>
        </w:tc>
      </w:tr>
      <w:tr w:rsidR="003B110D" w:rsidRPr="003F2994" w14:paraId="7F2C9FA4" w14:textId="77777777" w:rsidTr="00B54FCB">
        <w:tc>
          <w:tcPr>
            <w:tcW w:w="7370" w:type="dxa"/>
            <w:tcBorders>
              <w:top w:val="single" w:sz="4" w:space="0" w:color="auto"/>
              <w:bottom w:val="single" w:sz="4" w:space="0" w:color="auto"/>
            </w:tcBorders>
            <w:shd w:val="clear" w:color="auto" w:fill="auto"/>
          </w:tcPr>
          <w:p w14:paraId="4820C38B" w14:textId="77777777" w:rsidR="003B110D" w:rsidRPr="003F2994" w:rsidRDefault="003B110D" w:rsidP="00B54FCB">
            <w:pPr>
              <w:pStyle w:val="Bullet1G"/>
              <w:keepNext/>
              <w:numPr>
                <w:ilvl w:val="0"/>
                <w:numId w:val="0"/>
              </w:numPr>
              <w:spacing w:before="40"/>
              <w:ind w:left="425" w:right="567" w:hanging="170"/>
            </w:pPr>
            <w:r w:rsidRPr="003F2994">
              <w:t>•</w:t>
            </w:r>
            <w:r w:rsidRPr="003F2994">
              <w:tab/>
              <w:t>Convenio de Ginebra del 12 de agosto de 1949 para Aliviar la Suerte que Corren los Heridos y los Enfermos de las Fuerzas Armadas en Campaña (Primer Convenio de Ginebra)</w:t>
            </w:r>
          </w:p>
          <w:p w14:paraId="2BFA754D" w14:textId="77777777" w:rsidR="003B110D" w:rsidRPr="003F2994" w:rsidRDefault="003B110D" w:rsidP="004754E8">
            <w:pPr>
              <w:pStyle w:val="Bullet1G"/>
              <w:keepNext/>
              <w:numPr>
                <w:ilvl w:val="0"/>
                <w:numId w:val="0"/>
              </w:numPr>
              <w:ind w:left="425" w:right="567" w:hanging="170"/>
            </w:pPr>
            <w:r w:rsidRPr="003F2994">
              <w:t>•</w:t>
            </w:r>
            <w:r w:rsidRPr="003F2994">
              <w:tab/>
              <w:t>Convenio de Ginebra del 12 de agosto de 1949 para Aliviar la Suerte que Corren los Heridos, los Enfermos y los Náufragos de las Fuerzas Armadas en el Mar (Segundo Convenio de Ginebra)</w:t>
            </w:r>
          </w:p>
          <w:p w14:paraId="4272E197" w14:textId="77777777" w:rsidR="003B110D" w:rsidRPr="003F2994" w:rsidRDefault="003B110D" w:rsidP="004754E8">
            <w:pPr>
              <w:pStyle w:val="Bullet1G"/>
              <w:keepNext/>
              <w:numPr>
                <w:ilvl w:val="0"/>
                <w:numId w:val="0"/>
              </w:numPr>
              <w:ind w:left="425" w:right="567" w:hanging="170"/>
            </w:pPr>
            <w:r w:rsidRPr="003F2994">
              <w:t>•</w:t>
            </w:r>
            <w:r w:rsidRPr="003F2994">
              <w:tab/>
              <w:t>Convenio de Ginebra del 12 de agosto de 1949 relativo al Trato debido a los Prisioneros de Guerra (Tercer Convenio de Ginebra)</w:t>
            </w:r>
          </w:p>
          <w:p w14:paraId="4C4536CC" w14:textId="77777777" w:rsidR="003B110D" w:rsidRPr="003F2994" w:rsidRDefault="003B110D" w:rsidP="004754E8">
            <w:pPr>
              <w:pStyle w:val="Bullet1G"/>
              <w:keepNext/>
              <w:numPr>
                <w:ilvl w:val="0"/>
                <w:numId w:val="0"/>
              </w:numPr>
              <w:ind w:left="425" w:right="567" w:hanging="170"/>
            </w:pPr>
            <w:r w:rsidRPr="003F2994">
              <w:t>•</w:t>
            </w:r>
            <w:r w:rsidRPr="003F2994">
              <w:tab/>
              <w:t>Convenio de Ginebra del 12 de agosto de 1949 relativo a la Protección debida a las Personas Civiles en Tiempo de Guerra (Cuarto Convenio de Ginebra)</w:t>
            </w:r>
          </w:p>
          <w:p w14:paraId="1653FAE4" w14:textId="77777777" w:rsidR="003B110D" w:rsidRPr="003F2994" w:rsidRDefault="003B110D" w:rsidP="004754E8">
            <w:pPr>
              <w:pStyle w:val="Bullet1G"/>
              <w:keepNext/>
              <w:numPr>
                <w:ilvl w:val="0"/>
                <w:numId w:val="0"/>
              </w:numPr>
              <w:ind w:left="425" w:right="567" w:hanging="170"/>
            </w:pPr>
            <w:r w:rsidRPr="003F2994">
              <w:t>•</w:t>
            </w:r>
            <w:r w:rsidRPr="003F2994">
              <w:tab/>
              <w:t>Protocolo Adicional a los Convenios de Ginebra del 12 de agosto de 1949 relativo a la Protección de las Víctimas de los Conflictos Armados Internacionales (Protocolo I) de 1977</w:t>
            </w:r>
          </w:p>
          <w:p w14:paraId="2ECCBAF2" w14:textId="77777777" w:rsidR="003B110D" w:rsidRPr="003F2994" w:rsidRDefault="003B110D" w:rsidP="004754E8">
            <w:pPr>
              <w:pStyle w:val="Bullet1G"/>
              <w:keepNext/>
              <w:numPr>
                <w:ilvl w:val="0"/>
                <w:numId w:val="0"/>
              </w:numPr>
              <w:ind w:left="425" w:right="567" w:hanging="170"/>
            </w:pPr>
            <w:r w:rsidRPr="003F2994">
              <w:t>•</w:t>
            </w:r>
            <w:r w:rsidRPr="003F2994">
              <w:tab/>
              <w:t>Protocolo Adicional a los Convenios de Ginebra del 12 de agosto de 1949 relativo a la Protección de las Víctimas de los Conflictos Armados Sin Carácter Internacional (Protocolo II) de 1977</w:t>
            </w:r>
          </w:p>
        </w:tc>
      </w:tr>
    </w:tbl>
    <w:p w14:paraId="6DF54C96" w14:textId="77777777" w:rsidR="003B110D" w:rsidRPr="003F2994" w:rsidRDefault="003B110D" w:rsidP="003B110D">
      <w:pPr>
        <w:spacing w:before="240" w:line="360" w:lineRule="auto"/>
        <w:jc w:val="center"/>
        <w:rPr>
          <w:u w:val="single"/>
        </w:rPr>
      </w:pPr>
      <w:r w:rsidRPr="003F2994">
        <w:rPr>
          <w:u w:val="single"/>
        </w:rPr>
        <w:tab/>
      </w:r>
      <w:r w:rsidRPr="003F2994">
        <w:rPr>
          <w:u w:val="single"/>
        </w:rPr>
        <w:tab/>
      </w:r>
      <w:r w:rsidRPr="003F2994">
        <w:rPr>
          <w:u w:val="single"/>
        </w:rPr>
        <w:tab/>
      </w:r>
      <w:bookmarkEnd w:id="2"/>
    </w:p>
    <w:sectPr w:rsidR="003B110D" w:rsidRPr="003F2994" w:rsidSect="003B110D">
      <w:headerReference w:type="even" r:id="rId43"/>
      <w:headerReference w:type="default" r:id="rId44"/>
      <w:footerReference w:type="even" r:id="rId45"/>
      <w:footerReference w:type="default" r:id="rId46"/>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05FEB" w14:textId="77777777" w:rsidR="009023AF" w:rsidRPr="00AC76E8" w:rsidRDefault="009023AF" w:rsidP="00AC76E8">
      <w:pPr>
        <w:pStyle w:val="Piedepgina"/>
      </w:pPr>
    </w:p>
  </w:endnote>
  <w:endnote w:type="continuationSeparator" w:id="0">
    <w:p w14:paraId="277F7C70" w14:textId="77777777" w:rsidR="009023AF" w:rsidRPr="00AC76E8" w:rsidRDefault="009023AF"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774B1" w14:textId="5A97DDB3" w:rsidR="009066E8" w:rsidRDefault="000C706A" w:rsidP="002370A4">
    <w:pPr>
      <w:pStyle w:val="Piedepgina"/>
      <w:tabs>
        <w:tab w:val="right" w:pos="9638"/>
      </w:tabs>
    </w:pPr>
    <w:r w:rsidRPr="000C706A">
      <w:rPr>
        <w:b/>
        <w:sz w:val="18"/>
      </w:rPr>
      <w:fldChar w:fldCharType="begin"/>
    </w:r>
    <w:r w:rsidRPr="000C706A">
      <w:rPr>
        <w:b/>
        <w:sz w:val="18"/>
      </w:rPr>
      <w:instrText xml:space="preserve"> PAGE  \* MERGEFORMAT </w:instrText>
    </w:r>
    <w:r w:rsidRPr="000C706A">
      <w:rPr>
        <w:b/>
        <w:sz w:val="18"/>
      </w:rPr>
      <w:fldChar w:fldCharType="separate"/>
    </w:r>
    <w:r w:rsidRPr="000C706A">
      <w:rPr>
        <w:b/>
        <w:noProof/>
        <w:sz w:val="18"/>
      </w:rPr>
      <w:t>2</w:t>
    </w:r>
    <w:r w:rsidRPr="000C706A">
      <w:rPr>
        <w:b/>
        <w:sz w:val="18"/>
      </w:rPr>
      <w:fldChar w:fldCharType="end"/>
    </w:r>
    <w:r>
      <w:rPr>
        <w:b/>
        <w:sz w:val="18"/>
      </w:rPr>
      <w:tab/>
    </w:r>
    <w:proofErr w:type="spellStart"/>
    <w:r>
      <w:t>GE.24</w:t>
    </w:r>
    <w:proofErr w:type="spellEnd"/>
    <w:r>
      <w:t>-08945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BA4E8" w14:textId="524330D6" w:rsidR="009066E8" w:rsidRDefault="000C706A" w:rsidP="002370A4">
    <w:pPr>
      <w:pStyle w:val="Piedepgina"/>
      <w:tabs>
        <w:tab w:val="right" w:pos="9638"/>
      </w:tabs>
    </w:pPr>
    <w:proofErr w:type="spellStart"/>
    <w:r>
      <w:t>GE.24</w:t>
    </w:r>
    <w:proofErr w:type="spellEnd"/>
    <w:r>
      <w:t>-08945</w:t>
    </w:r>
    <w:r>
      <w:tab/>
    </w:r>
    <w:r w:rsidRPr="000C706A">
      <w:rPr>
        <w:b/>
        <w:sz w:val="18"/>
      </w:rPr>
      <w:fldChar w:fldCharType="begin"/>
    </w:r>
    <w:r w:rsidRPr="000C706A">
      <w:rPr>
        <w:b/>
        <w:sz w:val="18"/>
      </w:rPr>
      <w:instrText xml:space="preserve"> PAGE  \* MERGEFORMAT </w:instrText>
    </w:r>
    <w:r w:rsidRPr="000C706A">
      <w:rPr>
        <w:b/>
        <w:sz w:val="18"/>
      </w:rPr>
      <w:fldChar w:fldCharType="separate"/>
    </w:r>
    <w:r w:rsidRPr="000C706A">
      <w:rPr>
        <w:b/>
        <w:noProof/>
        <w:sz w:val="18"/>
      </w:rPr>
      <w:t>3</w:t>
    </w:r>
    <w:r w:rsidRPr="000C70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8948F" w14:textId="250A80AE" w:rsidR="00666938" w:rsidRPr="000C706A" w:rsidRDefault="000C706A" w:rsidP="000C706A">
    <w:pPr>
      <w:pStyle w:val="Piedepgina"/>
      <w:spacing w:before="120" w:line="240" w:lineRule="auto"/>
      <w:rPr>
        <w:sz w:val="20"/>
      </w:rPr>
    </w:pPr>
    <w:proofErr w:type="spellStart"/>
    <w:r>
      <w:rPr>
        <w:sz w:val="20"/>
      </w:rPr>
      <w:t>GE.</w:t>
    </w:r>
    <w:r w:rsidR="0095700F">
      <w:rPr>
        <w:noProof/>
      </w:rPr>
      <w:drawing>
        <wp:anchor distT="0" distB="0" distL="114300" distR="114300" simplePos="0" relativeHeight="251657728" behindDoc="0" locked="1" layoutInCell="1" allowOverlap="1" wp14:anchorId="51AEE2DC" wp14:editId="27664265">
          <wp:simplePos x="0" y="0"/>
          <wp:positionH relativeFrom="margin">
            <wp:posOffset>4319905</wp:posOffset>
          </wp:positionH>
          <wp:positionV relativeFrom="margin">
            <wp:posOffset>9144000</wp:posOffset>
          </wp:positionV>
          <wp:extent cx="1085850" cy="228600"/>
          <wp:effectExtent l="0" t="0" r="0" b="0"/>
          <wp:wrapNone/>
          <wp:docPr id="14" name="Imagen 1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-08945  (S)</w:t>
    </w:r>
    <w:r>
      <w:rPr>
        <w:noProof/>
        <w:sz w:val="20"/>
      </w:rPr>
      <w:drawing>
        <wp:anchor distT="0" distB="0" distL="114300" distR="114300" simplePos="0" relativeHeight="251658752" behindDoc="0" locked="0" layoutInCell="1" allowOverlap="1" wp14:anchorId="52BAC4BF" wp14:editId="54F494C4">
          <wp:simplePos x="0" y="0"/>
          <wp:positionH relativeFrom="margin">
            <wp:posOffset>5489575</wp:posOffset>
          </wp:positionH>
          <wp:positionV relativeFrom="margin">
            <wp:posOffset>8891905</wp:posOffset>
          </wp:positionV>
          <wp:extent cx="628650" cy="628650"/>
          <wp:effectExtent l="0" t="0" r="0" b="0"/>
          <wp:wrapNone/>
          <wp:docPr id="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260724    </w:t>
    </w:r>
    <w:r w:rsidR="005E3CF7">
      <w:rPr>
        <w:sz w:val="20"/>
      </w:rPr>
      <w:t>31</w:t>
    </w:r>
    <w:r>
      <w:rPr>
        <w:sz w:val="20"/>
      </w:rPr>
      <w:t>0724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DC098" w14:textId="349C1255" w:rsidR="00D045C4" w:rsidRPr="00D045C4" w:rsidRDefault="00D045C4" w:rsidP="00D045C4">
    <w:pPr>
      <w:pStyle w:val="Piedepgina"/>
      <w:tabs>
        <w:tab w:val="right" w:pos="9638"/>
      </w:tabs>
    </w:pPr>
    <w:r w:rsidRPr="000C706A">
      <w:rPr>
        <w:b/>
        <w:sz w:val="18"/>
      </w:rPr>
      <w:fldChar w:fldCharType="begin"/>
    </w:r>
    <w:r w:rsidRPr="000C706A">
      <w:rPr>
        <w:b/>
        <w:sz w:val="18"/>
      </w:rPr>
      <w:instrText xml:space="preserve"> PAGE  \* MERGEFORMAT </w:instrText>
    </w:r>
    <w:r w:rsidRPr="000C706A">
      <w:rPr>
        <w:b/>
        <w:sz w:val="18"/>
      </w:rPr>
      <w:fldChar w:fldCharType="separate"/>
    </w:r>
    <w:r>
      <w:rPr>
        <w:b/>
        <w:sz w:val="18"/>
      </w:rPr>
      <w:t>50</w:t>
    </w:r>
    <w:r w:rsidRPr="000C706A">
      <w:rPr>
        <w:b/>
        <w:sz w:val="18"/>
      </w:rPr>
      <w:fldChar w:fldCharType="end"/>
    </w:r>
    <w:r>
      <w:rPr>
        <w:b/>
        <w:sz w:val="18"/>
      </w:rPr>
      <w:tab/>
    </w:r>
    <w:proofErr w:type="spellStart"/>
    <w:r>
      <w:t>GE.24</w:t>
    </w:r>
    <w:proofErr w:type="spellEnd"/>
    <w:r>
      <w:t>-08945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60E0E" w14:textId="77777777" w:rsidR="00D045C4" w:rsidRPr="00085CAD" w:rsidRDefault="00D045C4" w:rsidP="00085CAD">
    <w:pPr>
      <w:pStyle w:val="Piedepgina"/>
      <w:tabs>
        <w:tab w:val="right" w:pos="9638"/>
      </w:tabs>
    </w:pPr>
    <w:r w:rsidRPr="000C706A">
      <w:rPr>
        <w:b/>
        <w:sz w:val="18"/>
      </w:rPr>
      <w:fldChar w:fldCharType="begin"/>
    </w:r>
    <w:r w:rsidRPr="000C706A">
      <w:rPr>
        <w:b/>
        <w:sz w:val="18"/>
      </w:rPr>
      <w:instrText xml:space="preserve"> PAGE  \* MERGEFORMAT </w:instrText>
    </w:r>
    <w:r w:rsidRPr="000C706A">
      <w:rPr>
        <w:b/>
        <w:sz w:val="18"/>
      </w:rPr>
      <w:fldChar w:fldCharType="separate"/>
    </w:r>
    <w:r>
      <w:rPr>
        <w:b/>
        <w:sz w:val="18"/>
      </w:rPr>
      <w:t>48</w:t>
    </w:r>
    <w:r w:rsidRPr="000C706A">
      <w:rPr>
        <w:b/>
        <w:sz w:val="18"/>
      </w:rPr>
      <w:fldChar w:fldCharType="end"/>
    </w:r>
    <w:r>
      <w:rPr>
        <w:b/>
        <w:sz w:val="18"/>
      </w:rPr>
      <w:tab/>
    </w:r>
    <w:proofErr w:type="spellStart"/>
    <w:r>
      <w:t>GE.24</w:t>
    </w:r>
    <w:proofErr w:type="spellEnd"/>
    <w:r>
      <w:t>-08945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1B387" w14:textId="2F2F46F9" w:rsidR="00A270B2" w:rsidRPr="00A270B2" w:rsidRDefault="00A270B2" w:rsidP="00A270B2">
    <w:pPr>
      <w:pStyle w:val="Piedepgina"/>
    </w:pPr>
    <w:r>
      <w:rPr>
        <w:noProof/>
      </w:rPr>
      <mc:AlternateContent>
        <mc:Choice Requires="wps">
          <w:drawing>
            <wp:anchor distT="0" distB="0" distL="114300" distR="114300" simplePos="0" relativeHeight="251668992" behindDoc="0" locked="0" layoutInCell="1" allowOverlap="1" wp14:anchorId="43C29899" wp14:editId="1DB22550">
              <wp:simplePos x="0" y="0"/>
              <wp:positionH relativeFrom="margin">
                <wp:posOffset>-431800</wp:posOffset>
              </wp:positionH>
              <wp:positionV relativeFrom="margin">
                <wp:posOffset>0</wp:posOffset>
              </wp:positionV>
              <wp:extent cx="215900" cy="612013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424D368" w14:textId="77777777" w:rsidR="00A270B2" w:rsidRPr="00D045C4" w:rsidRDefault="00A270B2" w:rsidP="00A270B2">
                          <w:pPr>
                            <w:pStyle w:val="Piedepgina"/>
                            <w:tabs>
                              <w:tab w:val="right" w:pos="9638"/>
                            </w:tabs>
                          </w:pPr>
                          <w:r w:rsidRPr="000C706A">
                            <w:rPr>
                              <w:b/>
                              <w:sz w:val="18"/>
                            </w:rPr>
                            <w:fldChar w:fldCharType="begin"/>
                          </w:r>
                          <w:r w:rsidRPr="000C706A">
                            <w:rPr>
                              <w:b/>
                              <w:sz w:val="18"/>
                            </w:rPr>
                            <w:instrText xml:space="preserve"> PAGE  \* MERGEFORMAT </w:instrText>
                          </w:r>
                          <w:r w:rsidRPr="000C706A">
                            <w:rPr>
                              <w:b/>
                              <w:sz w:val="18"/>
                            </w:rPr>
                            <w:fldChar w:fldCharType="separate"/>
                          </w:r>
                          <w:r>
                            <w:rPr>
                              <w:b/>
                              <w:sz w:val="18"/>
                            </w:rPr>
                            <w:t>54</w:t>
                          </w:r>
                          <w:r w:rsidRPr="000C706A">
                            <w:rPr>
                              <w:b/>
                              <w:sz w:val="18"/>
                            </w:rPr>
                            <w:fldChar w:fldCharType="end"/>
                          </w:r>
                          <w:r>
                            <w:rPr>
                              <w:b/>
                              <w:sz w:val="18"/>
                            </w:rPr>
                            <w:tab/>
                          </w:r>
                          <w:proofErr w:type="spellStart"/>
                          <w:r>
                            <w:t>GE.24</w:t>
                          </w:r>
                          <w:proofErr w:type="spellEnd"/>
                          <w:r>
                            <w:t>-08945</w:t>
                          </w:r>
                        </w:p>
                        <w:p w14:paraId="53CAD5E5" w14:textId="77777777" w:rsidR="00A270B2" w:rsidRDefault="00A270B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3C29899" id="_x0000_t202" coordsize="21600,21600" o:spt="202" path="m,l,21600r21600,l21600,xe">
              <v:stroke joinstyle="miter"/>
              <v:path gradientshapeok="t" o:connecttype="rect"/>
            </v:shapetype>
            <v:shape id="Cuadro de texto 9" o:spid="_x0000_s1028" type="#_x0000_t202" style="position:absolute;margin-left:-34pt;margin-top:0;width:17pt;height:481.9pt;z-index:25166899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424D368" w14:textId="77777777" w:rsidR="00A270B2" w:rsidRPr="00D045C4" w:rsidRDefault="00A270B2" w:rsidP="00A270B2">
                    <w:pPr>
                      <w:pStyle w:val="Piedepgina"/>
                      <w:tabs>
                        <w:tab w:val="right" w:pos="9638"/>
                      </w:tabs>
                    </w:pPr>
                    <w:r w:rsidRPr="000C706A">
                      <w:rPr>
                        <w:b/>
                        <w:sz w:val="18"/>
                      </w:rPr>
                      <w:fldChar w:fldCharType="begin"/>
                    </w:r>
                    <w:r w:rsidRPr="000C706A">
                      <w:rPr>
                        <w:b/>
                        <w:sz w:val="18"/>
                      </w:rPr>
                      <w:instrText xml:space="preserve"> PAGE  \* MERGEFORMAT </w:instrText>
                    </w:r>
                    <w:r w:rsidRPr="000C706A">
                      <w:rPr>
                        <w:b/>
                        <w:sz w:val="18"/>
                      </w:rPr>
                      <w:fldChar w:fldCharType="separate"/>
                    </w:r>
                    <w:r>
                      <w:rPr>
                        <w:b/>
                        <w:sz w:val="18"/>
                      </w:rPr>
                      <w:t>54</w:t>
                    </w:r>
                    <w:r w:rsidRPr="000C706A">
                      <w:rPr>
                        <w:b/>
                        <w:sz w:val="18"/>
                      </w:rPr>
                      <w:fldChar w:fldCharType="end"/>
                    </w:r>
                    <w:r>
                      <w:rPr>
                        <w:b/>
                        <w:sz w:val="18"/>
                      </w:rPr>
                      <w:tab/>
                    </w:r>
                    <w:proofErr w:type="spellStart"/>
                    <w:r>
                      <w:t>GE.24</w:t>
                    </w:r>
                    <w:proofErr w:type="spellEnd"/>
                    <w:r>
                      <w:t>-08945</w:t>
                    </w:r>
                  </w:p>
                  <w:p w14:paraId="53CAD5E5" w14:textId="77777777" w:rsidR="00A270B2" w:rsidRDefault="00A270B2"/>
                </w:txbxContent>
              </v:textbox>
              <w10:wrap anchorx="margin" anchory="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E55AD" w14:textId="77777777" w:rsidR="00A270B2" w:rsidRDefault="00A270B2" w:rsidP="002370A4">
    <w:pPr>
      <w:pStyle w:val="Piedepgina"/>
      <w:tabs>
        <w:tab w:val="right" w:pos="9638"/>
      </w:tabs>
    </w:pPr>
    <w:proofErr w:type="spellStart"/>
    <w:r>
      <w:t>GE.24</w:t>
    </w:r>
    <w:proofErr w:type="spellEnd"/>
    <w:r>
      <w:t>-08945</w:t>
    </w:r>
    <w:r>
      <w:tab/>
    </w:r>
    <w:r w:rsidRPr="000C706A">
      <w:rPr>
        <w:b/>
        <w:sz w:val="18"/>
      </w:rPr>
      <w:fldChar w:fldCharType="begin"/>
    </w:r>
    <w:r w:rsidRPr="000C706A">
      <w:rPr>
        <w:b/>
        <w:sz w:val="18"/>
      </w:rPr>
      <w:instrText xml:space="preserve"> PAGE  \* MERGEFORMAT </w:instrText>
    </w:r>
    <w:r w:rsidRPr="000C706A">
      <w:rPr>
        <w:b/>
        <w:sz w:val="18"/>
      </w:rPr>
      <w:fldChar w:fldCharType="separate"/>
    </w:r>
    <w:r w:rsidRPr="000C706A">
      <w:rPr>
        <w:b/>
        <w:noProof/>
        <w:sz w:val="18"/>
      </w:rPr>
      <w:t>3</w:t>
    </w:r>
    <w:r w:rsidRPr="000C706A">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2FF16" w14:textId="6D5FF544" w:rsidR="003B110D" w:rsidRPr="003B110D" w:rsidRDefault="003B110D" w:rsidP="003B110D">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55</w:t>
    </w:r>
    <w:r>
      <w:rPr>
        <w:b/>
        <w:sz w:val="18"/>
      </w:rPr>
      <w:fldChar w:fldCharType="end"/>
    </w:r>
    <w:r>
      <w:rPr>
        <w:b/>
        <w:sz w:val="18"/>
      </w:rPr>
      <w:tab/>
    </w:r>
    <w:proofErr w:type="spellStart"/>
    <w:r w:rsidRPr="003B110D">
      <w:t>GE.</w:t>
    </w:r>
    <w:r>
      <w:t>24</w:t>
    </w:r>
    <w:proofErr w:type="spellEnd"/>
    <w:r>
      <w:t>-08945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B92AC" w14:textId="15512565" w:rsidR="003B110D" w:rsidRPr="003B110D" w:rsidRDefault="003B110D" w:rsidP="003B110D">
    <w:pPr>
      <w:pStyle w:val="Piedepgina"/>
      <w:tabs>
        <w:tab w:val="right" w:pos="9638"/>
      </w:tabs>
      <w:rPr>
        <w:b/>
        <w:sz w:val="18"/>
      </w:rPr>
    </w:pPr>
    <w:proofErr w:type="spellStart"/>
    <w:r>
      <w:t>GE.</w:t>
    </w:r>
    <w:r w:rsidRPr="003B110D">
      <w:t>24</w:t>
    </w:r>
    <w:proofErr w:type="spellEnd"/>
    <w:r>
      <w:t>-</w:t>
    </w:r>
    <w:r w:rsidRPr="003B110D">
      <w:t>08945</w:t>
    </w:r>
    <w:r>
      <w:tab/>
    </w:r>
    <w:r>
      <w:rPr>
        <w:b/>
        <w:sz w:val="18"/>
      </w:rPr>
      <w:fldChar w:fldCharType="begin"/>
    </w:r>
    <w:r>
      <w:rPr>
        <w:b/>
        <w:sz w:val="18"/>
      </w:rPr>
      <w:instrText xml:space="preserve"> PAGE  \* MERGEFORMAT </w:instrText>
    </w:r>
    <w:r>
      <w:rPr>
        <w:b/>
        <w:sz w:val="18"/>
      </w:rPr>
      <w:fldChar w:fldCharType="separate"/>
    </w:r>
    <w:r>
      <w:rPr>
        <w:b/>
        <w:noProof/>
        <w:sz w:val="18"/>
      </w:rPr>
      <w:t>54</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31CF7" w14:textId="77777777" w:rsidR="009023AF" w:rsidRPr="001075E9" w:rsidRDefault="009023AF" w:rsidP="001075E9">
      <w:pPr>
        <w:tabs>
          <w:tab w:val="right" w:pos="2155"/>
        </w:tabs>
        <w:spacing w:after="80" w:line="240" w:lineRule="auto"/>
        <w:ind w:left="680"/>
        <w:rPr>
          <w:u w:val="single"/>
        </w:rPr>
      </w:pPr>
      <w:r>
        <w:rPr>
          <w:u w:val="single"/>
        </w:rPr>
        <w:tab/>
      </w:r>
    </w:p>
  </w:footnote>
  <w:footnote w:type="continuationSeparator" w:id="0">
    <w:p w14:paraId="7EFDDDBB" w14:textId="77777777" w:rsidR="009023AF" w:rsidRDefault="009023AF" w:rsidP="00AC76E8">
      <w:pPr>
        <w:tabs>
          <w:tab w:val="right" w:pos="2155"/>
        </w:tabs>
        <w:spacing w:after="80" w:line="240" w:lineRule="auto"/>
        <w:ind w:left="680"/>
        <w:rPr>
          <w:u w:val="single"/>
        </w:rPr>
      </w:pPr>
      <w:r>
        <w:rPr>
          <w:u w:val="single"/>
        </w:rPr>
        <w:tab/>
      </w:r>
    </w:p>
  </w:footnote>
  <w:footnote w:id="1">
    <w:p w14:paraId="6D42B275" w14:textId="77777777" w:rsidR="000C706A" w:rsidRPr="00C52B38" w:rsidRDefault="000C706A" w:rsidP="000C706A">
      <w:pPr>
        <w:pStyle w:val="Textonotapie"/>
      </w:pPr>
      <w:r w:rsidRPr="00C52B38">
        <w:tab/>
      </w:r>
      <w:r w:rsidRPr="002370A4">
        <w:rPr>
          <w:sz w:val="20"/>
          <w:szCs w:val="22"/>
        </w:rPr>
        <w:t>*</w:t>
      </w:r>
      <w:r w:rsidRPr="002370A4">
        <w:rPr>
          <w:sz w:val="20"/>
          <w:szCs w:val="22"/>
        </w:rPr>
        <w:tab/>
      </w:r>
      <w:r w:rsidRPr="00C52B38">
        <w:t>La versión original del presente documento no fue objeto de revisión editorial oficial.</w:t>
      </w:r>
    </w:p>
  </w:footnote>
  <w:footnote w:id="2">
    <w:p w14:paraId="32C52332" w14:textId="2A643EFA" w:rsidR="000C706A" w:rsidRPr="00C52B38" w:rsidRDefault="000C706A" w:rsidP="000C706A">
      <w:pPr>
        <w:pStyle w:val="Textonotapie"/>
      </w:pPr>
      <w:r w:rsidRPr="00C52B38">
        <w:tab/>
      </w:r>
      <w:r w:rsidRPr="00C52B38">
        <w:rPr>
          <w:rStyle w:val="Refdenotaalpie"/>
        </w:rPr>
        <w:footnoteRef/>
      </w:r>
      <w:r w:rsidRPr="00C52B38">
        <w:tab/>
        <w:t>Oficina Australiana de Estadística.</w:t>
      </w:r>
      <w:r w:rsidRPr="00C52B38">
        <w:rPr>
          <w:i/>
          <w:iCs/>
        </w:rPr>
        <w:t xml:space="preserve"> Cuentas Nacionales de Australia: Ingreso, Gasto y Producto Nacional, trimestre de diciembre de 2022. </w:t>
      </w:r>
      <w:hyperlink r:id="rId1" w:history="1">
        <w:r w:rsidRPr="00A8077D">
          <w:rPr>
            <w:rStyle w:val="Hipervnculo"/>
          </w:rPr>
          <w:t>https://www.abs.gov.au/statistics/economy/national-accounts/australian-national-accounts-national-income-expenditure-and-product/mar-2023</w:t>
        </w:r>
      </w:hyperlink>
      <w:r w:rsidRPr="00C52B38">
        <w:t xml:space="preserve">. </w:t>
      </w:r>
      <w:r w:rsidRPr="00A8077D">
        <w:rPr>
          <w:i/>
          <w:iCs/>
        </w:rPr>
        <w:t>Nota:</w:t>
      </w:r>
      <w:r w:rsidRPr="00C52B38">
        <w:t xml:space="preserve"> todos los datos económicos del presente informe se expresan en dólares australianos. En el momento de redactar este informe, el tipo de cambio es aproximadamente de 1 dólar australiano = 0,68 dólares de los EE. UU.</w:t>
      </w:r>
    </w:p>
  </w:footnote>
  <w:footnote w:id="3">
    <w:p w14:paraId="4FE41632" w14:textId="03403DE6"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 xml:space="preserve">. Organización de Cooperación y Desarrollo Económicos (OCDE). </w:t>
      </w:r>
      <w:hyperlink r:id="rId2" w:history="1">
        <w:r w:rsidRPr="007B6E72">
          <w:rPr>
            <w:rStyle w:val="Hipervnculo"/>
          </w:rPr>
          <w:t>https://</w:t>
        </w:r>
        <w:proofErr w:type="spellStart"/>
        <w:r w:rsidRPr="007B6E72">
          <w:rPr>
            <w:rStyle w:val="Hipervnculo"/>
          </w:rPr>
          <w:t>stats.oecd.org</w:t>
        </w:r>
        <w:proofErr w:type="spellEnd"/>
        <w:r w:rsidRPr="007B6E72">
          <w:rPr>
            <w:rStyle w:val="Hipervnculo"/>
          </w:rPr>
          <w:t>/</w:t>
        </w:r>
        <w:proofErr w:type="spellStart"/>
        <w:r w:rsidRPr="007B6E72">
          <w:rPr>
            <w:rStyle w:val="Hipervnculo"/>
          </w:rPr>
          <w:t>Index.aspx?DataSetCode</w:t>
        </w:r>
        <w:proofErr w:type="spellEnd"/>
        <w:r w:rsidRPr="007B6E72">
          <w:rPr>
            <w:rStyle w:val="Hipervnculo"/>
          </w:rPr>
          <w:t>=</w:t>
        </w:r>
        <w:proofErr w:type="spellStart"/>
        <w:r w:rsidRPr="007B6E72">
          <w:rPr>
            <w:rStyle w:val="Hipervnculo"/>
          </w:rPr>
          <w:t>PDB_GR</w:t>
        </w:r>
        <w:proofErr w:type="spellEnd"/>
      </w:hyperlink>
      <w:r w:rsidRPr="00C52B38">
        <w:t>.</w:t>
      </w:r>
    </w:p>
  </w:footnote>
  <w:footnote w:id="4">
    <w:p w14:paraId="7C345E9E" w14:textId="5FCB6D2F" w:rsidR="000C706A" w:rsidRPr="00C52B38" w:rsidRDefault="000C706A" w:rsidP="000C706A">
      <w:pPr>
        <w:pStyle w:val="Textonotapie"/>
      </w:pPr>
      <w:r w:rsidRPr="00C52B38">
        <w:tab/>
      </w:r>
      <w:r w:rsidRPr="00C52B38">
        <w:rPr>
          <w:rStyle w:val="Refdenotaalpie"/>
        </w:rPr>
        <w:footnoteRef/>
      </w:r>
      <w:r w:rsidRPr="00C52B38">
        <w:tab/>
        <w:t>Commonwealth de Australia.</w:t>
      </w:r>
      <w:r w:rsidRPr="00C52B38">
        <w:rPr>
          <w:i/>
          <w:iCs/>
        </w:rPr>
        <w:t xml:space="preserve"> Resumen presupuestario 2022/23</w:t>
      </w:r>
      <w:r w:rsidRPr="00C52B38">
        <w:t xml:space="preserve">. </w:t>
      </w:r>
      <w:hyperlink r:id="rId3" w:history="1">
        <w:r w:rsidRPr="007B6E72">
          <w:rPr>
            <w:rStyle w:val="Hipervnculo"/>
          </w:rPr>
          <w:t>https://budget.gov.au/2022-23-october/content/overview/index.htm</w:t>
        </w:r>
      </w:hyperlink>
      <w:r w:rsidRPr="00C52B38">
        <w:t>.</w:t>
      </w:r>
    </w:p>
  </w:footnote>
  <w:footnote w:id="5">
    <w:p w14:paraId="001EC72B" w14:textId="5EC8DEC1" w:rsidR="000C706A" w:rsidRPr="00C52B38" w:rsidRDefault="000C706A" w:rsidP="000C706A">
      <w:pPr>
        <w:pStyle w:val="Textonotapie"/>
      </w:pPr>
      <w:r w:rsidRPr="00C52B38">
        <w:tab/>
      </w:r>
      <w:r w:rsidRPr="00C52B38">
        <w:rPr>
          <w:rStyle w:val="Refdenotaalpie"/>
        </w:rPr>
        <w:footnoteRef/>
      </w:r>
      <w:r w:rsidRPr="00C52B38">
        <w:tab/>
        <w:t>Oficina Australiana de Estadística (2023).</w:t>
      </w:r>
      <w:r w:rsidRPr="00C52B38">
        <w:rPr>
          <w:i/>
          <w:iCs/>
        </w:rPr>
        <w:t xml:space="preserve"> Índice de precios al consumo, Australia, 2022.</w:t>
      </w:r>
      <w:r w:rsidRPr="00C52B38">
        <w:t xml:space="preserve"> </w:t>
      </w:r>
      <w:hyperlink r:id="rId4" w:history="1">
        <w:r w:rsidRPr="007B6E72">
          <w:rPr>
            <w:rStyle w:val="Hipervnculo"/>
          </w:rPr>
          <w:t>https://www.abs.gov.au/statistics/economy/price-indexes-and-inflation/consumer-price-index-australia/latest-release</w:t>
        </w:r>
      </w:hyperlink>
      <w:r w:rsidRPr="00C52B38">
        <w:t>.</w:t>
      </w:r>
    </w:p>
  </w:footnote>
  <w:footnote w:id="6">
    <w:p w14:paraId="37CB6229" w14:textId="7F0F62F8" w:rsidR="000C706A" w:rsidRPr="00C52B38" w:rsidRDefault="000C706A" w:rsidP="000C706A">
      <w:pPr>
        <w:pStyle w:val="Textonotapie"/>
      </w:pPr>
      <w:r w:rsidRPr="00C52B38">
        <w:tab/>
      </w:r>
      <w:r w:rsidRPr="00C52B38">
        <w:rPr>
          <w:rStyle w:val="Refdenotaalpie"/>
        </w:rPr>
        <w:footnoteRef/>
      </w:r>
      <w:r w:rsidRPr="00C52B38">
        <w:tab/>
        <w:t xml:space="preserve">Parlamento de Australia. </w:t>
      </w:r>
      <w:r w:rsidRPr="00C52B38">
        <w:rPr>
          <w:i/>
          <w:iCs/>
        </w:rPr>
        <w:t>Deuda pública australiana, 2022</w:t>
      </w:r>
      <w:r w:rsidR="007B6E72">
        <w:rPr>
          <w:i/>
          <w:iCs/>
        </w:rPr>
        <w:t>-</w:t>
      </w:r>
      <w:r w:rsidRPr="00C52B38">
        <w:rPr>
          <w:i/>
          <w:iCs/>
        </w:rPr>
        <w:t>2023.</w:t>
      </w:r>
      <w:r w:rsidRPr="00C52B38">
        <w:t xml:space="preserve"> </w:t>
      </w:r>
      <w:hyperlink r:id="rId5" w:anchor=":~:text=This%20continues%20the%20trend%20of,as%20of%2028%20October%202022" w:history="1">
        <w:r w:rsidR="007B6E72" w:rsidRPr="007B6E72">
          <w:rPr>
            <w:rStyle w:val="Hipervnculo"/>
          </w:rPr>
          <w:t>https://www.aph.gov.au/About_Parliament/Parliamentary_departments/Parliamentary_Library/pubs/rp/BudgetReviewOctober202223/AustralianGovernmentDebt#:~:text=This%20continues%20the%20trend%20of,as%20of%2028%20October%202022</w:t>
        </w:r>
      </w:hyperlink>
      <w:r w:rsidRPr="00C52B38">
        <w:t>.</w:t>
      </w:r>
    </w:p>
  </w:footnote>
  <w:footnote w:id="7">
    <w:p w14:paraId="108198D0" w14:textId="752C4CDA" w:rsidR="000C706A" w:rsidRPr="00045CC8" w:rsidRDefault="000C706A" w:rsidP="000C706A">
      <w:pPr>
        <w:pStyle w:val="Textonotapie"/>
        <w:rPr>
          <w:rStyle w:val="Hipervnculo"/>
        </w:rPr>
      </w:pPr>
      <w:r w:rsidRPr="00C52B38">
        <w:tab/>
      </w:r>
      <w:r w:rsidRPr="00C52B38">
        <w:rPr>
          <w:rStyle w:val="Refdenotaalpie"/>
        </w:rPr>
        <w:footnoteRef/>
      </w:r>
      <w:r w:rsidRPr="00C52B38">
        <w:tab/>
        <w:t xml:space="preserve">Parlamento australiano. </w:t>
      </w:r>
      <w:r w:rsidRPr="00C52B38">
        <w:rPr>
          <w:i/>
          <w:iCs/>
        </w:rPr>
        <w:t xml:space="preserve">Presupuesto de ayuda exterior, 2022–2023. </w:t>
      </w:r>
      <w:hyperlink r:id="rId6" w:anchor=":~:text=Australia%27s%20foreign%20aid%20program%20in" w:history="1">
        <w:r w:rsidR="007B6E72" w:rsidRPr="00045CC8">
          <w:rPr>
            <w:rStyle w:val="Hipervnculo"/>
          </w:rPr>
          <w:t>https://www.aph.gov.au/About_Parliament/Parliamentary_Departments/Parliamentary_Library/pubs/rp/BudgetReview202223/ForeignAidBudget#:~:text=Australia%27s%20foreign%20aid%20program%20in</w:t>
        </w:r>
      </w:hyperlink>
      <w:r w:rsidRPr="00045CC8">
        <w:rPr>
          <w:rStyle w:val="Hipervnculo"/>
        </w:rPr>
        <w:t>,(inclusive%20of%20temporary%20measures).</w:t>
      </w:r>
    </w:p>
  </w:footnote>
  <w:footnote w:id="8">
    <w:p w14:paraId="56D02439" w14:textId="5F71303D" w:rsidR="000C706A" w:rsidRPr="00C52B38" w:rsidRDefault="000C706A" w:rsidP="000C706A">
      <w:pPr>
        <w:pStyle w:val="Textonotapie"/>
      </w:pPr>
      <w:r w:rsidRPr="00045CC8">
        <w:tab/>
      </w:r>
      <w:r w:rsidRPr="00C52B38">
        <w:rPr>
          <w:rStyle w:val="Refdenotaalpie"/>
        </w:rPr>
        <w:footnoteRef/>
      </w:r>
      <w:r w:rsidRPr="00C52B38">
        <w:tab/>
        <w:t xml:space="preserve">Oficina Australiana de Estadística. </w:t>
      </w:r>
      <w:r w:rsidRPr="00C52B38">
        <w:rPr>
          <w:i/>
          <w:iCs/>
        </w:rPr>
        <w:t>Población del país, de los estados y de los territorios</w:t>
      </w:r>
      <w:r w:rsidRPr="00C52B38">
        <w:t>, junio de</w:t>
      </w:r>
      <w:r w:rsidR="007B6E72">
        <w:t> </w:t>
      </w:r>
      <w:r w:rsidRPr="00C52B38">
        <w:t xml:space="preserve">2022. </w:t>
      </w:r>
      <w:hyperlink r:id="rId7" w:history="1">
        <w:r w:rsidRPr="007B6E72">
          <w:rPr>
            <w:rStyle w:val="Hipervnculo"/>
          </w:rPr>
          <w:t>https://www.abs.gov.au/statistics/people/population/national-state-and-territory-population/jun-2022</w:t>
        </w:r>
      </w:hyperlink>
      <w:r w:rsidRPr="00C52B38">
        <w:t>.</w:t>
      </w:r>
    </w:p>
  </w:footnote>
  <w:footnote w:id="9">
    <w:p w14:paraId="0A0A958C"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10">
    <w:p w14:paraId="5317D27B" w14:textId="77777777" w:rsidR="000C706A" w:rsidRPr="00C52B38" w:rsidRDefault="000C706A" w:rsidP="000C706A">
      <w:pPr>
        <w:pStyle w:val="Textonotapie"/>
      </w:pPr>
      <w:r w:rsidRPr="00C52B38">
        <w:tab/>
      </w:r>
      <w:r w:rsidRPr="00C52B38">
        <w:rPr>
          <w:rStyle w:val="Refdenotaalpie"/>
        </w:rPr>
        <w:footnoteRef/>
      </w:r>
      <w:r w:rsidRPr="00C52B38">
        <w:tab/>
        <w:t xml:space="preserve">Banco Mundial. </w:t>
      </w:r>
      <w:r w:rsidRPr="00C52B38">
        <w:rPr>
          <w:i/>
          <w:iCs/>
        </w:rPr>
        <w:t>Datos abiertos: densidad de población.</w:t>
      </w:r>
      <w:r w:rsidRPr="00C52B38">
        <w:t xml:space="preserve"> </w:t>
      </w:r>
      <w:proofErr w:type="spellStart"/>
      <w:r w:rsidRPr="00C52B38">
        <w:t>data.worldbank.org</w:t>
      </w:r>
      <w:proofErr w:type="spellEnd"/>
      <w:r w:rsidRPr="00C52B38">
        <w:t>/</w:t>
      </w:r>
      <w:proofErr w:type="spellStart"/>
      <w:r w:rsidRPr="00C52B38">
        <w:t>indicator</w:t>
      </w:r>
      <w:proofErr w:type="spellEnd"/>
      <w:r w:rsidRPr="00C52B38">
        <w:t>/</w:t>
      </w:r>
      <w:proofErr w:type="spellStart"/>
      <w:r w:rsidRPr="00C52B38">
        <w:t>en.pop.dnst</w:t>
      </w:r>
      <w:proofErr w:type="spellEnd"/>
      <w:r w:rsidRPr="00C52B38">
        <w:t>.</w:t>
      </w:r>
    </w:p>
  </w:footnote>
  <w:footnote w:id="11">
    <w:p w14:paraId="53F2A27B" w14:textId="7DE56F83"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(2022). </w:t>
      </w:r>
      <w:r w:rsidRPr="00C52B38">
        <w:rPr>
          <w:i/>
          <w:iCs/>
        </w:rPr>
        <w:t>3218.0 – Crecimiento demográfico regional de Australia</w:t>
      </w:r>
      <w:r w:rsidR="00BA2A1D" w:rsidRPr="00BA2A1D">
        <w:t>,</w:t>
      </w:r>
      <w:r w:rsidR="00BA2A1D">
        <w:rPr>
          <w:i/>
          <w:iCs/>
        </w:rPr>
        <w:t xml:space="preserve"> </w:t>
      </w:r>
      <w:r w:rsidRPr="00BA2A1D">
        <w:t>en 2020–2021</w:t>
      </w:r>
      <w:r w:rsidRPr="00C52B38">
        <w:rPr>
          <w:i/>
          <w:iCs/>
        </w:rPr>
        <w:t>.</w:t>
      </w:r>
      <w:r w:rsidRPr="00C52B38">
        <w:t xml:space="preserve"> </w:t>
      </w:r>
      <w:hyperlink r:id="rId8" w:history="1">
        <w:r w:rsidRPr="007B6E72">
          <w:rPr>
            <w:rStyle w:val="Hipervnculo"/>
          </w:rPr>
          <w:t>https://www.abs.gov.au/statistics/people/population/regional-population/2020-21</w:t>
        </w:r>
      </w:hyperlink>
      <w:r w:rsidRPr="00C52B38">
        <w:t>. A través del enlace se puede acceder a un mapa interactivo de la densidad de población regional.</w:t>
      </w:r>
    </w:p>
  </w:footnote>
  <w:footnote w:id="12">
    <w:p w14:paraId="1E5034CF" w14:textId="3D9910AA" w:rsidR="000C706A" w:rsidRPr="00C52B38" w:rsidRDefault="000C706A" w:rsidP="000C706A">
      <w:pPr>
        <w:pStyle w:val="Textonotapie"/>
      </w:pPr>
      <w:r w:rsidRPr="00C52B38">
        <w:tab/>
      </w:r>
      <w:r w:rsidRPr="00C52B38">
        <w:rPr>
          <w:rStyle w:val="Refdenotaalpie"/>
        </w:rPr>
        <w:footnoteRef/>
      </w:r>
      <w:r w:rsidRPr="00C52B38">
        <w:tab/>
        <w:t>Oficina Australiana de Estadística.</w:t>
      </w:r>
      <w:r w:rsidRPr="00C52B38">
        <w:rPr>
          <w:i/>
          <w:iCs/>
        </w:rPr>
        <w:t xml:space="preserve"> Datos sobre los aborígenes e isleños del estrecho de Torres de Australia</w:t>
      </w:r>
      <w:r w:rsidRPr="00C52B38">
        <w:t>,</w:t>
      </w:r>
      <w:r w:rsidRPr="00C52B38">
        <w:rPr>
          <w:i/>
          <w:iCs/>
        </w:rPr>
        <w:t xml:space="preserve"> 2021</w:t>
      </w:r>
      <w:r w:rsidRPr="00C52B38">
        <w:t xml:space="preserve">. </w:t>
      </w:r>
      <w:hyperlink r:id="rId9" w:history="1">
        <w:r w:rsidRPr="007B6E72">
          <w:rPr>
            <w:rStyle w:val="Hipervnculo"/>
          </w:rPr>
          <w:t>https://www.abs.gov.au/statistics/people/aboriginal-and-torres-strait-islander-peoples/estimates-aboriginal-and-torres-strait-islander-australians/latest-release</w:t>
        </w:r>
      </w:hyperlink>
      <w:r w:rsidRPr="00C52B38">
        <w:t>.</w:t>
      </w:r>
    </w:p>
  </w:footnote>
  <w:footnote w:id="13">
    <w:p w14:paraId="0606A0CD" w14:textId="25208734"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w:t>
      </w:r>
      <w:r w:rsidRPr="00C52B38">
        <w:rPr>
          <w:i/>
          <w:iCs/>
        </w:rPr>
        <w:t>Visión general de la situación de Australia, 2021</w:t>
      </w:r>
      <w:r w:rsidRPr="00C52B38">
        <w:t xml:space="preserve">. </w:t>
      </w:r>
      <w:hyperlink r:id="rId10" w:history="1">
        <w:r w:rsidRPr="007B6E72">
          <w:rPr>
            <w:rStyle w:val="Hipervnculo"/>
          </w:rPr>
          <w:t>https://www.abs.gov.au/statistics/people/people-and-communities/snapshot-australia/2021</w:t>
        </w:r>
      </w:hyperlink>
      <w:r w:rsidRPr="00C52B38">
        <w:t>.</w:t>
      </w:r>
    </w:p>
  </w:footnote>
  <w:footnote w:id="14">
    <w:p w14:paraId="47538368" w14:textId="4763D8E2" w:rsidR="000C706A" w:rsidRPr="00C52B38" w:rsidRDefault="000C706A" w:rsidP="000C706A">
      <w:pPr>
        <w:pStyle w:val="Textonotapie"/>
      </w:pPr>
      <w:r w:rsidRPr="00C52B38">
        <w:tab/>
      </w:r>
      <w:r w:rsidRPr="00C52B38">
        <w:rPr>
          <w:rStyle w:val="Refdenotaalpie"/>
        </w:rPr>
        <w:footnoteRef/>
      </w:r>
      <w:r w:rsidRPr="00C52B38">
        <w:tab/>
        <w:t>Oficina Australiana de Estadística (2022).</w:t>
      </w:r>
      <w:r w:rsidRPr="00C52B38">
        <w:rPr>
          <w:i/>
          <w:iCs/>
        </w:rPr>
        <w:t xml:space="preserve"> Australia: Resumen de información demográfica sobre los aborígenes y los isleños del estrecho de Torres.</w:t>
      </w:r>
      <w:r w:rsidRPr="00C52B38">
        <w:t xml:space="preserve">  </w:t>
      </w:r>
      <w:hyperlink r:id="rId11" w:history="1">
        <w:r w:rsidRPr="007B6E72">
          <w:rPr>
            <w:rStyle w:val="Hipervnculo"/>
          </w:rPr>
          <w:t>https://www.abs.gov.au/articles/australia-aboriginal-and-torres-strait-islander-population-summary</w:t>
        </w:r>
      </w:hyperlink>
      <w:r w:rsidRPr="00C52B38">
        <w:t>.</w:t>
      </w:r>
    </w:p>
  </w:footnote>
  <w:footnote w:id="15">
    <w:p w14:paraId="69E509B1" w14:textId="77777777" w:rsidR="000C706A" w:rsidRPr="00C52B38" w:rsidRDefault="000C706A" w:rsidP="000C706A">
      <w:pPr>
        <w:pStyle w:val="Textonotapie"/>
      </w:pPr>
      <w:r w:rsidRPr="00C52B38">
        <w:tab/>
      </w:r>
      <w:r w:rsidRPr="00C52B38">
        <w:rPr>
          <w:rStyle w:val="Refdenotaalpie"/>
        </w:rPr>
        <w:footnoteRef/>
      </w:r>
      <w:r w:rsidRPr="00C52B38">
        <w:tab/>
        <w:t xml:space="preserve">Comité Directivo para el Examen de la Prestación de Servicios Públicos (2020). </w:t>
      </w:r>
      <w:r w:rsidRPr="00C52B38">
        <w:rPr>
          <w:i/>
          <w:iCs/>
        </w:rPr>
        <w:t>Superando la situación de desventaja de los indígenas: Indicadores clave 2020.</w:t>
      </w:r>
      <w:r w:rsidRPr="00C52B38">
        <w:t xml:space="preserve"> Comisión de productividad, Camberra.</w:t>
      </w:r>
    </w:p>
  </w:footnote>
  <w:footnote w:id="16">
    <w:p w14:paraId="12B1AE22" w14:textId="722C3DA7" w:rsidR="000C706A" w:rsidRPr="00C52B38" w:rsidRDefault="000C706A" w:rsidP="000C706A">
      <w:pPr>
        <w:pStyle w:val="Textonotapie"/>
      </w:pPr>
      <w:r w:rsidRPr="00C52B38">
        <w:tab/>
      </w:r>
      <w:r w:rsidRPr="00C52B38">
        <w:rPr>
          <w:rStyle w:val="Refdenotaalpie"/>
        </w:rPr>
        <w:footnoteRef/>
      </w:r>
      <w:r w:rsidRPr="00C52B38">
        <w:tab/>
        <w:t xml:space="preserve">Agencia Nacional de Australianos Indígenas. </w:t>
      </w:r>
      <w:r w:rsidRPr="00C52B38">
        <w:rPr>
          <w:i/>
          <w:iCs/>
        </w:rPr>
        <w:t xml:space="preserve">Informe Anual del Commonwealth sobre la Estrategia Cerrar la Brecha 2022. </w:t>
      </w:r>
      <w:hyperlink r:id="rId12" w:history="1">
        <w:r w:rsidRPr="007B6E72">
          <w:rPr>
            <w:rStyle w:val="Hipervnculo"/>
          </w:rPr>
          <w:t>https://www.niaa.gov.au/sites/default/files/publications/niaa-closing-the-gap-annual-report-2022.pdf</w:t>
        </w:r>
      </w:hyperlink>
      <w:r w:rsidRPr="00C52B38">
        <w:t>; Estrategia Cerrar la brecha.</w:t>
      </w:r>
      <w:r w:rsidRPr="00C52B38">
        <w:rPr>
          <w:i/>
          <w:iCs/>
        </w:rPr>
        <w:t xml:space="preserve"> Acuerdo Nacional para Cerrar la Brecha, julio de 2020</w:t>
      </w:r>
      <w:r w:rsidRPr="00C52B38">
        <w:t xml:space="preserve">. </w:t>
      </w:r>
      <w:hyperlink r:id="rId13" w:history="1">
        <w:r w:rsidRPr="007B6E72">
          <w:rPr>
            <w:rStyle w:val="Hipervnculo"/>
          </w:rPr>
          <w:t>https://www.closingthegap.gov.au/sites/default/files/2022-09/ctg-national-agreement_apr-21-comm-infra-targets-updated-24-august-2022_0.pdf</w:t>
        </w:r>
      </w:hyperlink>
      <w:r w:rsidRPr="00C52B38">
        <w:t>.</w:t>
      </w:r>
    </w:p>
  </w:footnote>
  <w:footnote w:id="17">
    <w:p w14:paraId="4572183B" w14:textId="3D0F829C"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w:t>
      </w:r>
      <w:r w:rsidRPr="00C52B38">
        <w:rPr>
          <w:i/>
          <w:iCs/>
        </w:rPr>
        <w:t>Visión general de la situación de Australia, 2021.</w:t>
      </w:r>
      <w:r w:rsidRPr="00C52B38">
        <w:t xml:space="preserve"> </w:t>
      </w:r>
      <w:hyperlink r:id="rId14" w:history="1">
        <w:r w:rsidRPr="007B6E72">
          <w:rPr>
            <w:rStyle w:val="Hipervnculo"/>
          </w:rPr>
          <w:t>https://www.abs.gov.au/statistics/people/people-and-communities/snapshot-australia/2021</w:t>
        </w:r>
      </w:hyperlink>
      <w:r w:rsidRPr="00C52B38">
        <w:t>.</w:t>
      </w:r>
    </w:p>
  </w:footnote>
  <w:footnote w:id="18">
    <w:p w14:paraId="45186D05"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19">
    <w:p w14:paraId="551B2DA2"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20">
    <w:p w14:paraId="0EB2915F" w14:textId="27BE5D8C" w:rsidR="000C706A" w:rsidRPr="00C52B38" w:rsidRDefault="000C706A" w:rsidP="000C706A">
      <w:pPr>
        <w:pStyle w:val="Textonotapie"/>
      </w:pPr>
      <w:r w:rsidRPr="00C52B38">
        <w:tab/>
      </w:r>
      <w:r w:rsidRPr="00C52B38">
        <w:rPr>
          <w:rStyle w:val="Refdenotaalpie"/>
        </w:rPr>
        <w:footnoteRef/>
      </w:r>
      <w:r w:rsidRPr="00C52B38">
        <w:tab/>
        <w:t>Oficina Australiana de Estadística (2021).</w:t>
      </w:r>
      <w:r w:rsidRPr="00C52B38">
        <w:rPr>
          <w:i/>
          <w:iCs/>
        </w:rPr>
        <w:t xml:space="preserve"> Nacimientos, Australia.</w:t>
      </w:r>
      <w:r w:rsidRPr="00C52B38">
        <w:t xml:space="preserve"> </w:t>
      </w:r>
      <w:hyperlink r:id="rId15" w:history="1">
        <w:r w:rsidRPr="007B6E72">
          <w:rPr>
            <w:rStyle w:val="Hipervnculo"/>
          </w:rPr>
          <w:t>https://www.abs.gov.au/statistics/people/population/births-australia/latest-release</w:t>
        </w:r>
      </w:hyperlink>
      <w:r w:rsidRPr="00C52B38">
        <w:t>.</w:t>
      </w:r>
    </w:p>
  </w:footnote>
  <w:footnote w:id="21">
    <w:p w14:paraId="737FA41A" w14:textId="5F2E43E1" w:rsidR="000C706A" w:rsidRPr="00C52B38" w:rsidRDefault="000C706A" w:rsidP="000C706A">
      <w:pPr>
        <w:pStyle w:val="Textonotapie"/>
      </w:pPr>
      <w:r w:rsidRPr="00C52B38">
        <w:tab/>
      </w:r>
      <w:r w:rsidRPr="00C52B38">
        <w:rPr>
          <w:rStyle w:val="Refdenotaalpie"/>
        </w:rPr>
        <w:footnoteRef/>
      </w:r>
      <w:r w:rsidRPr="00C52B38">
        <w:tab/>
        <w:t>Oficina Australiana de Estadística (2021).</w:t>
      </w:r>
      <w:r w:rsidRPr="00C52B38">
        <w:rPr>
          <w:i/>
          <w:iCs/>
        </w:rPr>
        <w:t xml:space="preserve"> Defunciones, Australia. </w:t>
      </w:r>
      <w:r w:rsidRPr="00C52B38">
        <w:t xml:space="preserve"> </w:t>
      </w:r>
      <w:hyperlink r:id="rId16" w:history="1">
        <w:r w:rsidRPr="007B6E72">
          <w:rPr>
            <w:rStyle w:val="Hipervnculo"/>
          </w:rPr>
          <w:t>https://www.abs.gov.au/statistics/people/population/deaths-australia/latest-release</w:t>
        </w:r>
      </w:hyperlink>
      <w:r w:rsidRPr="00C52B38">
        <w:t>.</w:t>
      </w:r>
    </w:p>
  </w:footnote>
  <w:footnote w:id="22">
    <w:p w14:paraId="02C77B4D" w14:textId="33F00A6D" w:rsidR="000C706A" w:rsidRPr="00C52B38" w:rsidRDefault="000C706A" w:rsidP="000C706A">
      <w:pPr>
        <w:pStyle w:val="Textonotapie"/>
      </w:pPr>
      <w:r w:rsidRPr="00C52B38">
        <w:tab/>
      </w:r>
      <w:r w:rsidRPr="00C52B38">
        <w:rPr>
          <w:rStyle w:val="Refdenotaalpie"/>
        </w:rPr>
        <w:footnoteRef/>
      </w:r>
      <w:r w:rsidRPr="00C52B38">
        <w:tab/>
        <w:t>Oficina Australiana de Estadística (2022).</w:t>
      </w:r>
      <w:r w:rsidRPr="00C52B38">
        <w:rPr>
          <w:i/>
          <w:iCs/>
        </w:rPr>
        <w:t xml:space="preserve"> Datos sobre la esperanza de vida, 2019–2021</w:t>
      </w:r>
      <w:r w:rsidRPr="00C52B38">
        <w:t xml:space="preserve">. </w:t>
      </w:r>
      <w:hyperlink r:id="rId17" w:history="1">
        <w:r w:rsidRPr="007B6E72">
          <w:rPr>
            <w:rStyle w:val="Hipervnculo"/>
          </w:rPr>
          <w:t>https://www.abs.gov.au/statistics/people/population/life-tables/latest-release</w:t>
        </w:r>
      </w:hyperlink>
      <w:r w:rsidRPr="00C52B38">
        <w:t>.</w:t>
      </w:r>
    </w:p>
  </w:footnote>
  <w:footnote w:id="23">
    <w:p w14:paraId="39D1E435" w14:textId="68AB88DA"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(2028). </w:t>
      </w:r>
      <w:r w:rsidRPr="00C52B38">
        <w:rPr>
          <w:i/>
          <w:iCs/>
        </w:rPr>
        <w:t>Datos sobre la esperanza de vida de los aborígenes e isleños del estrecho de Torres, 2015–2017.</w:t>
      </w:r>
      <w:r w:rsidRPr="00C52B38">
        <w:t xml:space="preserve"> </w:t>
      </w:r>
      <w:hyperlink r:id="rId18" w:history="1">
        <w:r w:rsidRPr="007B6E72">
          <w:rPr>
            <w:rStyle w:val="Hipervnculo"/>
          </w:rPr>
          <w:t>https://www.abs.gov.au/statistics/people/aboriginal-and-torres-strait-islander-peoples/aboriginal-and-torres-strait-islander-life-expectancy-estimates/latest-release</w:t>
        </w:r>
      </w:hyperlink>
      <w:r w:rsidRPr="00C52B38">
        <w:t>.</w:t>
      </w:r>
    </w:p>
  </w:footnote>
  <w:footnote w:id="24">
    <w:p w14:paraId="442C97AD" w14:textId="6144934F" w:rsidR="000C706A" w:rsidRPr="00DB209B" w:rsidRDefault="000C706A" w:rsidP="000C706A">
      <w:pPr>
        <w:pStyle w:val="Textonotapie"/>
      </w:pPr>
      <w:r w:rsidRPr="00C52B38">
        <w:tab/>
      </w:r>
      <w:r w:rsidRPr="00C52B38">
        <w:rPr>
          <w:rStyle w:val="Refdenotaalpie"/>
        </w:rPr>
        <w:footnoteRef/>
      </w:r>
      <w:bookmarkStart w:id="13" w:name="_Hlk142304490"/>
      <w:r w:rsidRPr="00C52B38">
        <w:rPr>
          <w:lang w:val="en-US"/>
        </w:rPr>
        <w:tab/>
      </w:r>
      <w:proofErr w:type="spellStart"/>
      <w:r w:rsidRPr="00C52B38">
        <w:rPr>
          <w:lang w:val="en-US"/>
        </w:rPr>
        <w:t>Comisión</w:t>
      </w:r>
      <w:proofErr w:type="spellEnd"/>
      <w:r w:rsidRPr="00C52B38">
        <w:rPr>
          <w:lang w:val="en-US"/>
        </w:rPr>
        <w:t xml:space="preserve"> de </w:t>
      </w:r>
      <w:proofErr w:type="spellStart"/>
      <w:r w:rsidRPr="00C52B38">
        <w:rPr>
          <w:lang w:val="en-US"/>
        </w:rPr>
        <w:t>productividad</w:t>
      </w:r>
      <w:proofErr w:type="spellEnd"/>
      <w:r w:rsidRPr="00C52B38">
        <w:rPr>
          <w:lang w:val="en-US"/>
        </w:rPr>
        <w:t xml:space="preserve">. </w:t>
      </w:r>
      <w:r w:rsidRPr="00C52B38">
        <w:rPr>
          <w:i/>
          <w:iCs/>
          <w:lang w:val="en-US"/>
        </w:rPr>
        <w:t>Closing the Gap: Annual Data Compilation Report July 2023</w:t>
      </w:r>
      <w:r w:rsidRPr="00C52B38">
        <w:rPr>
          <w:lang w:val="en-US"/>
        </w:rPr>
        <w:t xml:space="preserve">. </w:t>
      </w:r>
      <w:hyperlink r:id="rId19" w:history="1">
        <w:r w:rsidRPr="00DB209B">
          <w:rPr>
            <w:rStyle w:val="Hipervnculo"/>
          </w:rPr>
          <w:t>https://www.pc.gov.au/closing-the-gap-data/annual-data-report/report</w:t>
        </w:r>
      </w:hyperlink>
      <w:r w:rsidRPr="00DB209B">
        <w:t>.</w:t>
      </w:r>
      <w:bookmarkEnd w:id="13"/>
    </w:p>
  </w:footnote>
  <w:footnote w:id="25">
    <w:p w14:paraId="7DC3B132" w14:textId="7CAF32FD" w:rsidR="000C706A" w:rsidRPr="00C52B38" w:rsidRDefault="000C706A" w:rsidP="000C706A">
      <w:pPr>
        <w:pStyle w:val="Textonotapie"/>
      </w:pPr>
      <w:r w:rsidRPr="00DB209B">
        <w:tab/>
      </w:r>
      <w:r w:rsidRPr="00C52B38">
        <w:rPr>
          <w:rStyle w:val="Refdenotaalpie"/>
        </w:rPr>
        <w:footnoteRef/>
      </w:r>
      <w:r w:rsidRPr="00C52B38">
        <w:tab/>
        <w:t xml:space="preserve">Oficina Australiana de Estadística (2020). </w:t>
      </w:r>
      <w:r w:rsidRPr="00C52B38">
        <w:rPr>
          <w:i/>
          <w:iCs/>
        </w:rPr>
        <w:t>Población del país, de los estados y de los territorios.</w:t>
      </w:r>
      <w:r w:rsidRPr="00C52B38">
        <w:t xml:space="preserve"> </w:t>
      </w:r>
      <w:hyperlink r:id="rId20" w:history="1">
        <w:proofErr w:type="spellStart"/>
        <w:r w:rsidR="007B6E72" w:rsidRPr="004F31ED">
          <w:rPr>
            <w:rStyle w:val="Hipervnculo"/>
          </w:rPr>
          <w:t>www.abs.gov.au</w:t>
        </w:r>
        <w:proofErr w:type="spellEnd"/>
        <w:r w:rsidR="007B6E72" w:rsidRPr="004F31ED">
          <w:rPr>
            <w:rStyle w:val="Hipervnculo"/>
          </w:rPr>
          <w:t>/</w:t>
        </w:r>
        <w:proofErr w:type="spellStart"/>
        <w:r w:rsidR="007B6E72" w:rsidRPr="004F31ED">
          <w:rPr>
            <w:rStyle w:val="Hipervnculo"/>
          </w:rPr>
          <w:t>articles</w:t>
        </w:r>
        <w:proofErr w:type="spellEnd"/>
        <w:r w:rsidR="007B6E72" w:rsidRPr="004F31ED">
          <w:rPr>
            <w:rStyle w:val="Hipervnculo"/>
          </w:rPr>
          <w:t>/</w:t>
        </w:r>
        <w:proofErr w:type="spellStart"/>
        <w:r w:rsidR="007B6E72" w:rsidRPr="004F31ED">
          <w:rPr>
            <w:rStyle w:val="Hipervnculo"/>
          </w:rPr>
          <w:t>twenty-years-population-change</w:t>
        </w:r>
        <w:proofErr w:type="spellEnd"/>
      </w:hyperlink>
      <w:r w:rsidRPr="00C52B38">
        <w:t>.</w:t>
      </w:r>
    </w:p>
  </w:footnote>
  <w:footnote w:id="26">
    <w:p w14:paraId="5771B3D6" w14:textId="38B5C555"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(2018). </w:t>
      </w:r>
      <w:r w:rsidRPr="00C52B38">
        <w:rPr>
          <w:i/>
          <w:iCs/>
        </w:rPr>
        <w:t xml:space="preserve">Proyecciones demográficas, Australia, 2017 (base) – 2066. </w:t>
      </w:r>
      <w:hyperlink r:id="rId21" w:history="1">
        <w:r w:rsidRPr="007B6E72">
          <w:rPr>
            <w:rStyle w:val="Hipervnculo"/>
          </w:rPr>
          <w:t>https://www.abs.gov.au/statistics/people/population/population-projections-australia/latest-release</w:t>
        </w:r>
      </w:hyperlink>
      <w:r w:rsidRPr="00C52B38">
        <w:t>.</w:t>
      </w:r>
    </w:p>
  </w:footnote>
  <w:footnote w:id="27">
    <w:p w14:paraId="50189DE1" w14:textId="4AD60669" w:rsidR="000C706A" w:rsidRPr="00C52B38" w:rsidRDefault="000C706A" w:rsidP="007B6E72">
      <w:pPr>
        <w:pStyle w:val="Textonotapie"/>
      </w:pPr>
      <w:r w:rsidRPr="00C52B38">
        <w:tab/>
      </w:r>
      <w:r w:rsidRPr="00C52B38">
        <w:rPr>
          <w:rStyle w:val="Refdenotaalpie"/>
        </w:rPr>
        <w:footnoteRef/>
      </w:r>
      <w:r w:rsidRPr="00C52B38">
        <w:tab/>
        <w:t xml:space="preserve">Oficina Australiana de Estadística (2022). </w:t>
      </w:r>
      <w:r w:rsidRPr="00C52B38">
        <w:rPr>
          <w:i/>
          <w:iCs/>
        </w:rPr>
        <w:t>Población del país, de los estados y de los territorios</w:t>
      </w:r>
      <w:r w:rsidRPr="00BA2A1D">
        <w:t>, junio de 2022</w:t>
      </w:r>
      <w:r w:rsidRPr="00C52B38">
        <w:t xml:space="preserve">. </w:t>
      </w:r>
      <w:hyperlink r:id="rId22" w:history="1">
        <w:r w:rsidRPr="007B6E72">
          <w:rPr>
            <w:rStyle w:val="Hipervnculo"/>
          </w:rPr>
          <w:t>https://www.abs.gov.au/statistics/people/population/national-state-and-territory-population/jun-2022</w:t>
        </w:r>
      </w:hyperlink>
      <w:r w:rsidRPr="00C52B38">
        <w:t>;</w:t>
      </w:r>
      <w:r w:rsidR="007B6E72">
        <w:t xml:space="preserve"> </w:t>
      </w:r>
      <w:r w:rsidRPr="00C52B38">
        <w:t>Oficina Australiana de Estadística</w:t>
      </w:r>
      <w:r w:rsidRPr="00C52B38">
        <w:rPr>
          <w:i/>
          <w:iCs/>
        </w:rPr>
        <w:t xml:space="preserve"> </w:t>
      </w:r>
      <w:r w:rsidRPr="00C52B38">
        <w:t>(2028).</w:t>
      </w:r>
      <w:r w:rsidRPr="00C52B38">
        <w:rPr>
          <w:i/>
          <w:iCs/>
        </w:rPr>
        <w:t xml:space="preserve"> Proyecciones demográficas, Australia, 2017 (base) – 2066. </w:t>
      </w:r>
      <w:hyperlink r:id="rId23" w:history="1">
        <w:r w:rsidRPr="007B6E72">
          <w:rPr>
            <w:rStyle w:val="Hipervnculo"/>
          </w:rPr>
          <w:t>https://www.abs.gov.au/statistics/people/population/population-projections-australia/latest-release</w:t>
        </w:r>
      </w:hyperlink>
      <w:r w:rsidRPr="00C52B38">
        <w:t>.</w:t>
      </w:r>
    </w:p>
  </w:footnote>
  <w:footnote w:id="28">
    <w:p w14:paraId="5B6DAEA8" w14:textId="1268B0E8" w:rsidR="000C706A" w:rsidRPr="00C52B38" w:rsidRDefault="000C706A" w:rsidP="000C706A">
      <w:pPr>
        <w:pStyle w:val="Textonotapie"/>
        <w:rPr>
          <w:b/>
        </w:rPr>
      </w:pPr>
      <w:r w:rsidRPr="00C52B38">
        <w:tab/>
      </w:r>
      <w:r w:rsidRPr="00C52B38">
        <w:rPr>
          <w:rStyle w:val="Refdenotaalpie"/>
        </w:rPr>
        <w:footnoteRef/>
      </w:r>
      <w:r w:rsidRPr="00C52B38">
        <w:tab/>
        <w:t xml:space="preserve">Oficina Australiana de Estadística (2022). </w:t>
      </w:r>
      <w:r w:rsidRPr="00C52B38">
        <w:rPr>
          <w:i/>
          <w:iCs/>
        </w:rPr>
        <w:t>Población del país, de los estados y de los territorios</w:t>
      </w:r>
      <w:r w:rsidRPr="00BA2A1D">
        <w:t>, junio de 2022</w:t>
      </w:r>
      <w:r w:rsidRPr="00C52B38">
        <w:t xml:space="preserve">. </w:t>
      </w:r>
      <w:hyperlink r:id="rId24" w:history="1">
        <w:r w:rsidRPr="007B6E72">
          <w:rPr>
            <w:rStyle w:val="Hipervnculo"/>
          </w:rPr>
          <w:t>https://www.abs.gov.au/statistics/people/population/national-state-and-territory-population/jun-2022</w:t>
        </w:r>
      </w:hyperlink>
      <w:r w:rsidRPr="00C52B38">
        <w:t>.</w:t>
      </w:r>
    </w:p>
  </w:footnote>
  <w:footnote w:id="29">
    <w:p w14:paraId="19D24EC8" w14:textId="6B6EAC23" w:rsidR="000C706A" w:rsidRPr="00C52B38" w:rsidRDefault="000C706A" w:rsidP="000C706A">
      <w:pPr>
        <w:pStyle w:val="Textonotapie"/>
      </w:pPr>
      <w:r w:rsidRPr="00C52B38">
        <w:tab/>
      </w:r>
      <w:r w:rsidRPr="00C52B38">
        <w:rPr>
          <w:rStyle w:val="Refdenotaalpie"/>
        </w:rPr>
        <w:footnoteRef/>
      </w:r>
      <w:r w:rsidRPr="00C52B38">
        <w:tab/>
        <w:t>Oficina Australiana de Estadística (2022).</w:t>
      </w:r>
      <w:r w:rsidRPr="00C52B38">
        <w:rPr>
          <w:i/>
          <w:iCs/>
        </w:rPr>
        <w:t xml:space="preserve"> Visión general de la situación de Australia</w:t>
      </w:r>
      <w:r w:rsidRPr="00C52B38">
        <w:t>,</w:t>
      </w:r>
      <w:r w:rsidRPr="00C52B38">
        <w:rPr>
          <w:i/>
          <w:iCs/>
        </w:rPr>
        <w:t xml:space="preserve"> 2021</w:t>
      </w:r>
      <w:r w:rsidR="00BA2A1D" w:rsidRPr="00BA2A1D">
        <w:t>, 2022</w:t>
      </w:r>
      <w:r w:rsidRPr="00C52B38">
        <w:rPr>
          <w:i/>
          <w:iCs/>
        </w:rPr>
        <w:t>.</w:t>
      </w:r>
      <w:r w:rsidRPr="00C52B38">
        <w:t xml:space="preserve"> </w:t>
      </w:r>
      <w:hyperlink r:id="rId25" w:anchor="our-families-and-households" w:history="1">
        <w:r w:rsidRPr="007B6E72">
          <w:rPr>
            <w:rStyle w:val="Hipervnculo"/>
          </w:rPr>
          <w:t>https://www.abs.gov.au/statistics/people/people-and-communities/snapshot-australia/2021#our-families-and-households</w:t>
        </w:r>
      </w:hyperlink>
      <w:r w:rsidRPr="00C52B38">
        <w:t>.</w:t>
      </w:r>
    </w:p>
  </w:footnote>
  <w:footnote w:id="30">
    <w:p w14:paraId="342509C7" w14:textId="0BB71E93" w:rsidR="000C706A" w:rsidRPr="00944527" w:rsidRDefault="000C706A" w:rsidP="000C706A">
      <w:pPr>
        <w:pStyle w:val="Textonotapie"/>
      </w:pPr>
      <w:r w:rsidRPr="00C52B38">
        <w:tab/>
      </w:r>
      <w:r w:rsidRPr="00C52B38">
        <w:rPr>
          <w:rStyle w:val="Refdenotaalpie"/>
        </w:rPr>
        <w:footnoteRef/>
      </w:r>
      <w:r w:rsidRPr="00C52B38">
        <w:tab/>
        <w:t>Oficina Australiana de Estadística (2022).</w:t>
      </w:r>
      <w:r w:rsidRPr="00C52B38">
        <w:rPr>
          <w:i/>
          <w:iCs/>
        </w:rPr>
        <w:t xml:space="preserve"> Australia: Resumen de información demográfica sobre los aborígenes y los isleños del estrecho de Torres</w:t>
      </w:r>
      <w:r w:rsidRPr="00944527">
        <w:t>.</w:t>
      </w:r>
      <w:r w:rsidR="00944527" w:rsidRPr="00944527">
        <w:t xml:space="preserve"> </w:t>
      </w:r>
      <w:hyperlink r:id="rId26" w:anchor="households-and-families" w:history="1">
        <w:r w:rsidR="00944527" w:rsidRPr="00944527">
          <w:rPr>
            <w:rStyle w:val="Hipervnculo"/>
          </w:rPr>
          <w:t>https://www.abs.gov.au/articles/australia-aboriginal-and-torres-strait-islander-population-summary#households-and-families</w:t>
        </w:r>
      </w:hyperlink>
      <w:r w:rsidR="00944527" w:rsidRPr="00944527">
        <w:t>.</w:t>
      </w:r>
    </w:p>
  </w:footnote>
  <w:footnote w:id="31">
    <w:p w14:paraId="0BF4D6D6" w14:textId="241ABFC5" w:rsidR="000C706A" w:rsidRPr="00C52B38" w:rsidRDefault="000C706A" w:rsidP="000C706A">
      <w:pPr>
        <w:pStyle w:val="Textonotapie"/>
      </w:pPr>
      <w:r w:rsidRPr="00C52B38">
        <w:tab/>
      </w:r>
      <w:r w:rsidRPr="00C52B38">
        <w:rPr>
          <w:rStyle w:val="Refdenotaalpie"/>
        </w:rPr>
        <w:footnoteRef/>
      </w:r>
      <w:r w:rsidRPr="00C52B38">
        <w:tab/>
        <w:t>Oficina Australiana de Estadística (2022).</w:t>
      </w:r>
      <w:r w:rsidRPr="00C52B38">
        <w:rPr>
          <w:i/>
          <w:iCs/>
        </w:rPr>
        <w:t xml:space="preserve"> Visión general de la situación de Australia</w:t>
      </w:r>
      <w:r w:rsidRPr="00C52B38">
        <w:t>,</w:t>
      </w:r>
      <w:r w:rsidRPr="00C52B38">
        <w:rPr>
          <w:i/>
          <w:iCs/>
        </w:rPr>
        <w:t xml:space="preserve"> 2021</w:t>
      </w:r>
      <w:r w:rsidR="000B76C3" w:rsidRPr="00BA2A1D">
        <w:t>, 2022</w:t>
      </w:r>
      <w:r w:rsidRPr="00C52B38">
        <w:rPr>
          <w:i/>
          <w:iCs/>
        </w:rPr>
        <w:t>.</w:t>
      </w:r>
      <w:r w:rsidRPr="00C52B38">
        <w:t xml:space="preserve"> </w:t>
      </w:r>
      <w:hyperlink r:id="rId27" w:anchor="our-families-and-households" w:history="1">
        <w:r w:rsidR="00944527" w:rsidRPr="004F31ED">
          <w:rPr>
            <w:rStyle w:val="Hipervnculo"/>
          </w:rPr>
          <w:t>https://www.abs.gov.au/statistics/people/people-and-communities/snapshot-australia/2021#our-families-and-households</w:t>
        </w:r>
      </w:hyperlink>
      <w:r w:rsidRPr="00C52B38">
        <w:t>.</w:t>
      </w:r>
    </w:p>
  </w:footnote>
  <w:footnote w:id="32">
    <w:p w14:paraId="4AE2846B" w14:textId="313B9DC4" w:rsidR="000C706A" w:rsidRPr="00C52B38" w:rsidRDefault="000C706A" w:rsidP="000C706A">
      <w:pPr>
        <w:pStyle w:val="Textonotapie"/>
      </w:pPr>
      <w:r w:rsidRPr="00C52B38">
        <w:tab/>
      </w:r>
      <w:r w:rsidRPr="00C52B38">
        <w:rPr>
          <w:rStyle w:val="Refdenotaalpie"/>
        </w:rPr>
        <w:footnoteRef/>
      </w:r>
      <w:r w:rsidRPr="00C52B38">
        <w:tab/>
        <w:t>Oficina Australiana de Estadística (2022).</w:t>
      </w:r>
      <w:r w:rsidRPr="00C52B38">
        <w:rPr>
          <w:i/>
          <w:iCs/>
        </w:rPr>
        <w:t xml:space="preserve"> Hogares y familias: Censo, 2021</w:t>
      </w:r>
      <w:r w:rsidR="000B76C3" w:rsidRPr="00BA2A1D">
        <w:t>, 2022</w:t>
      </w:r>
      <w:r w:rsidRPr="00C52B38">
        <w:rPr>
          <w:i/>
          <w:iCs/>
        </w:rPr>
        <w:t>.</w:t>
      </w:r>
      <w:r w:rsidRPr="00C52B38">
        <w:t xml:space="preserve"> </w:t>
      </w:r>
      <w:hyperlink r:id="rId28" w:history="1">
        <w:r w:rsidRPr="007B6E72">
          <w:rPr>
            <w:rStyle w:val="Hipervnculo"/>
          </w:rPr>
          <w:t>https://www.abs.gov.au/statistics/people/people-and-communities/household-and-families-census/2021</w:t>
        </w:r>
      </w:hyperlink>
      <w:r w:rsidRPr="00C52B38">
        <w:t>.</w:t>
      </w:r>
    </w:p>
  </w:footnote>
  <w:footnote w:id="33">
    <w:p w14:paraId="6EFECAF2" w14:textId="0B5EB400"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(2022). </w:t>
      </w:r>
      <w:r w:rsidRPr="00C52B38">
        <w:rPr>
          <w:i/>
          <w:iCs/>
        </w:rPr>
        <w:t>Ingresos y situación laboral: Censo, 2021</w:t>
      </w:r>
      <w:r w:rsidR="000B76C3" w:rsidRPr="00BA2A1D">
        <w:t>, 2022</w:t>
      </w:r>
      <w:r w:rsidRPr="00C52B38">
        <w:rPr>
          <w:i/>
          <w:iCs/>
        </w:rPr>
        <w:t>.</w:t>
      </w:r>
      <w:r w:rsidRPr="00C52B38">
        <w:t xml:space="preserve"> </w:t>
      </w:r>
      <w:hyperlink r:id="rId29" w:history="1">
        <w:r w:rsidRPr="00DE51F9">
          <w:rPr>
            <w:rStyle w:val="Hipervnculo"/>
          </w:rPr>
          <w:t>https://www.abs.gov.au/statistics/labour/earnings-and-working-conditions/income-and-work-census/2021</w:t>
        </w:r>
      </w:hyperlink>
      <w:r w:rsidRPr="00C52B38">
        <w:t>.</w:t>
      </w:r>
    </w:p>
  </w:footnote>
  <w:footnote w:id="34">
    <w:p w14:paraId="3FBC8A18" w14:textId="751A7A2A"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(2022). </w:t>
      </w:r>
      <w:r w:rsidRPr="00C52B38">
        <w:rPr>
          <w:i/>
          <w:iCs/>
        </w:rPr>
        <w:t>Ingresos y patrimonio de los hogares, Australia</w:t>
      </w:r>
      <w:r w:rsidRPr="00C52B38">
        <w:t xml:space="preserve">, </w:t>
      </w:r>
      <w:r w:rsidRPr="00C52B38">
        <w:rPr>
          <w:i/>
          <w:iCs/>
        </w:rPr>
        <w:t>2019</w:t>
      </w:r>
      <w:r w:rsidR="00DE51F9">
        <w:rPr>
          <w:i/>
          <w:iCs/>
        </w:rPr>
        <w:noBreakHyphen/>
      </w:r>
      <w:r w:rsidRPr="00C52B38">
        <w:rPr>
          <w:i/>
          <w:iCs/>
        </w:rPr>
        <w:t>2020</w:t>
      </w:r>
      <w:r w:rsidR="000B76C3" w:rsidRPr="00BA2A1D">
        <w:t>, 2022</w:t>
      </w:r>
      <w:r w:rsidRPr="00C52B38">
        <w:rPr>
          <w:i/>
          <w:iCs/>
        </w:rPr>
        <w:t>.</w:t>
      </w:r>
      <w:r w:rsidRPr="00C52B38">
        <w:t xml:space="preserve"> </w:t>
      </w:r>
      <w:hyperlink r:id="rId30" w:history="1">
        <w:r w:rsidRPr="00DE51F9">
          <w:rPr>
            <w:rStyle w:val="Hipervnculo"/>
          </w:rPr>
          <w:t>https://www.abs.gov.au/statistics/economy/finance/household-income-and-wealth-australia/2019-20</w:t>
        </w:r>
      </w:hyperlink>
      <w:r w:rsidRPr="00C52B38">
        <w:t>.</w:t>
      </w:r>
    </w:p>
  </w:footnote>
  <w:footnote w:id="35">
    <w:p w14:paraId="3F0A8F03" w14:textId="4B2C147A"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(2022). </w:t>
      </w:r>
      <w:r w:rsidRPr="00C52B38">
        <w:rPr>
          <w:i/>
          <w:iCs/>
        </w:rPr>
        <w:t>Ingresos y patrimonio de los hogares, Australia</w:t>
      </w:r>
      <w:r w:rsidRPr="00C52B38">
        <w:t xml:space="preserve">, </w:t>
      </w:r>
      <w:r w:rsidRPr="00C52B38">
        <w:rPr>
          <w:i/>
          <w:iCs/>
        </w:rPr>
        <w:t>2019</w:t>
      </w:r>
      <w:r w:rsidR="00DE51F9">
        <w:rPr>
          <w:i/>
          <w:iCs/>
        </w:rPr>
        <w:noBreakHyphen/>
      </w:r>
      <w:r w:rsidRPr="00C52B38">
        <w:rPr>
          <w:i/>
          <w:iCs/>
        </w:rPr>
        <w:t>2020</w:t>
      </w:r>
      <w:r w:rsidR="000B76C3" w:rsidRPr="00BA2A1D">
        <w:t>, 2022</w:t>
      </w:r>
      <w:r w:rsidRPr="00C52B38">
        <w:rPr>
          <w:i/>
          <w:iCs/>
        </w:rPr>
        <w:t>.</w:t>
      </w:r>
      <w:r w:rsidRPr="00C52B38">
        <w:t xml:space="preserve"> </w:t>
      </w:r>
      <w:hyperlink r:id="rId31" w:history="1">
        <w:r w:rsidRPr="00DE51F9">
          <w:rPr>
            <w:rStyle w:val="Hipervnculo"/>
          </w:rPr>
          <w:t>https://www.abs.gov.au/statistics/economy/finance/household-income-and-wealth-australia/2019-20</w:t>
        </w:r>
      </w:hyperlink>
      <w:r w:rsidRPr="00C52B38">
        <w:t>.</w:t>
      </w:r>
    </w:p>
  </w:footnote>
  <w:footnote w:id="36">
    <w:p w14:paraId="131D4D32" w14:textId="4E0278F2"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 (</w:t>
      </w:r>
      <w:r w:rsidR="000B76C3">
        <w:t>e</w:t>
      </w:r>
      <w:r w:rsidRPr="00C52B38">
        <w:t>l coeficiente de Gini es una medida de la desviación de la distribución de los ingresos entre individuos u hogares dentro de un país con respecto a una distribución perfectamente equitativa. Un coeficiente de 0 representa la igualdad absoluta, mientras que un coeficiente de 1 representa la desigualdad máxima).</w:t>
      </w:r>
    </w:p>
  </w:footnote>
  <w:footnote w:id="37">
    <w:p w14:paraId="6627283D"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38">
    <w:p w14:paraId="073FAB64"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39">
    <w:p w14:paraId="309EDF24"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40">
    <w:p w14:paraId="59E32A50" w14:textId="63A33E95"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(2017). </w:t>
      </w:r>
      <w:r w:rsidRPr="00C52B38">
        <w:rPr>
          <w:i/>
          <w:iCs/>
        </w:rPr>
        <w:t>6530.0 – Estudio sobre el gasto de los hogares, Australia: Resumen de resultados, 2015</w:t>
      </w:r>
      <w:r w:rsidR="000B76C3">
        <w:rPr>
          <w:i/>
          <w:iCs/>
        </w:rPr>
        <w:t>-</w:t>
      </w:r>
      <w:r w:rsidRPr="00C52B38">
        <w:rPr>
          <w:i/>
          <w:iCs/>
        </w:rPr>
        <w:t>2016</w:t>
      </w:r>
      <w:r w:rsidR="00DE51F9">
        <w:t xml:space="preserve">, </w:t>
      </w:r>
      <w:hyperlink r:id="rId32" w:history="1">
        <w:proofErr w:type="spellStart"/>
        <w:r w:rsidR="00DE51F9">
          <w:rPr>
            <w:rStyle w:val="Hipervnculo"/>
          </w:rPr>
          <w:t>www.abs.gov.au</w:t>
        </w:r>
        <w:proofErr w:type="spellEnd"/>
        <w:r w:rsidR="00DE51F9">
          <w:rPr>
            <w:rStyle w:val="Hipervnculo"/>
          </w:rPr>
          <w:t>/</w:t>
        </w:r>
        <w:proofErr w:type="spellStart"/>
        <w:r w:rsidR="00DE51F9">
          <w:rPr>
            <w:rStyle w:val="Hipervnculo"/>
          </w:rPr>
          <w:t>ausstats</w:t>
        </w:r>
        <w:proofErr w:type="spellEnd"/>
        <w:r w:rsidR="00DE51F9">
          <w:rPr>
            <w:rStyle w:val="Hipervnculo"/>
          </w:rPr>
          <w:t>/</w:t>
        </w:r>
        <w:proofErr w:type="spellStart"/>
        <w:r w:rsidR="00DE51F9">
          <w:rPr>
            <w:rStyle w:val="Hipervnculo"/>
          </w:rPr>
          <w:t>abs</w:t>
        </w:r>
        <w:proofErr w:type="spellEnd"/>
        <w:r w:rsidR="00DE51F9">
          <w:rPr>
            <w:rStyle w:val="Hipervnculo"/>
          </w:rPr>
          <w:t>@.</w:t>
        </w:r>
        <w:proofErr w:type="spellStart"/>
        <w:r w:rsidR="00DE51F9">
          <w:rPr>
            <w:rStyle w:val="Hipervnculo"/>
          </w:rPr>
          <w:t>nsf</w:t>
        </w:r>
        <w:proofErr w:type="spellEnd"/>
        <w:r w:rsidR="00DE51F9">
          <w:rPr>
            <w:rStyle w:val="Hipervnculo"/>
          </w:rPr>
          <w:t>/</w:t>
        </w:r>
        <w:proofErr w:type="spellStart"/>
        <w:r w:rsidR="00DE51F9">
          <w:rPr>
            <w:rStyle w:val="Hipervnculo"/>
          </w:rPr>
          <w:t>mf</w:t>
        </w:r>
        <w:proofErr w:type="spellEnd"/>
        <w:r w:rsidR="00DE51F9">
          <w:rPr>
            <w:rStyle w:val="Hipervnculo"/>
          </w:rPr>
          <w:t>/6530.0</w:t>
        </w:r>
      </w:hyperlink>
      <w:r w:rsidRPr="00C52B38">
        <w:t>.</w:t>
      </w:r>
    </w:p>
  </w:footnote>
  <w:footnote w:id="41">
    <w:p w14:paraId="7ADB2EC7" w14:textId="51676146" w:rsidR="000C706A" w:rsidRPr="00C52B38" w:rsidRDefault="000C706A" w:rsidP="000C706A">
      <w:pPr>
        <w:pStyle w:val="Textonotapie"/>
      </w:pPr>
      <w:r w:rsidRPr="00C52B38">
        <w:tab/>
      </w:r>
      <w:r w:rsidRPr="00C52B38">
        <w:rPr>
          <w:rStyle w:val="Refdenotaalpie"/>
        </w:rPr>
        <w:footnoteRef/>
      </w:r>
      <w:r w:rsidRPr="00C52B38">
        <w:tab/>
        <w:t xml:space="preserve">Declaración “Evaluar lo importante”, </w:t>
      </w:r>
      <w:hyperlink r:id="rId33" w:history="1">
        <w:r w:rsidRPr="00DE51F9">
          <w:rPr>
            <w:rStyle w:val="Hipervnculo"/>
          </w:rPr>
          <w:t>https://treasury.gov.au/sites/default/files/2023-07/measuring-what-matters-statement020230721_0.pdf</w:t>
        </w:r>
      </w:hyperlink>
      <w:r w:rsidRPr="00C52B38">
        <w:t>.</w:t>
      </w:r>
    </w:p>
  </w:footnote>
  <w:footnote w:id="42">
    <w:p w14:paraId="459E81D4" w14:textId="2273DC1C" w:rsidR="000C706A" w:rsidRPr="00C52B38" w:rsidRDefault="000C706A" w:rsidP="000C706A">
      <w:pPr>
        <w:pStyle w:val="Textonotapie"/>
      </w:pPr>
      <w:r w:rsidRPr="00C52B38">
        <w:tab/>
      </w:r>
      <w:r w:rsidRPr="00C52B38">
        <w:rPr>
          <w:rStyle w:val="Refdenotaalpie"/>
        </w:rPr>
        <w:footnoteRef/>
      </w:r>
      <w:r w:rsidRPr="00C52B38">
        <w:tab/>
        <w:t>Oficina Australiana de Estadística.</w:t>
      </w:r>
      <w:r w:rsidRPr="00C52B38">
        <w:rPr>
          <w:i/>
          <w:iCs/>
        </w:rPr>
        <w:t xml:space="preserve"> Fuerza de trabajo, Australia. Datos desestacionalizados, febrero de 2023</w:t>
      </w:r>
      <w:r w:rsidRPr="00C52B38">
        <w:t xml:space="preserve">. </w:t>
      </w:r>
      <w:hyperlink r:id="rId34" w:history="1">
        <w:r w:rsidRPr="00DE51F9">
          <w:rPr>
            <w:rStyle w:val="Hipervnculo"/>
          </w:rPr>
          <w:t>https://www.abs.gov.au/statistics/labour/employment-and-unemployment/labour-force-australia/latest-release</w:t>
        </w:r>
      </w:hyperlink>
      <w:r w:rsidRPr="00C52B38">
        <w:t>.</w:t>
      </w:r>
    </w:p>
  </w:footnote>
  <w:footnote w:id="43">
    <w:p w14:paraId="6CE76D77"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44">
    <w:p w14:paraId="055F6B11" w14:textId="7C4FD959"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w:t>
      </w:r>
      <w:r w:rsidRPr="00C52B38">
        <w:rPr>
          <w:i/>
          <w:iCs/>
        </w:rPr>
        <w:t>Fuerza de trabajo, Australia. Datos trimestrales desestacionalizados, junio de 2023.</w:t>
      </w:r>
      <w:r w:rsidRPr="00C52B38">
        <w:t xml:space="preserve"> </w:t>
      </w:r>
      <w:hyperlink r:id="rId35" w:history="1">
        <w:r w:rsidRPr="00DE51F9">
          <w:rPr>
            <w:rStyle w:val="Hipervnculo"/>
          </w:rPr>
          <w:t>https://www.abs.gov.au/statistics/labour/employment-and-unemployment/labour-force-australia-detailed/latest-release</w:t>
        </w:r>
      </w:hyperlink>
      <w:r w:rsidRPr="00C52B38">
        <w:t>.</w:t>
      </w:r>
    </w:p>
  </w:footnote>
  <w:footnote w:id="45">
    <w:p w14:paraId="389B0FF7" w14:textId="65B2D717" w:rsidR="000C706A" w:rsidRPr="00045CC8" w:rsidRDefault="000C706A" w:rsidP="000C706A">
      <w:pPr>
        <w:pStyle w:val="Textonotapie"/>
      </w:pPr>
      <w:r w:rsidRPr="00C52B38">
        <w:tab/>
      </w:r>
      <w:r w:rsidRPr="00C52B38">
        <w:rPr>
          <w:rStyle w:val="Refdenotaalpie"/>
        </w:rPr>
        <w:footnoteRef/>
      </w:r>
      <w:r w:rsidRPr="00C52B38">
        <w:rPr>
          <w:lang w:val="en-US"/>
        </w:rPr>
        <w:tab/>
      </w:r>
      <w:proofErr w:type="spellStart"/>
      <w:r w:rsidRPr="00C52B38">
        <w:rPr>
          <w:lang w:val="en-US"/>
        </w:rPr>
        <w:t>Comisión</w:t>
      </w:r>
      <w:proofErr w:type="spellEnd"/>
      <w:r w:rsidRPr="00C52B38">
        <w:rPr>
          <w:lang w:val="en-US"/>
        </w:rPr>
        <w:t xml:space="preserve"> de </w:t>
      </w:r>
      <w:proofErr w:type="spellStart"/>
      <w:r w:rsidRPr="00C52B38">
        <w:rPr>
          <w:lang w:val="en-US"/>
        </w:rPr>
        <w:t>productividad</w:t>
      </w:r>
      <w:proofErr w:type="spellEnd"/>
      <w:r w:rsidRPr="00C52B38">
        <w:rPr>
          <w:lang w:val="en-US"/>
        </w:rPr>
        <w:t xml:space="preserve">. </w:t>
      </w:r>
      <w:r w:rsidRPr="00C52B38">
        <w:rPr>
          <w:i/>
          <w:lang w:val="en-US"/>
        </w:rPr>
        <w:t>Closing the Gap: Annual Data Compilation Report July 2023</w:t>
      </w:r>
      <w:r w:rsidRPr="00C52B38">
        <w:rPr>
          <w:lang w:val="en-US"/>
        </w:rPr>
        <w:t xml:space="preserve">. </w:t>
      </w:r>
      <w:hyperlink r:id="rId36" w:history="1">
        <w:r w:rsidRPr="00045CC8">
          <w:rPr>
            <w:rStyle w:val="Hipervnculo"/>
          </w:rPr>
          <w:t>https://www.pc.gov.au/closing-the-gap-data/annual-data-report/report</w:t>
        </w:r>
      </w:hyperlink>
      <w:r w:rsidRPr="00045CC8">
        <w:t>.</w:t>
      </w:r>
    </w:p>
  </w:footnote>
  <w:footnote w:id="46">
    <w:p w14:paraId="2FC057B0" w14:textId="2AA18399" w:rsidR="000C706A" w:rsidRPr="00C52B38" w:rsidRDefault="000C706A" w:rsidP="000C706A">
      <w:pPr>
        <w:pStyle w:val="Textonotapie"/>
      </w:pPr>
      <w:r w:rsidRPr="00045CC8">
        <w:tab/>
      </w:r>
      <w:r w:rsidRPr="00C52B38">
        <w:rPr>
          <w:rStyle w:val="Refdenotaalpie"/>
        </w:rPr>
        <w:footnoteRef/>
      </w:r>
      <w:r w:rsidRPr="00C52B38">
        <w:tab/>
        <w:t xml:space="preserve">Oficina Australiana de Estadística. </w:t>
      </w:r>
      <w:r w:rsidRPr="00C52B38">
        <w:rPr>
          <w:i/>
          <w:iCs/>
        </w:rPr>
        <w:t>Fuerza de trabajo, Australia, Datos trimestrales desestacionalizados, mayo de 2023.</w:t>
      </w:r>
      <w:r w:rsidRPr="00C52B38">
        <w:t xml:space="preserve"> </w:t>
      </w:r>
      <w:hyperlink r:id="rId37" w:history="1">
        <w:r w:rsidRPr="00C30B42">
          <w:rPr>
            <w:rStyle w:val="Hipervnculo"/>
          </w:rPr>
          <w:t>https://www.abs.gov.au/statistics/labour/employment-and-unemployment/labour-force-australia-detailed/latest-release</w:t>
        </w:r>
      </w:hyperlink>
      <w:r w:rsidRPr="00C52B38">
        <w:t>.</w:t>
      </w:r>
    </w:p>
  </w:footnote>
  <w:footnote w:id="47">
    <w:p w14:paraId="00F0D66E" w14:textId="7FEC3492"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(2022). </w:t>
      </w:r>
      <w:r w:rsidRPr="00C52B38">
        <w:rPr>
          <w:i/>
          <w:iCs/>
        </w:rPr>
        <w:t>6333.0 – Características del empleo, Australia, agosto de</w:t>
      </w:r>
      <w:r w:rsidR="00C30B42">
        <w:rPr>
          <w:i/>
          <w:iCs/>
        </w:rPr>
        <w:t> </w:t>
      </w:r>
      <w:r w:rsidRPr="00C52B38">
        <w:rPr>
          <w:i/>
          <w:iCs/>
        </w:rPr>
        <w:t>2022.</w:t>
      </w:r>
      <w:r w:rsidRPr="00C52B38">
        <w:t xml:space="preserve"> </w:t>
      </w:r>
      <w:hyperlink r:id="rId38" w:history="1">
        <w:proofErr w:type="spellStart"/>
        <w:r w:rsidR="00C30B42" w:rsidRPr="004F31ED">
          <w:rPr>
            <w:rStyle w:val="Hipervnculo"/>
          </w:rPr>
          <w:t>www.abs.gov.au</w:t>
        </w:r>
        <w:proofErr w:type="spellEnd"/>
        <w:r w:rsidR="00C30B42" w:rsidRPr="004F31ED">
          <w:rPr>
            <w:rStyle w:val="Hipervnculo"/>
          </w:rPr>
          <w:t>/</w:t>
        </w:r>
        <w:proofErr w:type="spellStart"/>
        <w:r w:rsidR="00C30B42" w:rsidRPr="004F31ED">
          <w:rPr>
            <w:rStyle w:val="Hipervnculo"/>
          </w:rPr>
          <w:t>ausstats</w:t>
        </w:r>
        <w:proofErr w:type="spellEnd"/>
        <w:r w:rsidR="00C30B42" w:rsidRPr="004F31ED">
          <w:rPr>
            <w:rStyle w:val="Hipervnculo"/>
          </w:rPr>
          <w:t>/</w:t>
        </w:r>
        <w:proofErr w:type="spellStart"/>
        <w:r w:rsidR="00C30B42" w:rsidRPr="004F31ED">
          <w:rPr>
            <w:rStyle w:val="Hipervnculo"/>
          </w:rPr>
          <w:t>abs</w:t>
        </w:r>
        <w:proofErr w:type="spellEnd"/>
        <w:r w:rsidR="00C30B42" w:rsidRPr="004F31ED">
          <w:rPr>
            <w:rStyle w:val="Hipervnculo"/>
          </w:rPr>
          <w:t>@.</w:t>
        </w:r>
        <w:proofErr w:type="spellStart"/>
        <w:r w:rsidR="00C30B42" w:rsidRPr="004F31ED">
          <w:rPr>
            <w:rStyle w:val="Hipervnculo"/>
          </w:rPr>
          <w:t>nsf</w:t>
        </w:r>
        <w:proofErr w:type="spellEnd"/>
        <w:r w:rsidR="00C30B42" w:rsidRPr="004F31ED">
          <w:rPr>
            <w:rStyle w:val="Hipervnculo"/>
          </w:rPr>
          <w:t>/</w:t>
        </w:r>
        <w:proofErr w:type="spellStart"/>
        <w:r w:rsidR="00C30B42" w:rsidRPr="004F31ED">
          <w:rPr>
            <w:rStyle w:val="Hipervnculo"/>
          </w:rPr>
          <w:t>mf</w:t>
        </w:r>
        <w:proofErr w:type="spellEnd"/>
        <w:r w:rsidR="00C30B42" w:rsidRPr="004F31ED">
          <w:rPr>
            <w:rStyle w:val="Hipervnculo"/>
          </w:rPr>
          <w:t>/6333.0</w:t>
        </w:r>
      </w:hyperlink>
      <w:r w:rsidRPr="00C52B38">
        <w:t>.</w:t>
      </w:r>
      <w:r w:rsidR="00C30B42">
        <w:t xml:space="preserve"> </w:t>
      </w:r>
    </w:p>
  </w:footnote>
  <w:footnote w:id="48">
    <w:p w14:paraId="325EE51F" w14:textId="075AB9AD" w:rsidR="000C706A" w:rsidRPr="00C52B38" w:rsidRDefault="000C706A" w:rsidP="000C706A">
      <w:pPr>
        <w:pStyle w:val="Textonotapie"/>
      </w:pPr>
      <w:r w:rsidRPr="00C52B38">
        <w:tab/>
      </w:r>
      <w:r w:rsidRPr="00C52B38">
        <w:rPr>
          <w:rStyle w:val="Refdenotaalpie"/>
        </w:rPr>
        <w:footnoteRef/>
      </w:r>
      <w:r w:rsidRPr="00C52B38">
        <w:tab/>
        <w:t xml:space="preserve">Autoridad Australiana de Currículo, Evaluación e Informes (2021). </w:t>
      </w:r>
      <w:r w:rsidRPr="00C52B38">
        <w:rPr>
          <w:i/>
          <w:iCs/>
        </w:rPr>
        <w:t xml:space="preserve">Informe nacional sobre la escolarización en Australia. </w:t>
      </w:r>
      <w:hyperlink r:id="rId39" w:history="1">
        <w:r w:rsidR="00C30B42" w:rsidRPr="00C30B42">
          <w:rPr>
            <w:rStyle w:val="Hipervnculo"/>
          </w:rPr>
          <w:t>https://acaraweb.blob.core.windows.net/acaraweb/docs/default-source/assessment-and-reporting-publications/national-report-on-schooling-in-australia-2021.pdf?sfvrsn=f9184c07_0</w:t>
        </w:r>
      </w:hyperlink>
      <w:r w:rsidRPr="00C52B38">
        <w:t>.</w:t>
      </w:r>
    </w:p>
  </w:footnote>
  <w:footnote w:id="49">
    <w:p w14:paraId="7D88A1B6"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50">
    <w:p w14:paraId="7DB0CB72" w14:textId="4F24ED42"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(2023). </w:t>
      </w:r>
      <w:r w:rsidRPr="00C52B38">
        <w:rPr>
          <w:i/>
          <w:iCs/>
        </w:rPr>
        <w:t>Escuelas, 2022</w:t>
      </w:r>
      <w:r w:rsidR="000B76C3" w:rsidRPr="00BA2A1D">
        <w:t>, 202</w:t>
      </w:r>
      <w:r w:rsidR="000B76C3">
        <w:t>3</w:t>
      </w:r>
      <w:r w:rsidRPr="00C52B38">
        <w:rPr>
          <w:i/>
          <w:iCs/>
        </w:rPr>
        <w:t>.</w:t>
      </w:r>
      <w:r w:rsidRPr="00C52B38">
        <w:t xml:space="preserve"> </w:t>
      </w:r>
      <w:hyperlink r:id="rId40" w:history="1">
        <w:r w:rsidRPr="000B76C3">
          <w:rPr>
            <w:rStyle w:val="Hipervnculo"/>
          </w:rPr>
          <w:t>https://www.abs.gov.au/statistics/people/education/schools/latest-release</w:t>
        </w:r>
      </w:hyperlink>
      <w:r w:rsidRPr="00C52B38">
        <w:t>.</w:t>
      </w:r>
    </w:p>
  </w:footnote>
  <w:footnote w:id="51">
    <w:p w14:paraId="0279D478"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52">
    <w:p w14:paraId="16D8C368"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53">
    <w:p w14:paraId="14CD2F06"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54">
    <w:p w14:paraId="1E91B32D"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55">
    <w:p w14:paraId="56938F73" w14:textId="225EAF5E" w:rsidR="000C706A" w:rsidRPr="00C52B38" w:rsidRDefault="000C706A" w:rsidP="000C706A">
      <w:pPr>
        <w:pStyle w:val="Textonotapie"/>
      </w:pPr>
      <w:r w:rsidRPr="00C52B38">
        <w:tab/>
      </w:r>
      <w:r w:rsidRPr="00C52B38">
        <w:rPr>
          <w:rStyle w:val="Refdenotaalpie"/>
        </w:rPr>
        <w:footnoteRef/>
      </w:r>
      <w:r w:rsidRPr="00C52B38">
        <w:tab/>
        <w:t xml:space="preserve">Consejo Australiano de Investigación Educativa (2017). </w:t>
      </w:r>
      <w:r w:rsidRPr="00C52B38">
        <w:rPr>
          <w:i/>
          <w:iCs/>
        </w:rPr>
        <w:t xml:space="preserve">Presentación de los resultados de Australia, </w:t>
      </w:r>
      <w:proofErr w:type="spellStart"/>
      <w:r w:rsidRPr="00C52B38">
        <w:rPr>
          <w:i/>
          <w:iCs/>
        </w:rPr>
        <w:t>PIRLS</w:t>
      </w:r>
      <w:proofErr w:type="spellEnd"/>
      <w:r w:rsidRPr="00C52B38">
        <w:rPr>
          <w:i/>
          <w:iCs/>
        </w:rPr>
        <w:t xml:space="preserve"> 2016.</w:t>
      </w:r>
      <w:r w:rsidRPr="00C52B38">
        <w:t xml:space="preserve"> Victoria, </w:t>
      </w:r>
      <w:hyperlink r:id="rId41" w:history="1">
        <w:r w:rsidRPr="00C30B42">
          <w:rPr>
            <w:rStyle w:val="Hipervnculo"/>
          </w:rPr>
          <w:t>https://</w:t>
        </w:r>
        <w:proofErr w:type="spellStart"/>
        <w:r w:rsidRPr="00C30B42">
          <w:rPr>
            <w:rStyle w:val="Hipervnculo"/>
          </w:rPr>
          <w:t>research.acer.edu.au</w:t>
        </w:r>
        <w:proofErr w:type="spellEnd"/>
        <w:r w:rsidRPr="00C30B42">
          <w:rPr>
            <w:rStyle w:val="Hipervnculo"/>
          </w:rPr>
          <w:t>/</w:t>
        </w:r>
        <w:proofErr w:type="spellStart"/>
        <w:r w:rsidRPr="00C30B42">
          <w:rPr>
            <w:rStyle w:val="Hipervnculo"/>
          </w:rPr>
          <w:t>pirls</w:t>
        </w:r>
        <w:proofErr w:type="spellEnd"/>
        <w:r w:rsidRPr="00C30B42">
          <w:rPr>
            <w:rStyle w:val="Hipervnculo"/>
          </w:rPr>
          <w:t>/1/</w:t>
        </w:r>
      </w:hyperlink>
      <w:r w:rsidRPr="00C52B38">
        <w:t>.</w:t>
      </w:r>
    </w:p>
  </w:footnote>
  <w:footnote w:id="56">
    <w:p w14:paraId="75F32144" w14:textId="5D2C0678" w:rsidR="000C706A" w:rsidRPr="00C52B38" w:rsidRDefault="000C706A" w:rsidP="000C706A">
      <w:pPr>
        <w:pStyle w:val="Textonotapie"/>
      </w:pPr>
      <w:r w:rsidRPr="00C52B38">
        <w:tab/>
      </w:r>
      <w:r w:rsidRPr="00C52B38">
        <w:rPr>
          <w:rStyle w:val="Refdenotaalpie"/>
        </w:rPr>
        <w:footnoteRef/>
      </w:r>
      <w:r w:rsidRPr="00C52B38">
        <w:tab/>
        <w:t xml:space="preserve">Agencia Nacional de Australianos Indígenas. </w:t>
      </w:r>
      <w:r w:rsidRPr="00C52B38">
        <w:rPr>
          <w:i/>
          <w:iCs/>
        </w:rPr>
        <w:t>Informe Anual del Commonwealth sobre la Estrategia Cerrar la Brecha 2022.</w:t>
      </w:r>
      <w:r w:rsidRPr="00C52B38">
        <w:t xml:space="preserve"> </w:t>
      </w:r>
      <w:hyperlink r:id="rId42" w:history="1">
        <w:r w:rsidRPr="00C30B42">
          <w:rPr>
            <w:rStyle w:val="Hipervnculo"/>
          </w:rPr>
          <w:t>https://www.niaa.gov.au/sites/default/files/publications/niaa-closing-the-gap-annual-report-2022.pdf</w:t>
        </w:r>
      </w:hyperlink>
      <w:r w:rsidRPr="00C52B38">
        <w:t>.</w:t>
      </w:r>
    </w:p>
  </w:footnote>
  <w:footnote w:id="57">
    <w:p w14:paraId="0B501C87" w14:textId="1F3B6889" w:rsidR="000C706A" w:rsidRPr="00C52B38" w:rsidRDefault="000C706A" w:rsidP="000C706A">
      <w:pPr>
        <w:pStyle w:val="Textonotapie"/>
      </w:pPr>
      <w:r w:rsidRPr="00C52B38">
        <w:tab/>
      </w:r>
      <w:r w:rsidRPr="00C52B38">
        <w:rPr>
          <w:rStyle w:val="Refdenotaalpie"/>
        </w:rPr>
        <w:footnoteRef/>
      </w:r>
      <w:r w:rsidRPr="00C52B38">
        <w:tab/>
      </w:r>
      <w:proofErr w:type="spellStart"/>
      <w:r w:rsidRPr="00C52B38">
        <w:t>Higher</w:t>
      </w:r>
      <w:proofErr w:type="spellEnd"/>
      <w:r w:rsidRPr="00C52B38">
        <w:t xml:space="preserve"> </w:t>
      </w:r>
      <w:proofErr w:type="spellStart"/>
      <w:r w:rsidRPr="00C52B38">
        <w:t>Education</w:t>
      </w:r>
      <w:proofErr w:type="spellEnd"/>
      <w:r w:rsidRPr="00C52B38">
        <w:t xml:space="preserve"> </w:t>
      </w:r>
      <w:proofErr w:type="spellStart"/>
      <w:r w:rsidRPr="00C52B38">
        <w:t>Student</w:t>
      </w:r>
      <w:proofErr w:type="spellEnd"/>
      <w:r w:rsidRPr="00C52B38">
        <w:t xml:space="preserve"> </w:t>
      </w:r>
      <w:proofErr w:type="spellStart"/>
      <w:r w:rsidRPr="00C52B38">
        <w:t>Collection</w:t>
      </w:r>
      <w:proofErr w:type="spellEnd"/>
      <w:r w:rsidRPr="00C52B38">
        <w:t xml:space="preserve">. Datos estadísticos sobre educación superior del Departamento de Educación </w:t>
      </w:r>
      <w:r w:rsidR="00045CC8">
        <w:t>–</w:t>
      </w:r>
      <w:r w:rsidRPr="00C52B38">
        <w:t xml:space="preserve"> Departamento de Educación, Datos del Gobierno de Australia sobre los estudiantes </w:t>
      </w:r>
      <w:r w:rsidR="00045CC8">
        <w:t>–</w:t>
      </w:r>
      <w:r w:rsidRPr="00C52B38">
        <w:t xml:space="preserve"> Departamento de Educación, Gobierno de Australia.</w:t>
      </w:r>
    </w:p>
  </w:footnote>
  <w:footnote w:id="58">
    <w:p w14:paraId="1B630D09" w14:textId="079C34A3" w:rsidR="000C706A" w:rsidRPr="00DB209B" w:rsidRDefault="000C706A" w:rsidP="000C706A">
      <w:pPr>
        <w:pStyle w:val="Textonotapie"/>
      </w:pPr>
      <w:r w:rsidRPr="00C52B38">
        <w:tab/>
      </w:r>
      <w:r w:rsidRPr="00C52B38">
        <w:rPr>
          <w:rStyle w:val="Refdenotaalpie"/>
        </w:rPr>
        <w:footnoteRef/>
      </w:r>
      <w:r w:rsidRPr="00C52B38">
        <w:rPr>
          <w:lang w:val="en-US"/>
        </w:rPr>
        <w:tab/>
      </w:r>
      <w:proofErr w:type="spellStart"/>
      <w:r w:rsidRPr="00C52B38">
        <w:rPr>
          <w:lang w:val="en-US"/>
        </w:rPr>
        <w:t>Comisión</w:t>
      </w:r>
      <w:proofErr w:type="spellEnd"/>
      <w:r w:rsidRPr="00C52B38">
        <w:rPr>
          <w:lang w:val="en-US"/>
        </w:rPr>
        <w:t xml:space="preserve"> de </w:t>
      </w:r>
      <w:proofErr w:type="spellStart"/>
      <w:r w:rsidRPr="00C52B38">
        <w:rPr>
          <w:lang w:val="en-US"/>
        </w:rPr>
        <w:t>productividad</w:t>
      </w:r>
      <w:proofErr w:type="spellEnd"/>
      <w:r w:rsidRPr="00C52B38">
        <w:rPr>
          <w:lang w:val="en-US"/>
        </w:rPr>
        <w:t xml:space="preserve">. </w:t>
      </w:r>
      <w:r w:rsidRPr="00C52B38">
        <w:rPr>
          <w:i/>
          <w:lang w:val="en-US"/>
        </w:rPr>
        <w:t>Closing the Gap: Annual Data Compilation Report July 2023</w:t>
      </w:r>
      <w:r w:rsidRPr="00C52B38">
        <w:rPr>
          <w:lang w:val="en-US"/>
        </w:rPr>
        <w:t xml:space="preserve">. </w:t>
      </w:r>
      <w:hyperlink r:id="rId43" w:history="1">
        <w:r w:rsidRPr="00DB209B">
          <w:rPr>
            <w:rStyle w:val="Hipervnculo"/>
          </w:rPr>
          <w:t>https://www.pc.gov.au/closing-the-gap-data/annual-data-report/report</w:t>
        </w:r>
      </w:hyperlink>
      <w:r w:rsidRPr="00DB209B">
        <w:t>.</w:t>
      </w:r>
    </w:p>
  </w:footnote>
  <w:footnote w:id="59">
    <w:p w14:paraId="41F7C944" w14:textId="2F75465D" w:rsidR="000C706A" w:rsidRPr="00DB209B" w:rsidRDefault="000C706A" w:rsidP="000C706A">
      <w:pPr>
        <w:pStyle w:val="Textonotapie"/>
      </w:pPr>
      <w:r w:rsidRPr="00DB209B">
        <w:tab/>
      </w:r>
      <w:r w:rsidRPr="00C52B38">
        <w:rPr>
          <w:rStyle w:val="Refdenotaalpie"/>
        </w:rPr>
        <w:footnoteRef/>
      </w:r>
      <w:bookmarkStart w:id="16" w:name="_Hlk142304856"/>
      <w:r w:rsidRPr="00C52B38">
        <w:rPr>
          <w:lang w:val="en-US"/>
        </w:rPr>
        <w:tab/>
      </w:r>
      <w:proofErr w:type="spellStart"/>
      <w:r w:rsidRPr="00C52B38">
        <w:rPr>
          <w:lang w:val="en-US"/>
        </w:rPr>
        <w:t>Comisión</w:t>
      </w:r>
      <w:proofErr w:type="spellEnd"/>
      <w:r w:rsidRPr="00C52B38">
        <w:rPr>
          <w:lang w:val="en-US"/>
        </w:rPr>
        <w:t xml:space="preserve"> de </w:t>
      </w:r>
      <w:proofErr w:type="spellStart"/>
      <w:r w:rsidRPr="00C52B38">
        <w:rPr>
          <w:lang w:val="en-US"/>
        </w:rPr>
        <w:t>productividad</w:t>
      </w:r>
      <w:proofErr w:type="spellEnd"/>
      <w:r w:rsidRPr="00C52B38">
        <w:rPr>
          <w:lang w:val="en-US"/>
        </w:rPr>
        <w:t xml:space="preserve">. </w:t>
      </w:r>
      <w:r w:rsidRPr="00C52B38">
        <w:rPr>
          <w:i/>
          <w:lang w:val="en-US"/>
        </w:rPr>
        <w:t>Closing the Gap: Annual Data Compilation Report July 2023</w:t>
      </w:r>
      <w:r w:rsidRPr="00C52B38">
        <w:rPr>
          <w:lang w:val="en-US"/>
        </w:rPr>
        <w:t xml:space="preserve">. </w:t>
      </w:r>
      <w:hyperlink r:id="rId44" w:history="1">
        <w:r w:rsidRPr="00DB209B">
          <w:rPr>
            <w:rStyle w:val="Hipervnculo"/>
          </w:rPr>
          <w:t>https://www.pc.gov.au/closing-the-gap-data/annual-data-report/report</w:t>
        </w:r>
      </w:hyperlink>
      <w:r w:rsidRPr="00DB209B">
        <w:t>.</w:t>
      </w:r>
      <w:bookmarkEnd w:id="16"/>
    </w:p>
  </w:footnote>
  <w:footnote w:id="60">
    <w:p w14:paraId="59F11BFB" w14:textId="240CB857" w:rsidR="000C706A" w:rsidRPr="00C52B38" w:rsidRDefault="000C706A" w:rsidP="000C706A">
      <w:pPr>
        <w:pStyle w:val="Textonotapie"/>
      </w:pPr>
      <w:r w:rsidRPr="00DB209B">
        <w:tab/>
      </w:r>
      <w:r w:rsidRPr="00C52B38">
        <w:rPr>
          <w:rStyle w:val="Refdenotaalpie"/>
        </w:rPr>
        <w:footnoteRef/>
      </w:r>
      <w:r w:rsidRPr="00C52B38">
        <w:tab/>
        <w:t xml:space="preserve">Instituto Australiano de Salud y Bienestar. </w:t>
      </w:r>
      <w:r w:rsidRPr="00C52B38">
        <w:rPr>
          <w:i/>
          <w:iCs/>
        </w:rPr>
        <w:t xml:space="preserve">Estudio australiano sobre la carga de morbilidad 2022. </w:t>
      </w:r>
      <w:hyperlink r:id="rId45" w:history="1">
        <w:r w:rsidRPr="00C30B42">
          <w:rPr>
            <w:rStyle w:val="Hipervnculo"/>
          </w:rPr>
          <w:t>https://www.aihw.gov.au/getmedia/d9ae4bfa-df27-4e3c-9846-ba452bef6ac5/aihw-bod-37.pdf.aspx?inline=true</w:t>
        </w:r>
      </w:hyperlink>
      <w:r w:rsidRPr="00C52B38">
        <w:t>.</w:t>
      </w:r>
    </w:p>
  </w:footnote>
  <w:footnote w:id="61">
    <w:p w14:paraId="11CB43B4" w14:textId="4F5461E6" w:rsidR="000C706A" w:rsidRPr="00C52B38" w:rsidRDefault="000C706A" w:rsidP="000C706A">
      <w:pPr>
        <w:pStyle w:val="Textonotapie"/>
      </w:pPr>
      <w:r w:rsidRPr="00C52B38">
        <w:tab/>
      </w:r>
      <w:r w:rsidRPr="00C52B38">
        <w:rPr>
          <w:rStyle w:val="Refdenotaalpie"/>
        </w:rPr>
        <w:footnoteRef/>
      </w:r>
      <w:r w:rsidRPr="00C52B38">
        <w:tab/>
        <w:t xml:space="preserve">Instituto Australiano de Salud y Bienestar (2021). </w:t>
      </w:r>
      <w:r w:rsidRPr="00C52B38">
        <w:rPr>
          <w:i/>
          <w:iCs/>
        </w:rPr>
        <w:t>Estudio australiano sobre la carga de morbilidad 2018: Datos interactivos sobre la carga de los factores de riesgo.</w:t>
      </w:r>
      <w:r w:rsidRPr="00C52B38">
        <w:t xml:space="preserve"> </w:t>
      </w:r>
      <w:hyperlink r:id="rId46" w:history="1">
        <w:r w:rsidRPr="00C30B42">
          <w:rPr>
            <w:rStyle w:val="Hipervnculo"/>
          </w:rPr>
          <w:t>https://www.aihw.gov.au/reports/burden-of-disease/abds-2018-interactive-data-risk-factors/contents/summary</w:t>
        </w:r>
      </w:hyperlink>
      <w:r w:rsidRPr="00C52B38">
        <w:t>.</w:t>
      </w:r>
    </w:p>
  </w:footnote>
  <w:footnote w:id="62">
    <w:p w14:paraId="3DF109DC" w14:textId="523D05D0" w:rsidR="000C706A" w:rsidRPr="00C52B38" w:rsidRDefault="000C706A" w:rsidP="000C706A">
      <w:pPr>
        <w:pStyle w:val="Textonotapie"/>
      </w:pPr>
      <w:r w:rsidRPr="00C52B38">
        <w:tab/>
      </w:r>
      <w:r w:rsidRPr="00C52B38">
        <w:rPr>
          <w:rStyle w:val="Refdenotaalpie"/>
        </w:rPr>
        <w:footnoteRef/>
      </w:r>
      <w:r w:rsidRPr="00C52B38">
        <w:tab/>
        <w:t xml:space="preserve">Instituto Australiano de Salud y Bienestar. </w:t>
      </w:r>
      <w:r w:rsidRPr="00C52B38">
        <w:rPr>
          <w:i/>
          <w:iCs/>
        </w:rPr>
        <w:t>Estudio australiano sobre la carga de morbilidad 2022.</w:t>
      </w:r>
      <w:r w:rsidRPr="00C52B38">
        <w:t xml:space="preserve"> </w:t>
      </w:r>
      <w:hyperlink r:id="rId47" w:history="1">
        <w:r w:rsidRPr="00C30B42">
          <w:rPr>
            <w:rStyle w:val="Hipervnculo"/>
          </w:rPr>
          <w:t>https://www.aihw.gov.au/reports/burden-of-disease/australian-burden-of-disease-study-2022/contents/summary</w:t>
        </w:r>
      </w:hyperlink>
      <w:r w:rsidRPr="00C52B38">
        <w:t>.</w:t>
      </w:r>
    </w:p>
  </w:footnote>
  <w:footnote w:id="63">
    <w:p w14:paraId="631422F9" w14:textId="12C5C537" w:rsidR="000C706A" w:rsidRPr="00C52B38" w:rsidRDefault="000C706A" w:rsidP="000C706A">
      <w:pPr>
        <w:pStyle w:val="Textonotapie"/>
      </w:pPr>
      <w:r w:rsidRPr="00C52B38">
        <w:tab/>
      </w:r>
      <w:r w:rsidRPr="00C52B38">
        <w:rPr>
          <w:rStyle w:val="Refdenotaalpie"/>
        </w:rPr>
        <w:footnoteRef/>
      </w:r>
      <w:r w:rsidRPr="00C52B38">
        <w:tab/>
        <w:t xml:space="preserve">Instituto Australiano de Salud y Bienestar. </w:t>
      </w:r>
      <w:r w:rsidRPr="00C52B38">
        <w:rPr>
          <w:i/>
          <w:iCs/>
        </w:rPr>
        <w:t xml:space="preserve">Enfermedades infecciosas y transmisibles, 2022. </w:t>
      </w:r>
      <w:hyperlink r:id="rId48" w:history="1">
        <w:r w:rsidRPr="00C30B42">
          <w:rPr>
            <w:rStyle w:val="Hipervnculo"/>
          </w:rPr>
          <w:t>https://www.aihw.gov.au/reports/australias-health/infectious-and-communicable-diseases</w:t>
        </w:r>
      </w:hyperlink>
      <w:r w:rsidRPr="00C52B38">
        <w:t>.</w:t>
      </w:r>
    </w:p>
  </w:footnote>
  <w:footnote w:id="64">
    <w:p w14:paraId="168E936F" w14:textId="77777777" w:rsidR="000C706A" w:rsidRPr="00C52B38" w:rsidRDefault="000C706A" w:rsidP="000C706A">
      <w:pPr>
        <w:pStyle w:val="Textonotapie"/>
        <w:rPr>
          <w:lang w:val="en-US"/>
        </w:rPr>
      </w:pPr>
      <w:r w:rsidRPr="00C52B38">
        <w:tab/>
      </w:r>
      <w:r w:rsidRPr="00C52B38">
        <w:rPr>
          <w:rStyle w:val="Refdenotaalpie"/>
        </w:rPr>
        <w:footnoteRef/>
      </w:r>
      <w:r w:rsidRPr="00C52B38">
        <w:rPr>
          <w:lang w:val="en-US"/>
        </w:rPr>
        <w:tab/>
        <w:t xml:space="preserve">Instituto Kirby, </w:t>
      </w:r>
      <w:r w:rsidRPr="00C52B38">
        <w:rPr>
          <w:i/>
          <w:iCs/>
          <w:lang w:val="en-US"/>
        </w:rPr>
        <w:t>HIV, viral hepatitis and sexually transmissible infections in Australia: Annual surveillance report 2022</w:t>
      </w:r>
      <w:r w:rsidRPr="00C52B38">
        <w:rPr>
          <w:lang w:val="en-US"/>
        </w:rPr>
        <w:t>.</w:t>
      </w:r>
    </w:p>
  </w:footnote>
  <w:footnote w:id="65">
    <w:p w14:paraId="76BACF28" w14:textId="0301B602" w:rsidR="000C706A" w:rsidRPr="00C52B38" w:rsidRDefault="000C706A" w:rsidP="000C706A">
      <w:pPr>
        <w:pStyle w:val="Textonotapie"/>
      </w:pPr>
      <w:r w:rsidRPr="00C52B38">
        <w:rPr>
          <w:lang w:val="en-US"/>
        </w:rPr>
        <w:tab/>
      </w:r>
      <w:r w:rsidRPr="00C52B38">
        <w:rPr>
          <w:rStyle w:val="Refdenotaalpie"/>
        </w:rPr>
        <w:footnoteRef/>
      </w:r>
      <w:r w:rsidRPr="00C52B38">
        <w:tab/>
        <w:t xml:space="preserve">Instituto Australiano de Salud y Bienestar (2023). </w:t>
      </w:r>
      <w:r w:rsidRPr="00C52B38">
        <w:rPr>
          <w:i/>
          <w:iCs/>
        </w:rPr>
        <w:t>Madres y bebés australianos.</w:t>
      </w:r>
      <w:r w:rsidRPr="00C52B38">
        <w:t xml:space="preserve"> </w:t>
      </w:r>
      <w:hyperlink r:id="rId49" w:history="1">
        <w:r w:rsidRPr="00C30B42">
          <w:rPr>
            <w:rStyle w:val="Hipervnculo"/>
          </w:rPr>
          <w:t>https://www.aihw.gov.au/reports/mothers-babies/australias-mothers-babies/contents/baby-outcomes/birthweight</w:t>
        </w:r>
      </w:hyperlink>
      <w:r w:rsidRPr="00C52B38">
        <w:t>.</w:t>
      </w:r>
    </w:p>
  </w:footnote>
  <w:footnote w:id="66">
    <w:p w14:paraId="77AA1675" w14:textId="36401352" w:rsidR="000C706A" w:rsidRPr="00DB209B" w:rsidRDefault="000C706A" w:rsidP="000C706A">
      <w:pPr>
        <w:pStyle w:val="Textonotapie"/>
      </w:pPr>
      <w:r w:rsidRPr="00C52B38">
        <w:tab/>
      </w:r>
      <w:r w:rsidRPr="00C52B38">
        <w:rPr>
          <w:rStyle w:val="Refdenotaalpie"/>
        </w:rPr>
        <w:footnoteRef/>
      </w:r>
      <w:r w:rsidRPr="00C52B38">
        <w:rPr>
          <w:lang w:val="en-US"/>
        </w:rPr>
        <w:tab/>
      </w:r>
      <w:proofErr w:type="spellStart"/>
      <w:r w:rsidRPr="00C52B38">
        <w:rPr>
          <w:lang w:val="en-US"/>
        </w:rPr>
        <w:t>Comisión</w:t>
      </w:r>
      <w:proofErr w:type="spellEnd"/>
      <w:r w:rsidRPr="00C52B38">
        <w:rPr>
          <w:lang w:val="en-US"/>
        </w:rPr>
        <w:t xml:space="preserve"> de </w:t>
      </w:r>
      <w:proofErr w:type="spellStart"/>
      <w:r w:rsidRPr="00C52B38">
        <w:rPr>
          <w:lang w:val="en-US"/>
        </w:rPr>
        <w:t>productividad</w:t>
      </w:r>
      <w:proofErr w:type="spellEnd"/>
      <w:r w:rsidRPr="00C52B38">
        <w:rPr>
          <w:lang w:val="en-US"/>
        </w:rPr>
        <w:t xml:space="preserve">. </w:t>
      </w:r>
      <w:r w:rsidRPr="00C52B38">
        <w:rPr>
          <w:i/>
          <w:lang w:val="en-US"/>
        </w:rPr>
        <w:t>Closing the Gap: Annual Data Compilation Report, July 2023</w:t>
      </w:r>
      <w:r w:rsidRPr="00C52B38">
        <w:rPr>
          <w:lang w:val="en-US"/>
        </w:rPr>
        <w:t xml:space="preserve">. </w:t>
      </w:r>
      <w:hyperlink r:id="rId50" w:history="1">
        <w:r w:rsidRPr="00DB209B">
          <w:rPr>
            <w:rStyle w:val="Hipervnculo"/>
          </w:rPr>
          <w:t>https://www.pc.gov.au/closing-the-gap-data/annual-data-report/report</w:t>
        </w:r>
      </w:hyperlink>
      <w:r w:rsidRPr="00DB209B">
        <w:t>.</w:t>
      </w:r>
    </w:p>
  </w:footnote>
  <w:footnote w:id="67">
    <w:p w14:paraId="532C7A1E" w14:textId="437C9493" w:rsidR="000C706A" w:rsidRPr="00C52B38" w:rsidRDefault="000C706A" w:rsidP="000C706A">
      <w:pPr>
        <w:pStyle w:val="Textonotapie"/>
      </w:pPr>
      <w:r w:rsidRPr="00DB209B">
        <w:tab/>
      </w:r>
      <w:r w:rsidRPr="00C52B38">
        <w:rPr>
          <w:rStyle w:val="Refdenotaalpie"/>
        </w:rPr>
        <w:footnoteRef/>
      </w:r>
      <w:r w:rsidRPr="00C52B38">
        <w:tab/>
        <w:t xml:space="preserve">Oficina Australiana de Estadística. </w:t>
      </w:r>
      <w:r w:rsidRPr="00C52B38">
        <w:rPr>
          <w:i/>
          <w:iCs/>
        </w:rPr>
        <w:t>Hábitos alimentarios 2022.</w:t>
      </w:r>
      <w:r w:rsidRPr="00C52B38">
        <w:t xml:space="preserve"> </w:t>
      </w:r>
      <w:hyperlink r:id="rId51" w:history="1">
        <w:r w:rsidRPr="00C30B42">
          <w:rPr>
            <w:rStyle w:val="Hipervnculo"/>
          </w:rPr>
          <w:t>https://www.abs.gov.au/statistics/health/health-conditions-and-risks/dietary-behaviour/latest-release</w:t>
        </w:r>
      </w:hyperlink>
      <w:r w:rsidRPr="00C52B38">
        <w:t>.</w:t>
      </w:r>
    </w:p>
  </w:footnote>
  <w:footnote w:id="68">
    <w:p w14:paraId="6C55B53A" w14:textId="58267943" w:rsidR="000C706A" w:rsidRPr="00DB209B" w:rsidRDefault="000C706A" w:rsidP="000C706A">
      <w:pPr>
        <w:pStyle w:val="Textonotapie"/>
        <w:rPr>
          <w:lang w:val="fr-CH"/>
        </w:rPr>
      </w:pPr>
      <w:r w:rsidRPr="00C52B38">
        <w:tab/>
      </w:r>
      <w:r w:rsidRPr="00C52B38">
        <w:rPr>
          <w:rStyle w:val="Refdenotaalpie"/>
        </w:rPr>
        <w:footnoteRef/>
      </w:r>
      <w:r w:rsidRPr="00C52B38">
        <w:tab/>
        <w:t xml:space="preserve">Oficina Australiana de Estadística (2018). </w:t>
      </w:r>
      <w:r w:rsidRPr="00C52B38">
        <w:rPr>
          <w:i/>
          <w:iCs/>
        </w:rPr>
        <w:t>Encuesta Nacional de Salud: Primeros resultados, 2017</w:t>
      </w:r>
      <w:r w:rsidR="00C30B42">
        <w:rPr>
          <w:i/>
          <w:iCs/>
        </w:rPr>
        <w:noBreakHyphen/>
      </w:r>
      <w:r w:rsidRPr="00C52B38">
        <w:rPr>
          <w:i/>
          <w:iCs/>
        </w:rPr>
        <w:t>2018.</w:t>
      </w:r>
      <w:r w:rsidRPr="00C52B38">
        <w:t xml:space="preserve"> </w:t>
      </w:r>
      <w:hyperlink r:id="rId52" w:history="1">
        <w:proofErr w:type="spellStart"/>
        <w:r w:rsidR="00C30B42" w:rsidRPr="00DB209B">
          <w:rPr>
            <w:rStyle w:val="Hipervnculo"/>
            <w:lang w:val="fr-CH"/>
          </w:rPr>
          <w:t>www.abs.gov.au</w:t>
        </w:r>
        <w:proofErr w:type="spellEnd"/>
        <w:r w:rsidR="00C30B42" w:rsidRPr="00DB209B">
          <w:rPr>
            <w:rStyle w:val="Hipervnculo"/>
            <w:lang w:val="fr-CH"/>
          </w:rPr>
          <w:t>/</w:t>
        </w:r>
        <w:proofErr w:type="spellStart"/>
        <w:r w:rsidR="00C30B42" w:rsidRPr="00DB209B">
          <w:rPr>
            <w:rStyle w:val="Hipervnculo"/>
            <w:lang w:val="fr-CH"/>
          </w:rPr>
          <w:t>ausstats</w:t>
        </w:r>
        <w:proofErr w:type="spellEnd"/>
        <w:r w:rsidR="00C30B42" w:rsidRPr="00DB209B">
          <w:rPr>
            <w:rStyle w:val="Hipervnculo"/>
            <w:lang w:val="fr-CH"/>
          </w:rPr>
          <w:t>/abs@.</w:t>
        </w:r>
        <w:proofErr w:type="spellStart"/>
        <w:r w:rsidR="00C30B42" w:rsidRPr="00DB209B">
          <w:rPr>
            <w:rStyle w:val="Hipervnculo"/>
            <w:lang w:val="fr-CH"/>
          </w:rPr>
          <w:t>nsf</w:t>
        </w:r>
        <w:proofErr w:type="spellEnd"/>
        <w:r w:rsidR="00C30B42" w:rsidRPr="00DB209B">
          <w:rPr>
            <w:rStyle w:val="Hipervnculo"/>
            <w:lang w:val="fr-CH"/>
          </w:rPr>
          <w:t>/</w:t>
        </w:r>
        <w:proofErr w:type="spellStart"/>
        <w:r w:rsidR="00C30B42" w:rsidRPr="00DB209B">
          <w:rPr>
            <w:rStyle w:val="Hipervnculo"/>
            <w:lang w:val="fr-CH"/>
          </w:rPr>
          <w:t>mf</w:t>
        </w:r>
        <w:proofErr w:type="spellEnd"/>
        <w:r w:rsidR="00C30B42" w:rsidRPr="00DB209B">
          <w:rPr>
            <w:rStyle w:val="Hipervnculo"/>
            <w:lang w:val="fr-CH"/>
          </w:rPr>
          <w:t>/4364.0.55.001</w:t>
        </w:r>
      </w:hyperlink>
      <w:r w:rsidRPr="00DB209B">
        <w:rPr>
          <w:lang w:val="fr-CH"/>
        </w:rPr>
        <w:t>.</w:t>
      </w:r>
      <w:r w:rsidR="00C30B42" w:rsidRPr="00DB209B">
        <w:rPr>
          <w:lang w:val="fr-CH"/>
        </w:rPr>
        <w:t xml:space="preserve">  </w:t>
      </w:r>
    </w:p>
  </w:footnote>
  <w:footnote w:id="69">
    <w:p w14:paraId="2F16543A" w14:textId="77777777" w:rsidR="000C706A" w:rsidRPr="00C52B38" w:rsidRDefault="000C706A" w:rsidP="000C706A">
      <w:pPr>
        <w:pStyle w:val="Textonotapie"/>
        <w:rPr>
          <w:lang w:val="en-US"/>
        </w:rPr>
      </w:pPr>
      <w:r w:rsidRPr="00DB209B">
        <w:rPr>
          <w:lang w:val="fr-CH"/>
        </w:rPr>
        <w:tab/>
      </w:r>
      <w:r w:rsidRPr="00C52B38">
        <w:rPr>
          <w:rStyle w:val="Refdenotaalpie"/>
        </w:rPr>
        <w:footnoteRef/>
      </w:r>
      <w:bookmarkStart w:id="17" w:name="OLE_LINK7"/>
      <w:r w:rsidRPr="00C52B38">
        <w:rPr>
          <w:lang w:val="fr-CH"/>
        </w:rPr>
        <w:tab/>
      </w:r>
      <w:proofErr w:type="spellStart"/>
      <w:r w:rsidRPr="00C52B38">
        <w:rPr>
          <w:lang w:val="fr-CH"/>
        </w:rPr>
        <w:t>Freilich</w:t>
      </w:r>
      <w:proofErr w:type="spellEnd"/>
      <w:r w:rsidRPr="00C52B38">
        <w:rPr>
          <w:lang w:val="fr-CH"/>
        </w:rPr>
        <w:t xml:space="preserve"> K., </w:t>
      </w:r>
      <w:proofErr w:type="spellStart"/>
      <w:r w:rsidRPr="00C52B38">
        <w:rPr>
          <w:lang w:val="fr-CH"/>
        </w:rPr>
        <w:t>Holton</w:t>
      </w:r>
      <w:proofErr w:type="spellEnd"/>
      <w:r w:rsidRPr="00C52B38">
        <w:rPr>
          <w:lang w:val="fr-CH"/>
        </w:rPr>
        <w:t xml:space="preserve"> S. </w:t>
      </w:r>
      <w:r w:rsidRPr="00C52B38">
        <w:rPr>
          <w:i/>
          <w:iCs/>
          <w:lang w:val="fr-CH"/>
        </w:rPr>
        <w:t>et al</w:t>
      </w:r>
      <w:r w:rsidRPr="00C52B38">
        <w:rPr>
          <w:lang w:val="fr-CH"/>
        </w:rPr>
        <w:t xml:space="preserve">. </w:t>
      </w:r>
      <w:r w:rsidRPr="00C52B38">
        <w:rPr>
          <w:lang w:val="en-US"/>
        </w:rPr>
        <w:t xml:space="preserve">(2017). </w:t>
      </w:r>
      <w:r w:rsidRPr="00C52B38">
        <w:rPr>
          <w:i/>
          <w:iCs/>
          <w:lang w:val="en-US"/>
        </w:rPr>
        <w:t>Sociodemographic characteristics associated with the use of effective and less effective contraceptive methods: findings from the Understanding Fertility Management in Contemporary Australia survey</w:t>
      </w:r>
      <w:r w:rsidRPr="00C52B38">
        <w:rPr>
          <w:lang w:val="en-US"/>
        </w:rPr>
        <w:t>. European Journal of Contraception and Reproductive Health Care, 22(3), 212-221.</w:t>
      </w:r>
      <w:bookmarkEnd w:id="17"/>
    </w:p>
  </w:footnote>
  <w:footnote w:id="70">
    <w:p w14:paraId="06AA0D1D" w14:textId="77777777" w:rsidR="000C706A" w:rsidRPr="00C52B38" w:rsidRDefault="000C706A" w:rsidP="000C706A">
      <w:pPr>
        <w:pStyle w:val="Textonotapie"/>
        <w:rPr>
          <w:lang w:val="en-US"/>
        </w:rPr>
      </w:pPr>
      <w:r w:rsidRPr="00C52B38">
        <w:rPr>
          <w:lang w:val="en-US"/>
        </w:rPr>
        <w:tab/>
      </w:r>
      <w:r w:rsidRPr="00C52B38">
        <w:rPr>
          <w:rStyle w:val="Refdenotaalpie"/>
        </w:rPr>
        <w:footnoteRef/>
      </w:r>
      <w:r w:rsidRPr="00C52B38">
        <w:rPr>
          <w:lang w:val="en-US"/>
        </w:rPr>
        <w:tab/>
        <w:t xml:space="preserve">Loxton D. </w:t>
      </w:r>
      <w:r w:rsidRPr="00045CC8">
        <w:rPr>
          <w:i/>
          <w:iCs/>
          <w:lang w:val="en-US"/>
        </w:rPr>
        <w:t>et al</w:t>
      </w:r>
      <w:r w:rsidRPr="00C52B38">
        <w:rPr>
          <w:lang w:val="en-US"/>
        </w:rPr>
        <w:t xml:space="preserve">. (2021). </w:t>
      </w:r>
      <w:r w:rsidRPr="00C52B38">
        <w:rPr>
          <w:i/>
          <w:iCs/>
          <w:lang w:val="en-US"/>
        </w:rPr>
        <w:t>Reproductive health: Contraception, conception, and change of life – Findings from the Australian Longitudinal Study on Women’s Health</w:t>
      </w:r>
      <w:r w:rsidRPr="00C52B38">
        <w:rPr>
          <w:lang w:val="en-US"/>
        </w:rPr>
        <w:t xml:space="preserve">.  </w:t>
      </w:r>
    </w:p>
  </w:footnote>
  <w:footnote w:id="71">
    <w:p w14:paraId="44C5D56C" w14:textId="614597CE" w:rsidR="000C706A" w:rsidRPr="00C52B38" w:rsidRDefault="000C706A" w:rsidP="000C706A">
      <w:pPr>
        <w:pStyle w:val="Textonotapie"/>
        <w:rPr>
          <w:lang w:val="en-US"/>
        </w:rPr>
      </w:pPr>
      <w:r w:rsidRPr="00C52B38">
        <w:rPr>
          <w:lang w:val="en-US"/>
        </w:rPr>
        <w:tab/>
      </w:r>
      <w:r w:rsidRPr="00C52B38">
        <w:rPr>
          <w:rStyle w:val="Refdenotaalpie"/>
        </w:rPr>
        <w:footnoteRef/>
      </w:r>
      <w:r w:rsidRPr="00C52B38">
        <w:rPr>
          <w:lang w:val="en-US"/>
        </w:rPr>
        <w:tab/>
      </w:r>
      <w:r w:rsidRPr="00C52B38">
        <w:rPr>
          <w:lang w:val="en-US"/>
        </w:rPr>
        <w:tab/>
        <w:t xml:space="preserve">Wright S. M., Bateson, D., &amp; </w:t>
      </w:r>
      <w:proofErr w:type="spellStart"/>
      <w:r w:rsidRPr="00C52B38">
        <w:rPr>
          <w:lang w:val="en-US"/>
        </w:rPr>
        <w:t>McGeechan</w:t>
      </w:r>
      <w:proofErr w:type="spellEnd"/>
      <w:r w:rsidRPr="00C52B38">
        <w:rPr>
          <w:lang w:val="en-US"/>
        </w:rPr>
        <w:t xml:space="preserve">, K. (2021). </w:t>
      </w:r>
      <w:r w:rsidRPr="00C52B38">
        <w:rPr>
          <w:i/>
          <w:iCs/>
          <w:lang w:val="en-US"/>
        </w:rPr>
        <w:t>Induced abortion in Australia: 2000</w:t>
      </w:r>
      <w:r w:rsidR="00045CC8">
        <w:rPr>
          <w:i/>
          <w:iCs/>
          <w:lang w:val="en-US"/>
        </w:rPr>
        <w:t>-</w:t>
      </w:r>
      <w:r w:rsidRPr="00C52B38">
        <w:rPr>
          <w:i/>
          <w:iCs/>
          <w:lang w:val="en-US"/>
        </w:rPr>
        <w:t>2020</w:t>
      </w:r>
      <w:r w:rsidRPr="00C52B38">
        <w:rPr>
          <w:lang w:val="en-US"/>
        </w:rPr>
        <w:t>. Family Planning NSW: Ashfield, Australia.</w:t>
      </w:r>
    </w:p>
  </w:footnote>
  <w:footnote w:id="72">
    <w:p w14:paraId="74995970" w14:textId="7DCE9513" w:rsidR="000C706A" w:rsidRPr="00C52B38" w:rsidRDefault="000C706A" w:rsidP="000C706A">
      <w:pPr>
        <w:pStyle w:val="Textonotapie"/>
      </w:pPr>
      <w:r w:rsidRPr="00C52B38">
        <w:rPr>
          <w:lang w:val="en-US"/>
        </w:rPr>
        <w:tab/>
      </w:r>
      <w:r w:rsidRPr="00C52B38">
        <w:rPr>
          <w:rStyle w:val="Refdenotaalpie"/>
        </w:rPr>
        <w:footnoteRef/>
      </w:r>
      <w:r w:rsidRPr="00C52B38">
        <w:tab/>
        <w:t xml:space="preserve">Instituto Australiano de Salud y Bienestar (2023). </w:t>
      </w:r>
      <w:r w:rsidRPr="00C52B38">
        <w:rPr>
          <w:i/>
          <w:iCs/>
        </w:rPr>
        <w:t>Madres y bebés australianos</w:t>
      </w:r>
      <w:r w:rsidRPr="00C52B38">
        <w:t xml:space="preserve">. </w:t>
      </w:r>
      <w:hyperlink r:id="rId53" w:history="1">
        <w:r w:rsidRPr="00C30B42">
          <w:rPr>
            <w:rStyle w:val="Hipervnculo"/>
          </w:rPr>
          <w:t>https://www.aihw.gov.au/reports/mothers-babies/australias-mothers-babies-data-visualisations/contents/summary</w:t>
        </w:r>
      </w:hyperlink>
      <w:r w:rsidRPr="00C52B38">
        <w:t>.</w:t>
      </w:r>
    </w:p>
  </w:footnote>
  <w:footnote w:id="73">
    <w:p w14:paraId="3A090949" w14:textId="040EB927" w:rsidR="000C706A" w:rsidRPr="00C52B38" w:rsidRDefault="000C706A" w:rsidP="000C706A">
      <w:pPr>
        <w:pStyle w:val="Textonotapie"/>
      </w:pPr>
      <w:r w:rsidRPr="00C52B38">
        <w:tab/>
      </w:r>
      <w:r w:rsidRPr="00C52B38">
        <w:rPr>
          <w:rStyle w:val="Refdenotaalpie"/>
        </w:rPr>
        <w:footnoteRef/>
      </w:r>
      <w:r w:rsidRPr="00C52B38">
        <w:tab/>
        <w:t xml:space="preserve">Instituto Australiano de Salud y Bienestar (2020). </w:t>
      </w:r>
      <w:r w:rsidRPr="00C52B38">
        <w:rPr>
          <w:i/>
          <w:iCs/>
        </w:rPr>
        <w:t>Muertes maternas.</w:t>
      </w:r>
      <w:r w:rsidRPr="00C52B38">
        <w:t xml:space="preserve"> </w:t>
      </w:r>
      <w:hyperlink r:id="rId54" w:history="1">
        <w:r w:rsidRPr="00C30B42">
          <w:rPr>
            <w:rStyle w:val="Hipervnculo"/>
          </w:rPr>
          <w:t>https://www.aihw.gov.au/reports/mothers-babies/maternal-deaths-australia</w:t>
        </w:r>
      </w:hyperlink>
      <w:r w:rsidRPr="00C52B38">
        <w:t>.</w:t>
      </w:r>
    </w:p>
  </w:footnote>
  <w:footnote w:id="74">
    <w:p w14:paraId="07B60911" w14:textId="359633C8" w:rsidR="000C706A" w:rsidRPr="00C52B38" w:rsidRDefault="000C706A" w:rsidP="000C706A">
      <w:pPr>
        <w:pStyle w:val="Textonotapie"/>
      </w:pPr>
      <w:r w:rsidRPr="00C52B38">
        <w:tab/>
      </w:r>
      <w:r w:rsidRPr="00C52B38">
        <w:rPr>
          <w:rStyle w:val="Refdenotaalpie"/>
        </w:rPr>
        <w:footnoteRef/>
      </w:r>
      <w:r w:rsidRPr="00C52B38">
        <w:tab/>
        <w:t>Oficina Australiana de Estadística (2022).</w:t>
      </w:r>
      <w:r w:rsidRPr="00C52B38">
        <w:rPr>
          <w:i/>
          <w:iCs/>
        </w:rPr>
        <w:t xml:space="preserve"> Causas de las muertes, Australi</w:t>
      </w:r>
      <w:r w:rsidRPr="00C52B38">
        <w:t>a,</w:t>
      </w:r>
      <w:r w:rsidRPr="00C52B38">
        <w:rPr>
          <w:i/>
          <w:iCs/>
        </w:rPr>
        <w:t xml:space="preserve"> 2021.</w:t>
      </w:r>
      <w:r w:rsidRPr="00C52B38">
        <w:t xml:space="preserve"> </w:t>
      </w:r>
      <w:hyperlink r:id="rId55" w:history="1">
        <w:r w:rsidRPr="00D65A62">
          <w:rPr>
            <w:rStyle w:val="Hipervnculo"/>
          </w:rPr>
          <w:t>https://www.abs.gov.au/statistics/health/causes-death/causes-death-australia/latest-release</w:t>
        </w:r>
      </w:hyperlink>
      <w:r w:rsidRPr="00C52B38">
        <w:t>.</w:t>
      </w:r>
    </w:p>
  </w:footnote>
  <w:footnote w:id="75">
    <w:p w14:paraId="6D8698F4"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76">
    <w:p w14:paraId="5FA6C94A" w14:textId="22A81115" w:rsidR="000C706A" w:rsidRPr="00C52B38" w:rsidRDefault="000C706A" w:rsidP="000C706A">
      <w:pPr>
        <w:pStyle w:val="Textonotapie"/>
      </w:pPr>
      <w:r w:rsidRPr="00C52B38">
        <w:tab/>
      </w:r>
      <w:r w:rsidRPr="00C52B38">
        <w:rPr>
          <w:rStyle w:val="Refdenotaalpie"/>
        </w:rPr>
        <w:footnoteRef/>
      </w:r>
      <w:r w:rsidRPr="00C52B38">
        <w:tab/>
        <w:t xml:space="preserve">Instituto Australiano de Salud y Bienestar. </w:t>
      </w:r>
      <w:r w:rsidRPr="00C52B38">
        <w:rPr>
          <w:i/>
          <w:iCs/>
        </w:rPr>
        <w:t>Estudio australiano sobre la carga de morbilidad 2022.</w:t>
      </w:r>
      <w:r w:rsidRPr="00C52B38">
        <w:t xml:space="preserve"> </w:t>
      </w:r>
      <w:hyperlink r:id="rId56" w:history="1">
        <w:r w:rsidR="00D65A62">
          <w:rPr>
            <w:rStyle w:val="Hipervnculo"/>
          </w:rPr>
          <w:t>https://www.aihw.gov.au/reports/burden-of-disease/australian-burden-of-disease-study-2022/contents/summary</w:t>
        </w:r>
      </w:hyperlink>
      <w:r w:rsidRPr="00C52B38">
        <w:t>.</w:t>
      </w:r>
    </w:p>
  </w:footnote>
  <w:footnote w:id="77">
    <w:p w14:paraId="1C851771" w14:textId="75461C88"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(2022). </w:t>
      </w:r>
      <w:r w:rsidRPr="00C52B38">
        <w:rPr>
          <w:i/>
          <w:iCs/>
        </w:rPr>
        <w:t>Estudio Nacional de Salud Mental y Bienestar 2020</w:t>
      </w:r>
      <w:r w:rsidR="00BA2163">
        <w:rPr>
          <w:i/>
          <w:iCs/>
        </w:rPr>
        <w:t>-</w:t>
      </w:r>
      <w:r w:rsidRPr="00C52B38">
        <w:rPr>
          <w:i/>
          <w:iCs/>
        </w:rPr>
        <w:t>2021.</w:t>
      </w:r>
      <w:r w:rsidRPr="00C52B38">
        <w:t xml:space="preserve"> </w:t>
      </w:r>
      <w:hyperlink r:id="rId57" w:history="1">
        <w:r w:rsidRPr="00D65A62">
          <w:rPr>
            <w:rStyle w:val="Hipervnculo"/>
          </w:rPr>
          <w:t>https://www.abs.gov.au/statistics/health/mental-health/national-study-mental-health-and-wellbeing/latest-release</w:t>
        </w:r>
      </w:hyperlink>
      <w:r w:rsidRPr="00C52B38">
        <w:t>.</w:t>
      </w:r>
    </w:p>
  </w:footnote>
  <w:footnote w:id="78">
    <w:p w14:paraId="38E111AF" w14:textId="2732F6FD" w:rsidR="000C706A" w:rsidRPr="00C52B38" w:rsidRDefault="000C706A" w:rsidP="000C706A">
      <w:pPr>
        <w:pStyle w:val="Textonotapie"/>
      </w:pPr>
      <w:r w:rsidRPr="00C52B38">
        <w:tab/>
      </w:r>
      <w:r w:rsidRPr="00C52B38">
        <w:rPr>
          <w:rStyle w:val="Refdenotaalpie"/>
        </w:rPr>
        <w:footnoteRef/>
      </w:r>
      <w:r w:rsidRPr="00C52B38">
        <w:tab/>
        <w:t xml:space="preserve">Información disponible en </w:t>
      </w:r>
      <w:r w:rsidRPr="00C52B38">
        <w:rPr>
          <w:i/>
          <w:iCs/>
        </w:rPr>
        <w:t>Table 4 – 12-</w:t>
      </w:r>
      <w:proofErr w:type="spellStart"/>
      <w:r w:rsidRPr="00C52B38">
        <w:rPr>
          <w:i/>
          <w:iCs/>
        </w:rPr>
        <w:t>month</w:t>
      </w:r>
      <w:proofErr w:type="spellEnd"/>
      <w:r w:rsidRPr="00C52B38">
        <w:rPr>
          <w:i/>
          <w:iCs/>
        </w:rPr>
        <w:t xml:space="preserve"> mental </w:t>
      </w:r>
      <w:proofErr w:type="spellStart"/>
      <w:r w:rsidRPr="00C52B38">
        <w:rPr>
          <w:i/>
          <w:iCs/>
        </w:rPr>
        <w:t>disorders</w:t>
      </w:r>
      <w:proofErr w:type="spellEnd"/>
      <w:r w:rsidRPr="00C52B38">
        <w:rPr>
          <w:i/>
          <w:iCs/>
        </w:rPr>
        <w:t xml:space="preserve"> </w:t>
      </w:r>
      <w:proofErr w:type="spellStart"/>
      <w:r w:rsidRPr="00C52B38">
        <w:rPr>
          <w:i/>
          <w:iCs/>
        </w:rPr>
        <w:t>by</w:t>
      </w:r>
      <w:proofErr w:type="spellEnd"/>
      <w:r w:rsidRPr="00C52B38">
        <w:rPr>
          <w:i/>
          <w:iCs/>
        </w:rPr>
        <w:t xml:space="preserve"> </w:t>
      </w:r>
      <w:proofErr w:type="spellStart"/>
      <w:r w:rsidRPr="00C52B38">
        <w:rPr>
          <w:i/>
          <w:iCs/>
        </w:rPr>
        <w:t>population</w:t>
      </w:r>
      <w:proofErr w:type="spellEnd"/>
      <w:r w:rsidRPr="00C52B38">
        <w:rPr>
          <w:i/>
          <w:iCs/>
        </w:rPr>
        <w:t xml:space="preserve"> </w:t>
      </w:r>
      <w:proofErr w:type="spellStart"/>
      <w:r w:rsidRPr="00C52B38">
        <w:rPr>
          <w:i/>
          <w:iCs/>
        </w:rPr>
        <w:t>characteristics</w:t>
      </w:r>
      <w:proofErr w:type="spellEnd"/>
      <w:r w:rsidRPr="00C52B38">
        <w:t xml:space="preserve"> de la sección de descarga de datos en </w:t>
      </w:r>
      <w:hyperlink r:id="rId58" w:anchor="data-downloads" w:history="1">
        <w:r w:rsidRPr="00D65A62">
          <w:rPr>
            <w:rStyle w:val="Hipervnculo"/>
          </w:rPr>
          <w:t>https://www.abs.gov.au/statistics/health/mental-health/national-study-mental-health-and-wellbeing/latest-release#data-downloads</w:t>
        </w:r>
      </w:hyperlink>
      <w:r w:rsidRPr="00C52B38">
        <w:t>.</w:t>
      </w:r>
    </w:p>
  </w:footnote>
  <w:footnote w:id="79">
    <w:p w14:paraId="2D7032ED"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80">
    <w:p w14:paraId="445E8B75" w14:textId="278A4E53" w:rsidR="000C706A" w:rsidRPr="00C52B38" w:rsidRDefault="000C706A" w:rsidP="000C706A">
      <w:pPr>
        <w:pStyle w:val="Textonotapie"/>
      </w:pPr>
      <w:r w:rsidRPr="00C52B38">
        <w:tab/>
      </w:r>
      <w:r w:rsidRPr="00C52B38">
        <w:rPr>
          <w:rStyle w:val="Refdenotaalpie"/>
        </w:rPr>
        <w:footnoteRef/>
      </w:r>
      <w:r w:rsidRPr="00C52B38">
        <w:tab/>
        <w:t xml:space="preserve">Instituto Australiano de Salud y Bienestar. </w:t>
      </w:r>
      <w:r w:rsidRPr="00C52B38">
        <w:rPr>
          <w:i/>
          <w:iCs/>
        </w:rPr>
        <w:t xml:space="preserve">Estudio australiano sobre la carga de morbilidad 2022. </w:t>
      </w:r>
      <w:hyperlink r:id="rId59" w:history="1">
        <w:r w:rsidRPr="00D65A62">
          <w:rPr>
            <w:rStyle w:val="Hipervnculo"/>
          </w:rPr>
          <w:t>https://www.aihw.gov.au/getmedia/d9ae4bfa-df27-4e3c-9846-ba452bef6ac5/aihw-bod-37.pdf.aspx?inline=true</w:t>
        </w:r>
      </w:hyperlink>
      <w:r w:rsidRPr="00C52B38">
        <w:t>.</w:t>
      </w:r>
    </w:p>
  </w:footnote>
  <w:footnote w:id="81">
    <w:p w14:paraId="7A18EDC7" w14:textId="4493F54D" w:rsidR="000C706A" w:rsidRPr="00C52B38" w:rsidRDefault="000C706A" w:rsidP="000C706A">
      <w:pPr>
        <w:pStyle w:val="Textonotapie"/>
      </w:pPr>
      <w:r w:rsidRPr="00C52B38">
        <w:tab/>
      </w:r>
      <w:r w:rsidRPr="00C52B38">
        <w:rPr>
          <w:rStyle w:val="Refdenotaalpie"/>
        </w:rPr>
        <w:footnoteRef/>
      </w:r>
      <w:r w:rsidRPr="00C52B38">
        <w:tab/>
        <w:t>Oficina Australiana de Estadística (2022).</w:t>
      </w:r>
      <w:r w:rsidRPr="00C52B38">
        <w:rPr>
          <w:i/>
          <w:iCs/>
        </w:rPr>
        <w:t xml:space="preserve"> Causas de las muertes, Australi</w:t>
      </w:r>
      <w:r w:rsidRPr="00C52B38">
        <w:t>a,</w:t>
      </w:r>
      <w:r w:rsidRPr="00C52B38">
        <w:rPr>
          <w:i/>
          <w:iCs/>
        </w:rPr>
        <w:t xml:space="preserve"> 2021.</w:t>
      </w:r>
      <w:r w:rsidRPr="00C52B38">
        <w:t xml:space="preserve"> </w:t>
      </w:r>
      <w:hyperlink r:id="rId60" w:history="1">
        <w:r w:rsidRPr="00D65A62">
          <w:rPr>
            <w:rStyle w:val="Hipervnculo"/>
          </w:rPr>
          <w:t>https://www.abs.gov.au/statistics/health/causes-death/causes-death-australia/latest-release</w:t>
        </w:r>
      </w:hyperlink>
      <w:r w:rsidRPr="00C52B38">
        <w:t>.</w:t>
      </w:r>
    </w:p>
  </w:footnote>
  <w:footnote w:id="82">
    <w:p w14:paraId="2966E92D" w14:textId="78E011F7" w:rsidR="000C706A" w:rsidRPr="00C52B38" w:rsidRDefault="000C706A" w:rsidP="000C706A">
      <w:pPr>
        <w:pStyle w:val="Textonotapie"/>
      </w:pPr>
      <w:r w:rsidRPr="00C52B38">
        <w:tab/>
      </w:r>
      <w:r w:rsidRPr="00C52B38">
        <w:rPr>
          <w:rStyle w:val="Refdenotaalpie"/>
        </w:rPr>
        <w:footnoteRef/>
      </w:r>
      <w:r w:rsidRPr="00C52B38">
        <w:tab/>
        <w:t xml:space="preserve">Instituto Australiano de Salud y Bienestar. </w:t>
      </w:r>
      <w:r w:rsidRPr="00C52B38">
        <w:rPr>
          <w:i/>
          <w:iCs/>
        </w:rPr>
        <w:t xml:space="preserve">Servicios de salud mental subvencionados por Medicare. </w:t>
      </w:r>
      <w:hyperlink r:id="rId61" w:history="1">
        <w:r w:rsidRPr="00D65A62">
          <w:rPr>
            <w:rStyle w:val="Hipervnculo"/>
          </w:rPr>
          <w:t>https://www.aihw.gov.au/mental-health/topic-areas/medicare-subsidised-services</w:t>
        </w:r>
      </w:hyperlink>
      <w:r w:rsidRPr="00C52B38">
        <w:t>.</w:t>
      </w:r>
    </w:p>
  </w:footnote>
  <w:footnote w:id="83">
    <w:p w14:paraId="6C0C1CD1" w14:textId="77777777" w:rsidR="000C706A" w:rsidRPr="00C52B38" w:rsidRDefault="000C706A" w:rsidP="000C706A">
      <w:pPr>
        <w:pStyle w:val="Textonotapie"/>
        <w:rPr>
          <w:lang w:val="en-US"/>
        </w:rPr>
      </w:pPr>
      <w:r w:rsidRPr="00C52B38">
        <w:tab/>
      </w:r>
      <w:r w:rsidRPr="00C52B38">
        <w:rPr>
          <w:rStyle w:val="Refdenotaalpie"/>
        </w:rPr>
        <w:footnoteRef/>
      </w:r>
      <w:r w:rsidRPr="00C52B38">
        <w:rPr>
          <w:lang w:val="en-US"/>
        </w:rPr>
        <w:tab/>
      </w:r>
      <w:r w:rsidRPr="00C52B38">
        <w:rPr>
          <w:i/>
          <w:iCs/>
          <w:lang w:val="en-US"/>
        </w:rPr>
        <w:t>Ibid</w:t>
      </w:r>
      <w:r w:rsidRPr="00C52B38">
        <w:rPr>
          <w:lang w:val="en-US"/>
        </w:rPr>
        <w:t>.</w:t>
      </w:r>
    </w:p>
  </w:footnote>
  <w:footnote w:id="84">
    <w:p w14:paraId="27BA63FB" w14:textId="34DE716B" w:rsidR="000C706A" w:rsidRPr="00BA2163" w:rsidRDefault="000C706A" w:rsidP="000C706A">
      <w:pPr>
        <w:pStyle w:val="Textonotapie"/>
        <w:rPr>
          <w:spacing w:val="-1"/>
          <w:lang w:val="en-US"/>
        </w:rPr>
      </w:pPr>
      <w:r w:rsidRPr="00BA2163">
        <w:rPr>
          <w:spacing w:val="-1"/>
          <w:lang w:val="en-US"/>
        </w:rPr>
        <w:tab/>
      </w:r>
      <w:r w:rsidRPr="00BA2163">
        <w:rPr>
          <w:rStyle w:val="Refdenotaalpie"/>
          <w:spacing w:val="-1"/>
        </w:rPr>
        <w:footnoteRef/>
      </w:r>
      <w:r w:rsidRPr="00BA2163">
        <w:rPr>
          <w:spacing w:val="-1"/>
          <w:lang w:val="en-US"/>
        </w:rPr>
        <w:tab/>
        <w:t xml:space="preserve">Hill, </w:t>
      </w:r>
      <w:proofErr w:type="spellStart"/>
      <w:r w:rsidRPr="00BA2163">
        <w:rPr>
          <w:spacing w:val="-1"/>
          <w:lang w:val="en-US"/>
        </w:rPr>
        <w:t>Bourne</w:t>
      </w:r>
      <w:proofErr w:type="spellEnd"/>
      <w:r w:rsidRPr="00BA2163">
        <w:rPr>
          <w:spacing w:val="-1"/>
          <w:lang w:val="en-US"/>
        </w:rPr>
        <w:t>, McNair, Carman, &amp; Lyons (2020).</w:t>
      </w:r>
      <w:r w:rsidRPr="00BA2163">
        <w:rPr>
          <w:i/>
          <w:iCs/>
          <w:spacing w:val="-1"/>
          <w:lang w:val="en-US"/>
        </w:rPr>
        <w:t xml:space="preserve"> Private Lives 3: The health and wellbeing of LGBTIQ people in Australia</w:t>
      </w:r>
      <w:r w:rsidRPr="00BA2163">
        <w:rPr>
          <w:spacing w:val="-1"/>
          <w:lang w:val="en-US"/>
        </w:rPr>
        <w:t xml:space="preserve">, </w:t>
      </w:r>
      <w:hyperlink r:id="rId62" w:history="1">
        <w:r w:rsidRPr="00BA2163">
          <w:rPr>
            <w:rStyle w:val="Hipervnculo"/>
            <w:spacing w:val="-1"/>
            <w:lang w:val="en-US"/>
          </w:rPr>
          <w:t>https://www.latrobe.edu.au/__data/assets/pdf_file/0009/1185885/Private-Lives-3.pdf</w:t>
        </w:r>
      </w:hyperlink>
      <w:r w:rsidRPr="00BA2163">
        <w:rPr>
          <w:spacing w:val="-1"/>
          <w:lang w:val="en-US"/>
        </w:rPr>
        <w:t>.</w:t>
      </w:r>
    </w:p>
  </w:footnote>
  <w:footnote w:id="85">
    <w:p w14:paraId="349A56F2" w14:textId="3988B75E" w:rsidR="000C706A" w:rsidRPr="00C52B38" w:rsidRDefault="000C706A" w:rsidP="000C706A">
      <w:pPr>
        <w:pStyle w:val="Textonotapie"/>
        <w:rPr>
          <w:lang w:val="en-US"/>
        </w:rPr>
      </w:pPr>
      <w:r w:rsidRPr="00C52B38">
        <w:rPr>
          <w:lang w:val="en-US"/>
        </w:rPr>
        <w:tab/>
      </w:r>
      <w:r w:rsidRPr="00C52B38">
        <w:rPr>
          <w:rStyle w:val="Refdenotaalpie"/>
        </w:rPr>
        <w:footnoteRef/>
      </w:r>
      <w:r w:rsidRPr="00C52B38">
        <w:rPr>
          <w:lang w:val="en-US"/>
        </w:rPr>
        <w:tab/>
        <w:t xml:space="preserve">Leonard </w:t>
      </w:r>
      <w:r w:rsidRPr="00C52B38">
        <w:rPr>
          <w:i/>
          <w:iCs/>
          <w:lang w:val="en-US"/>
        </w:rPr>
        <w:t>et al</w:t>
      </w:r>
      <w:r w:rsidRPr="00C52B38">
        <w:rPr>
          <w:lang w:val="en-US"/>
        </w:rPr>
        <w:t xml:space="preserve">. (2012), (2015); McKay (2011); Perales (2019), </w:t>
      </w:r>
      <w:proofErr w:type="spellStart"/>
      <w:r w:rsidRPr="00C52B38">
        <w:rPr>
          <w:lang w:val="en-US"/>
        </w:rPr>
        <w:t>citados</w:t>
      </w:r>
      <w:proofErr w:type="spellEnd"/>
      <w:r w:rsidRPr="00C52B38">
        <w:rPr>
          <w:lang w:val="en-US"/>
        </w:rPr>
        <w:t xml:space="preserve"> en </w:t>
      </w:r>
      <w:r w:rsidRPr="00C52B38">
        <w:rPr>
          <w:i/>
          <w:iCs/>
          <w:lang w:val="en-US"/>
        </w:rPr>
        <w:t>Private Lives 3 National Report</w:t>
      </w:r>
      <w:r w:rsidRPr="00C52B38">
        <w:rPr>
          <w:lang w:val="en-US"/>
        </w:rPr>
        <w:t xml:space="preserve">, 2020, </w:t>
      </w:r>
      <w:hyperlink r:id="rId63" w:history="1">
        <w:r w:rsidRPr="00D65A62">
          <w:rPr>
            <w:rStyle w:val="Hipervnculo"/>
            <w:lang w:val="en-US"/>
          </w:rPr>
          <w:t>https://www.latrobe.edu.au/__data/assets/pdf_file/0009/1185885/Private-Lives-3.pdf</w:t>
        </w:r>
      </w:hyperlink>
      <w:r w:rsidRPr="00C52B38">
        <w:rPr>
          <w:lang w:val="en-US"/>
        </w:rPr>
        <w:t>.</w:t>
      </w:r>
    </w:p>
  </w:footnote>
  <w:footnote w:id="86">
    <w:p w14:paraId="200655B0" w14:textId="469D3653" w:rsidR="000C706A" w:rsidRPr="00DB209B" w:rsidRDefault="000C706A" w:rsidP="000C706A">
      <w:pPr>
        <w:pStyle w:val="Textonotapie"/>
      </w:pPr>
      <w:r w:rsidRPr="00C52B38">
        <w:rPr>
          <w:lang w:val="en-US"/>
        </w:rPr>
        <w:tab/>
      </w:r>
      <w:r w:rsidRPr="00C52B38">
        <w:rPr>
          <w:rStyle w:val="Refdenotaalpie"/>
        </w:rPr>
        <w:footnoteRef/>
      </w:r>
      <w:r w:rsidRPr="00C52B38">
        <w:rPr>
          <w:lang w:val="en-US"/>
        </w:rPr>
        <w:tab/>
        <w:t xml:space="preserve">Hill AO, Lyons A, Jones J, McGowan I, Carman M, Parsons M, Power J, </w:t>
      </w:r>
      <w:proofErr w:type="spellStart"/>
      <w:r w:rsidRPr="00C52B38">
        <w:rPr>
          <w:lang w:val="en-US"/>
        </w:rPr>
        <w:t>Bourne</w:t>
      </w:r>
      <w:proofErr w:type="spellEnd"/>
      <w:r w:rsidRPr="00C52B38">
        <w:rPr>
          <w:lang w:val="en-US"/>
        </w:rPr>
        <w:t xml:space="preserve"> A (2021). </w:t>
      </w:r>
      <w:r w:rsidRPr="00C52B38">
        <w:rPr>
          <w:i/>
          <w:iCs/>
          <w:lang w:val="en-US"/>
        </w:rPr>
        <w:t>Writing Themselves In 4 The health and wellbeing of LGBTQA+ young people in Australia.</w:t>
      </w:r>
      <w:r w:rsidRPr="00C52B38">
        <w:rPr>
          <w:lang w:val="en-US"/>
        </w:rPr>
        <w:t xml:space="preserve">  </w:t>
      </w:r>
      <w:hyperlink r:id="rId64" w:history="1">
        <w:r w:rsidRPr="00DB209B">
          <w:rPr>
            <w:rStyle w:val="Hipervnculo"/>
          </w:rPr>
          <w:t>https://www.latrobe.edu.au/__data/assets/pdf_file/0010/1198945/Writing-Themselves-In-4-National-report.pdf</w:t>
        </w:r>
      </w:hyperlink>
      <w:r w:rsidRPr="00DB209B">
        <w:t>.</w:t>
      </w:r>
    </w:p>
  </w:footnote>
  <w:footnote w:id="87">
    <w:p w14:paraId="2E11F743" w14:textId="2F2FCA9F" w:rsidR="000C706A" w:rsidRPr="00C52B38" w:rsidRDefault="000C706A" w:rsidP="000C706A">
      <w:pPr>
        <w:pStyle w:val="Textonotapie"/>
      </w:pPr>
      <w:r w:rsidRPr="00DB209B">
        <w:tab/>
      </w:r>
      <w:r w:rsidRPr="00C52B38">
        <w:rPr>
          <w:rStyle w:val="Refdenotaalpie"/>
        </w:rPr>
        <w:footnoteRef/>
      </w:r>
      <w:r w:rsidRPr="00C52B38">
        <w:tab/>
        <w:t xml:space="preserve">Comisión Electoral Australiana, </w:t>
      </w:r>
      <w:hyperlink r:id="rId65" w:history="1">
        <w:r w:rsidRPr="00D65A62">
          <w:rPr>
            <w:rStyle w:val="Hipervnculo"/>
          </w:rPr>
          <w:t>https://www.aec.gov.au/Enrolling_to_vote/Enrolment_stats/national/2022.htm</w:t>
        </w:r>
      </w:hyperlink>
      <w:r w:rsidRPr="00C52B38">
        <w:t>.</w:t>
      </w:r>
    </w:p>
  </w:footnote>
  <w:footnote w:id="88">
    <w:p w14:paraId="02479345" w14:textId="36C25DE4" w:rsidR="000C706A" w:rsidRPr="00C52B38" w:rsidRDefault="000C706A" w:rsidP="000C706A">
      <w:pPr>
        <w:pStyle w:val="Textonotapie"/>
        <w:rPr>
          <w:lang w:val="en-US"/>
        </w:rPr>
      </w:pPr>
      <w:r w:rsidRPr="00C52B38">
        <w:tab/>
      </w:r>
      <w:r w:rsidRPr="00C52B38">
        <w:rPr>
          <w:rStyle w:val="Refdenotaalpie"/>
        </w:rPr>
        <w:footnoteRef/>
      </w:r>
      <w:r w:rsidRPr="00C52B38">
        <w:tab/>
        <w:t>Comisión Electoral Australiana. Comunicado de prensa (agosto de 2023).</w:t>
      </w:r>
      <w:r w:rsidRPr="00C52B38">
        <w:rPr>
          <w:i/>
          <w:iCs/>
        </w:rPr>
        <w:t xml:space="preserve"> </w:t>
      </w:r>
      <w:r w:rsidRPr="00C52B38">
        <w:rPr>
          <w:i/>
          <w:iCs/>
          <w:lang w:val="en-US"/>
        </w:rPr>
        <w:t>New Indigenous enrolment record: An in-depth look.</w:t>
      </w:r>
      <w:r w:rsidRPr="00C52B38">
        <w:rPr>
          <w:lang w:val="en-US"/>
        </w:rPr>
        <w:t xml:space="preserve"> </w:t>
      </w:r>
      <w:hyperlink r:id="rId66" w:history="1">
        <w:r w:rsidRPr="00D65A62">
          <w:rPr>
            <w:rStyle w:val="Hipervnculo"/>
            <w:lang w:val="en-US"/>
          </w:rPr>
          <w:t>https://</w:t>
        </w:r>
        <w:proofErr w:type="spellStart"/>
        <w:r w:rsidRPr="00D65A62">
          <w:rPr>
            <w:rStyle w:val="Hipervnculo"/>
            <w:lang w:val="en-US"/>
          </w:rPr>
          <w:t>www.aec.gov.au</w:t>
        </w:r>
        <w:proofErr w:type="spellEnd"/>
        <w:r w:rsidRPr="00D65A62">
          <w:rPr>
            <w:rStyle w:val="Hipervnculo"/>
            <w:lang w:val="en-US"/>
          </w:rPr>
          <w:t>/media/2023/08-</w:t>
        </w:r>
        <w:proofErr w:type="spellStart"/>
        <w:r w:rsidRPr="00D65A62">
          <w:rPr>
            <w:rStyle w:val="Hipervnculo"/>
            <w:lang w:val="en-US"/>
          </w:rPr>
          <w:t>03.htm</w:t>
        </w:r>
        <w:proofErr w:type="spellEnd"/>
      </w:hyperlink>
      <w:r w:rsidRPr="00C52B38">
        <w:rPr>
          <w:lang w:val="en-US"/>
        </w:rPr>
        <w:t>.</w:t>
      </w:r>
    </w:p>
  </w:footnote>
  <w:footnote w:id="89">
    <w:p w14:paraId="0EE96DF3" w14:textId="0377A37C" w:rsidR="000C706A" w:rsidRPr="00C52B38" w:rsidRDefault="000C706A" w:rsidP="000C706A">
      <w:pPr>
        <w:pStyle w:val="Textonotapie"/>
      </w:pPr>
      <w:r w:rsidRPr="00C52B38">
        <w:rPr>
          <w:lang w:val="en-US"/>
        </w:rPr>
        <w:tab/>
      </w:r>
      <w:r w:rsidRPr="00C52B38">
        <w:rPr>
          <w:rStyle w:val="Refdenotaalpie"/>
        </w:rPr>
        <w:footnoteRef/>
      </w:r>
      <w:r w:rsidRPr="00C52B38">
        <w:tab/>
        <w:t xml:space="preserve">Comisión Electoral Australiana. </w:t>
      </w:r>
      <w:r w:rsidRPr="00C52B38">
        <w:rPr>
          <w:i/>
          <w:iCs/>
        </w:rPr>
        <w:t>Registro actualizado de partidos políticos.</w:t>
      </w:r>
      <w:r w:rsidRPr="00C52B38">
        <w:t xml:space="preserve"> </w:t>
      </w:r>
      <w:hyperlink r:id="rId67" w:history="1">
        <w:r w:rsidR="00D65A62" w:rsidRPr="00D65A62">
          <w:rPr>
            <w:rStyle w:val="Hipervnculo"/>
          </w:rPr>
          <w:t>www.aec.gov.au/parties_and_representatives/party_registration/Registered_parties/</w:t>
        </w:r>
      </w:hyperlink>
      <w:r w:rsidRPr="00C52B38">
        <w:t>.</w:t>
      </w:r>
    </w:p>
  </w:footnote>
  <w:footnote w:id="90">
    <w:p w14:paraId="2C2BB961" w14:textId="31D1209C" w:rsidR="000C706A" w:rsidRPr="00C52B38" w:rsidRDefault="000C706A" w:rsidP="000C706A">
      <w:pPr>
        <w:pStyle w:val="Textonotapie"/>
      </w:pPr>
      <w:r w:rsidRPr="00C52B38">
        <w:tab/>
      </w:r>
      <w:r w:rsidRPr="00C52B38">
        <w:rPr>
          <w:rStyle w:val="Refdenotaalpie"/>
        </w:rPr>
        <w:footnoteRef/>
      </w:r>
      <w:r w:rsidRPr="00C52B38">
        <w:tab/>
        <w:t xml:space="preserve">Parlamento de Australia. </w:t>
      </w:r>
      <w:r w:rsidRPr="00C52B38">
        <w:rPr>
          <w:i/>
          <w:iCs/>
        </w:rPr>
        <w:t>Tendencias en la composición por género de los parlamentos de los estados y territorios 2022.</w:t>
      </w:r>
      <w:r w:rsidRPr="00C52B38">
        <w:t xml:space="preserve"> </w:t>
      </w:r>
      <w:hyperlink r:id="rId68" w:history="1">
        <w:r w:rsidRPr="00D65A62">
          <w:rPr>
            <w:rStyle w:val="Hipervnculo"/>
          </w:rPr>
          <w:t>https://www.aph.gov.au/About_Parliament/Parliamentary_departments/Parliamentary_Library/FlagPost/2022/May/Gender_composition_of_state_and_territory_parliaments</w:t>
        </w:r>
      </w:hyperlink>
      <w:r w:rsidRPr="00C52B38">
        <w:t>.</w:t>
      </w:r>
    </w:p>
  </w:footnote>
  <w:footnote w:id="91">
    <w:p w14:paraId="24738E44" w14:textId="77777777" w:rsidR="000C706A" w:rsidRPr="00C52B38" w:rsidRDefault="000C706A" w:rsidP="000C706A">
      <w:pPr>
        <w:pStyle w:val="Textonotapie"/>
      </w:pPr>
      <w:r w:rsidRPr="00C52B38">
        <w:tab/>
      </w:r>
      <w:r w:rsidRPr="00C52B38">
        <w:rPr>
          <w:rStyle w:val="Refdenotaalpie"/>
        </w:rPr>
        <w:footnoteRef/>
      </w:r>
      <w:r w:rsidRPr="00C52B38">
        <w:tab/>
        <w:t xml:space="preserve">Comisión de Derechos Humanos de Australia (2018). </w:t>
      </w:r>
      <w:r w:rsidRPr="00C52B38">
        <w:rPr>
          <w:i/>
          <w:iCs/>
          <w:lang w:val="en-US"/>
        </w:rPr>
        <w:t>Leading for Change: A blueprint for cultural diversity and inclusive leadership revisited.</w:t>
      </w:r>
      <w:r w:rsidRPr="00C52B38">
        <w:rPr>
          <w:lang w:val="en-US"/>
        </w:rPr>
        <w:t xml:space="preserve"> </w:t>
      </w:r>
      <w:r w:rsidRPr="00C52B38">
        <w:t>Sídney.</w:t>
      </w:r>
    </w:p>
  </w:footnote>
  <w:footnote w:id="92">
    <w:p w14:paraId="002579E2" w14:textId="2A643F57" w:rsidR="000C706A" w:rsidRPr="00C52B38" w:rsidRDefault="000C706A" w:rsidP="000C706A">
      <w:pPr>
        <w:pStyle w:val="Textonotapie"/>
      </w:pPr>
      <w:r w:rsidRPr="00C52B38">
        <w:tab/>
      </w:r>
      <w:r w:rsidRPr="00C52B38">
        <w:rPr>
          <w:rStyle w:val="Refdenotaalpie"/>
        </w:rPr>
        <w:footnoteRef/>
      </w:r>
      <w:r w:rsidRPr="00C52B38">
        <w:tab/>
        <w:t xml:space="preserve">Departamento de Asuntos Exteriores y Comercio del Gobierno de Australia (2023). </w:t>
      </w:r>
      <w:r w:rsidRPr="00C52B38">
        <w:rPr>
          <w:i/>
          <w:iCs/>
        </w:rPr>
        <w:t xml:space="preserve">Organizaciones no gubernamentales (ONG). </w:t>
      </w:r>
      <w:hyperlink r:id="rId69" w:history="1">
        <w:r w:rsidRPr="00115A30">
          <w:rPr>
            <w:rStyle w:val="Hipervnculo"/>
          </w:rPr>
          <w:t>https://www.dfat.gov.au/development/who-we-work-with/ngos/list-of-australian-accredited-non-government-organisations</w:t>
        </w:r>
      </w:hyperlink>
      <w:r w:rsidRPr="00C52B38">
        <w:t>.</w:t>
      </w:r>
    </w:p>
  </w:footnote>
  <w:footnote w:id="93">
    <w:p w14:paraId="38C188E7" w14:textId="4846242F" w:rsidR="000C706A" w:rsidRPr="00C52B38" w:rsidRDefault="000C706A" w:rsidP="000C706A">
      <w:pPr>
        <w:pStyle w:val="Textonotapie"/>
        <w:rPr>
          <w:lang w:val="en-US"/>
        </w:rPr>
      </w:pPr>
      <w:r w:rsidRPr="00C52B38">
        <w:tab/>
      </w:r>
      <w:r w:rsidRPr="00C52B38">
        <w:rPr>
          <w:rStyle w:val="Refdenotaalpie"/>
        </w:rPr>
        <w:footnoteRef/>
      </w:r>
      <w:r w:rsidRPr="00C52B38">
        <w:rPr>
          <w:lang w:val="en-US"/>
        </w:rPr>
        <w:tab/>
        <w:t xml:space="preserve">Dwyer, T. (12 de </w:t>
      </w:r>
      <w:proofErr w:type="spellStart"/>
      <w:r w:rsidRPr="00C52B38">
        <w:rPr>
          <w:lang w:val="en-US"/>
        </w:rPr>
        <w:t>diciembre</w:t>
      </w:r>
      <w:proofErr w:type="spellEnd"/>
      <w:r w:rsidRPr="00C52B38">
        <w:rPr>
          <w:lang w:val="en-US"/>
        </w:rPr>
        <w:t xml:space="preserve"> de 2016). </w:t>
      </w:r>
      <w:proofErr w:type="spellStart"/>
      <w:r w:rsidRPr="00C52B38">
        <w:rPr>
          <w:i/>
          <w:iCs/>
          <w:lang w:val="en-US"/>
        </w:rPr>
        <w:t>FactCheck</w:t>
      </w:r>
      <w:proofErr w:type="spellEnd"/>
      <w:r w:rsidRPr="00C52B38">
        <w:rPr>
          <w:i/>
          <w:iCs/>
          <w:lang w:val="en-US"/>
        </w:rPr>
        <w:t>: Is Australia’s level of media ownership concentration one of the highest in the world?</w:t>
      </w:r>
      <w:r w:rsidRPr="00C52B38">
        <w:rPr>
          <w:lang w:val="en-US"/>
        </w:rPr>
        <w:t xml:space="preserve"> The Conversation. </w:t>
      </w:r>
      <w:hyperlink r:id="rId70" w:history="1">
        <w:r w:rsidR="00115A30" w:rsidRPr="00115A30">
          <w:rPr>
            <w:rStyle w:val="Hipervnculo"/>
            <w:lang w:val="en-US"/>
          </w:rPr>
          <w:t>https://theconversation.com/is-australias-media-market-one-of-the-worlds-most-concentrated-68437</w:t>
        </w:r>
      </w:hyperlink>
      <w:r w:rsidRPr="00C52B38">
        <w:rPr>
          <w:lang w:val="en-US"/>
        </w:rPr>
        <w:t>.</w:t>
      </w:r>
    </w:p>
  </w:footnote>
  <w:footnote w:id="94">
    <w:p w14:paraId="73ADC96D" w14:textId="66CFB711" w:rsidR="000C706A" w:rsidRPr="005E3CF7" w:rsidRDefault="000C706A" w:rsidP="000C706A">
      <w:pPr>
        <w:pStyle w:val="Textonotapie"/>
        <w:rPr>
          <w:lang w:val="en-US"/>
        </w:rPr>
      </w:pPr>
      <w:r w:rsidRPr="00C52B38">
        <w:rPr>
          <w:lang w:val="en-US"/>
        </w:rPr>
        <w:tab/>
      </w:r>
      <w:r w:rsidRPr="00C52B38">
        <w:rPr>
          <w:rStyle w:val="Refdenotaalpie"/>
        </w:rPr>
        <w:footnoteRef/>
      </w:r>
      <w:r w:rsidRPr="00C52B38">
        <w:rPr>
          <w:lang w:val="en-US"/>
        </w:rPr>
        <w:tab/>
      </w:r>
      <w:proofErr w:type="spellStart"/>
      <w:r w:rsidRPr="00C52B38">
        <w:rPr>
          <w:lang w:val="en-US"/>
        </w:rPr>
        <w:t>Oficina</w:t>
      </w:r>
      <w:proofErr w:type="spellEnd"/>
      <w:r w:rsidRPr="00C52B38">
        <w:rPr>
          <w:lang w:val="en-US"/>
        </w:rPr>
        <w:t xml:space="preserve"> Australiana de </w:t>
      </w:r>
      <w:proofErr w:type="spellStart"/>
      <w:r w:rsidRPr="00C52B38">
        <w:rPr>
          <w:lang w:val="en-US"/>
        </w:rPr>
        <w:t>Estadística</w:t>
      </w:r>
      <w:proofErr w:type="spellEnd"/>
      <w:r w:rsidRPr="00C52B38">
        <w:rPr>
          <w:lang w:val="en-US"/>
        </w:rPr>
        <w:t xml:space="preserve"> (2022). </w:t>
      </w:r>
      <w:r w:rsidRPr="00C52B38">
        <w:rPr>
          <w:i/>
          <w:iCs/>
          <w:lang w:val="en-US"/>
        </w:rPr>
        <w:t>Sexual assaults increase for tenth year in a row.</w:t>
      </w:r>
      <w:r w:rsidRPr="00C52B38">
        <w:rPr>
          <w:lang w:val="en-US"/>
        </w:rPr>
        <w:t xml:space="preserve"> </w:t>
      </w:r>
      <w:hyperlink r:id="rId71" w:history="1">
        <w:r w:rsidR="00BA2163" w:rsidRPr="005E3CF7">
          <w:rPr>
            <w:rStyle w:val="Hipervnculo"/>
            <w:lang w:val="en-US"/>
          </w:rPr>
          <w:t>https://www.abs.gov.au/media-centre/media-releases/sexual-assaults-increase-tenth-year-row</w:t>
        </w:r>
      </w:hyperlink>
      <w:r w:rsidR="00BA2163" w:rsidRPr="005E3CF7">
        <w:rPr>
          <w:rStyle w:val="Hipervnculo"/>
          <w:lang w:val="en-US"/>
        </w:rPr>
        <w:t>.</w:t>
      </w:r>
    </w:p>
  </w:footnote>
  <w:footnote w:id="95">
    <w:p w14:paraId="6D155C12" w14:textId="27E735CC" w:rsidR="000C706A" w:rsidRPr="00C52B38" w:rsidRDefault="000C706A" w:rsidP="000C706A">
      <w:pPr>
        <w:pStyle w:val="Textonotapie"/>
      </w:pPr>
      <w:r w:rsidRPr="005E3CF7">
        <w:rPr>
          <w:lang w:val="en-US"/>
        </w:rPr>
        <w:tab/>
      </w:r>
      <w:r w:rsidRPr="00C52B38">
        <w:rPr>
          <w:rStyle w:val="Refdenotaalpie"/>
        </w:rPr>
        <w:footnoteRef/>
      </w:r>
      <w:r w:rsidRPr="00C52B38">
        <w:tab/>
        <w:t xml:space="preserve">Oficina Australiana de Estadística (2021). </w:t>
      </w:r>
      <w:r w:rsidRPr="00C52B38">
        <w:rPr>
          <w:i/>
          <w:iCs/>
        </w:rPr>
        <w:t>Delitos registrados - Víctimas.</w:t>
      </w:r>
      <w:r w:rsidRPr="00C52B38">
        <w:t xml:space="preserve"> </w:t>
      </w:r>
      <w:hyperlink r:id="rId72" w:anchor="key-statistics" w:history="1">
        <w:r w:rsidRPr="00115A30">
          <w:rPr>
            <w:rStyle w:val="Hipervnculo"/>
          </w:rPr>
          <w:t>https://www.abs.gov.au/statistics/people/crime-and-justice/recorded-crime-victims/2021#key-statistics</w:t>
        </w:r>
      </w:hyperlink>
      <w:r w:rsidRPr="00C52B38">
        <w:t>.</w:t>
      </w:r>
    </w:p>
  </w:footnote>
  <w:footnote w:id="96">
    <w:p w14:paraId="677A19F2" w14:textId="77777777" w:rsidR="000C706A" w:rsidRPr="00C52B38" w:rsidRDefault="000C706A" w:rsidP="000C706A">
      <w:pPr>
        <w:pStyle w:val="Textonotapie"/>
        <w:rPr>
          <w:lang w:val="en-US"/>
        </w:rPr>
      </w:pPr>
      <w:r w:rsidRPr="00C52B38">
        <w:tab/>
      </w:r>
      <w:r w:rsidRPr="00C52B38">
        <w:rPr>
          <w:rStyle w:val="Refdenotaalpie"/>
        </w:rPr>
        <w:footnoteRef/>
      </w:r>
      <w:r w:rsidRPr="00C52B38">
        <w:rPr>
          <w:lang w:val="en-US"/>
        </w:rPr>
        <w:tab/>
      </w:r>
      <w:r w:rsidRPr="00C52B38">
        <w:rPr>
          <w:i/>
          <w:iCs/>
          <w:lang w:val="en-US"/>
        </w:rPr>
        <w:t>Ibid</w:t>
      </w:r>
      <w:r w:rsidRPr="00C52B38">
        <w:rPr>
          <w:lang w:val="en-US"/>
        </w:rPr>
        <w:t>.</w:t>
      </w:r>
    </w:p>
  </w:footnote>
  <w:footnote w:id="97">
    <w:p w14:paraId="5242390C" w14:textId="7658B20F" w:rsidR="000C706A" w:rsidRPr="00C52B38" w:rsidRDefault="000C706A" w:rsidP="000C706A">
      <w:pPr>
        <w:pStyle w:val="Textonotapie"/>
      </w:pPr>
      <w:r w:rsidRPr="00C52B38">
        <w:rPr>
          <w:lang w:val="en-US"/>
        </w:rPr>
        <w:tab/>
      </w:r>
      <w:r w:rsidRPr="00C52B38">
        <w:rPr>
          <w:rStyle w:val="Refdenotaalpie"/>
        </w:rPr>
        <w:footnoteRef/>
      </w:r>
      <w:r w:rsidRPr="00C52B38">
        <w:rPr>
          <w:lang w:val="en-US"/>
        </w:rPr>
        <w:tab/>
        <w:t>Smith R</w:t>
      </w:r>
      <w:r w:rsidR="005A1515">
        <w:rPr>
          <w:lang w:val="en-US"/>
        </w:rPr>
        <w:t>.</w:t>
      </w:r>
      <w:r w:rsidRPr="00C52B38">
        <w:rPr>
          <w:lang w:val="en-US"/>
        </w:rPr>
        <w:t xml:space="preserve">, </w:t>
      </w:r>
      <w:r w:rsidRPr="005A1515">
        <w:rPr>
          <w:i/>
          <w:iCs/>
          <w:lang w:val="en-US"/>
        </w:rPr>
        <w:t>et al</w:t>
      </w:r>
      <w:r w:rsidR="005A1515">
        <w:rPr>
          <w:i/>
          <w:iCs/>
          <w:lang w:val="en-US"/>
        </w:rPr>
        <w:t>.</w:t>
      </w:r>
      <w:r w:rsidRPr="00C52B38">
        <w:rPr>
          <w:lang w:val="en-US"/>
        </w:rPr>
        <w:t xml:space="preserve"> (2014). </w:t>
      </w:r>
      <w:r w:rsidRPr="00C52B38">
        <w:rPr>
          <w:i/>
          <w:iCs/>
          <w:lang w:val="en-US"/>
        </w:rPr>
        <w:t>Counting the costs of crime in Australia: A 2011 estimate</w:t>
      </w:r>
      <w:r w:rsidRPr="00C52B38">
        <w:rPr>
          <w:lang w:val="en-US"/>
        </w:rPr>
        <w:t xml:space="preserve">. </w:t>
      </w:r>
      <w:r w:rsidRPr="00C52B38">
        <w:t xml:space="preserve">Instituto Australiano de Criminología. </w:t>
      </w:r>
      <w:proofErr w:type="spellStart"/>
      <w:r w:rsidRPr="00C52B38">
        <w:t>Research</w:t>
      </w:r>
      <w:proofErr w:type="spellEnd"/>
      <w:r w:rsidRPr="00C52B38">
        <w:t xml:space="preserve"> and </w:t>
      </w:r>
      <w:proofErr w:type="spellStart"/>
      <w:r w:rsidRPr="00C52B38">
        <w:t>Public</w:t>
      </w:r>
      <w:proofErr w:type="spellEnd"/>
      <w:r w:rsidRPr="00C52B38">
        <w:t xml:space="preserve"> </w:t>
      </w:r>
      <w:proofErr w:type="spellStart"/>
      <w:r w:rsidRPr="00C52B38">
        <w:t>Policy</w:t>
      </w:r>
      <w:proofErr w:type="spellEnd"/>
      <w:r w:rsidRPr="00C52B38">
        <w:t xml:space="preserve"> Series </w:t>
      </w:r>
      <w:r w:rsidR="005A1515">
        <w:t>No.</w:t>
      </w:r>
      <w:r w:rsidRPr="00C52B38">
        <w:t xml:space="preserve"> 129, Camberra.</w:t>
      </w:r>
    </w:p>
  </w:footnote>
  <w:footnote w:id="98">
    <w:p w14:paraId="51935CEC" w14:textId="686AD996"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(2023). </w:t>
      </w:r>
      <w:r w:rsidRPr="00C52B38">
        <w:rPr>
          <w:i/>
          <w:iCs/>
        </w:rPr>
        <w:t xml:space="preserve">4519.0 – Delitos registrados </w:t>
      </w:r>
      <w:r w:rsidR="005A1515">
        <w:rPr>
          <w:i/>
          <w:iCs/>
        </w:rPr>
        <w:t>–</w:t>
      </w:r>
      <w:r w:rsidRPr="00C52B38">
        <w:rPr>
          <w:i/>
          <w:iCs/>
        </w:rPr>
        <w:t xml:space="preserve"> autores de los delitos, Australia, 2021–2022.</w:t>
      </w:r>
      <w:r w:rsidR="00115A30">
        <w:t xml:space="preserve"> </w:t>
      </w:r>
      <w:hyperlink r:id="rId73" w:history="1">
        <w:proofErr w:type="spellStart"/>
        <w:r w:rsidR="00115A30">
          <w:rPr>
            <w:rStyle w:val="Hipervnculo"/>
          </w:rPr>
          <w:t>www.abs.gov.au</w:t>
        </w:r>
        <w:proofErr w:type="spellEnd"/>
        <w:r w:rsidR="00115A30">
          <w:rPr>
            <w:rStyle w:val="Hipervnculo"/>
          </w:rPr>
          <w:t>/</w:t>
        </w:r>
        <w:proofErr w:type="spellStart"/>
        <w:r w:rsidR="00115A30">
          <w:rPr>
            <w:rStyle w:val="Hipervnculo"/>
          </w:rPr>
          <w:t>AUSSTATS</w:t>
        </w:r>
        <w:proofErr w:type="spellEnd"/>
        <w:r w:rsidR="00115A30">
          <w:rPr>
            <w:rStyle w:val="Hipervnculo"/>
          </w:rPr>
          <w:t>/</w:t>
        </w:r>
        <w:proofErr w:type="spellStart"/>
        <w:r w:rsidR="00115A30">
          <w:rPr>
            <w:rStyle w:val="Hipervnculo"/>
          </w:rPr>
          <w:t>abs</w:t>
        </w:r>
        <w:proofErr w:type="spellEnd"/>
        <w:r w:rsidR="00115A30">
          <w:rPr>
            <w:rStyle w:val="Hipervnculo"/>
          </w:rPr>
          <w:t>@.</w:t>
        </w:r>
        <w:proofErr w:type="spellStart"/>
        <w:r w:rsidR="00115A30">
          <w:rPr>
            <w:rStyle w:val="Hipervnculo"/>
          </w:rPr>
          <w:t>nsf</w:t>
        </w:r>
        <w:proofErr w:type="spellEnd"/>
        <w:r w:rsidR="00115A30">
          <w:rPr>
            <w:rStyle w:val="Hipervnculo"/>
          </w:rPr>
          <w:t>/</w:t>
        </w:r>
        <w:proofErr w:type="spellStart"/>
        <w:r w:rsidR="00115A30">
          <w:rPr>
            <w:rStyle w:val="Hipervnculo"/>
          </w:rPr>
          <w:t>mf</w:t>
        </w:r>
        <w:proofErr w:type="spellEnd"/>
        <w:r w:rsidR="00115A30">
          <w:rPr>
            <w:rStyle w:val="Hipervnculo"/>
          </w:rPr>
          <w:t>/4519.0</w:t>
        </w:r>
      </w:hyperlink>
    </w:p>
  </w:footnote>
  <w:footnote w:id="99">
    <w:p w14:paraId="1D60A23A"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100">
    <w:p w14:paraId="1F3C5268" w14:textId="78344CD1"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(2023). </w:t>
      </w:r>
      <w:r w:rsidRPr="00C52B38">
        <w:rPr>
          <w:i/>
          <w:iCs/>
        </w:rPr>
        <w:t>4517.0 – Presos en Australia, 2022.</w:t>
      </w:r>
      <w:r w:rsidRPr="00C52B38">
        <w:t xml:space="preserve"> </w:t>
      </w:r>
      <w:hyperlink r:id="rId74" w:history="1">
        <w:proofErr w:type="spellStart"/>
        <w:r w:rsidR="00115A30" w:rsidRPr="004F31ED">
          <w:rPr>
            <w:rStyle w:val="Hipervnculo"/>
          </w:rPr>
          <w:t>www.abs.gov.au</w:t>
        </w:r>
        <w:proofErr w:type="spellEnd"/>
        <w:r w:rsidR="00115A30" w:rsidRPr="004F31ED">
          <w:rPr>
            <w:rStyle w:val="Hipervnculo"/>
          </w:rPr>
          <w:t>/</w:t>
        </w:r>
        <w:proofErr w:type="spellStart"/>
        <w:r w:rsidR="00115A30" w:rsidRPr="004F31ED">
          <w:rPr>
            <w:rStyle w:val="Hipervnculo"/>
          </w:rPr>
          <w:t>ausstats</w:t>
        </w:r>
        <w:proofErr w:type="spellEnd"/>
        <w:r w:rsidR="00115A30" w:rsidRPr="004F31ED">
          <w:rPr>
            <w:rStyle w:val="Hipervnculo"/>
          </w:rPr>
          <w:t>/</w:t>
        </w:r>
        <w:proofErr w:type="spellStart"/>
        <w:r w:rsidR="00115A30" w:rsidRPr="004F31ED">
          <w:rPr>
            <w:rStyle w:val="Hipervnculo"/>
          </w:rPr>
          <w:t>abs</w:t>
        </w:r>
        <w:proofErr w:type="spellEnd"/>
        <w:r w:rsidR="00115A30" w:rsidRPr="004F31ED">
          <w:rPr>
            <w:rStyle w:val="Hipervnculo"/>
          </w:rPr>
          <w:t>@.</w:t>
        </w:r>
        <w:proofErr w:type="spellStart"/>
        <w:r w:rsidR="00115A30" w:rsidRPr="004F31ED">
          <w:rPr>
            <w:rStyle w:val="Hipervnculo"/>
          </w:rPr>
          <w:t>nsf</w:t>
        </w:r>
        <w:proofErr w:type="spellEnd"/>
        <w:r w:rsidR="00115A30" w:rsidRPr="004F31ED">
          <w:rPr>
            <w:rStyle w:val="Hipervnculo"/>
          </w:rPr>
          <w:t>/</w:t>
        </w:r>
        <w:proofErr w:type="spellStart"/>
        <w:r w:rsidR="00115A30" w:rsidRPr="004F31ED">
          <w:rPr>
            <w:rStyle w:val="Hipervnculo"/>
          </w:rPr>
          <w:t>mf</w:t>
        </w:r>
        <w:proofErr w:type="spellEnd"/>
        <w:r w:rsidR="00115A30" w:rsidRPr="004F31ED">
          <w:rPr>
            <w:rStyle w:val="Hipervnculo"/>
          </w:rPr>
          <w:t>/4517.0</w:t>
        </w:r>
      </w:hyperlink>
      <w:r w:rsidRPr="00C52B38">
        <w:t>.</w:t>
      </w:r>
      <w:r w:rsidR="00115A30">
        <w:t xml:space="preserve"> </w:t>
      </w:r>
    </w:p>
  </w:footnote>
  <w:footnote w:id="101">
    <w:p w14:paraId="68321042" w14:textId="3A3768E8"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(2023). </w:t>
      </w:r>
      <w:r w:rsidRPr="00C52B38">
        <w:rPr>
          <w:i/>
          <w:iCs/>
        </w:rPr>
        <w:t>4517.0 – Presos en Australia, 2022.</w:t>
      </w:r>
      <w:r w:rsidRPr="00C52B38">
        <w:t xml:space="preserve"> </w:t>
      </w:r>
      <w:hyperlink r:id="rId75" w:history="1">
        <w:proofErr w:type="spellStart"/>
        <w:r w:rsidR="00115A30" w:rsidRPr="004F31ED">
          <w:rPr>
            <w:rStyle w:val="Hipervnculo"/>
          </w:rPr>
          <w:t>www.abs.gov.au</w:t>
        </w:r>
        <w:proofErr w:type="spellEnd"/>
        <w:r w:rsidR="00115A30" w:rsidRPr="004F31ED">
          <w:rPr>
            <w:rStyle w:val="Hipervnculo"/>
          </w:rPr>
          <w:t>/</w:t>
        </w:r>
        <w:proofErr w:type="spellStart"/>
        <w:r w:rsidR="00115A30" w:rsidRPr="004F31ED">
          <w:rPr>
            <w:rStyle w:val="Hipervnculo"/>
          </w:rPr>
          <w:t>ausstats</w:t>
        </w:r>
        <w:proofErr w:type="spellEnd"/>
        <w:r w:rsidR="00115A30" w:rsidRPr="004F31ED">
          <w:rPr>
            <w:rStyle w:val="Hipervnculo"/>
          </w:rPr>
          <w:t>/</w:t>
        </w:r>
        <w:proofErr w:type="spellStart"/>
        <w:r w:rsidR="00115A30" w:rsidRPr="004F31ED">
          <w:rPr>
            <w:rStyle w:val="Hipervnculo"/>
          </w:rPr>
          <w:t>abs</w:t>
        </w:r>
        <w:proofErr w:type="spellEnd"/>
        <w:r w:rsidR="00115A30" w:rsidRPr="004F31ED">
          <w:rPr>
            <w:rStyle w:val="Hipervnculo"/>
          </w:rPr>
          <w:t>@.</w:t>
        </w:r>
        <w:proofErr w:type="spellStart"/>
        <w:r w:rsidR="00115A30" w:rsidRPr="004F31ED">
          <w:rPr>
            <w:rStyle w:val="Hipervnculo"/>
          </w:rPr>
          <w:t>nsf</w:t>
        </w:r>
        <w:proofErr w:type="spellEnd"/>
        <w:r w:rsidR="00115A30" w:rsidRPr="004F31ED">
          <w:rPr>
            <w:rStyle w:val="Hipervnculo"/>
          </w:rPr>
          <w:t>/</w:t>
        </w:r>
        <w:proofErr w:type="spellStart"/>
        <w:r w:rsidR="00115A30" w:rsidRPr="004F31ED">
          <w:rPr>
            <w:rStyle w:val="Hipervnculo"/>
          </w:rPr>
          <w:t>mf</w:t>
        </w:r>
        <w:proofErr w:type="spellEnd"/>
        <w:r w:rsidR="00115A30" w:rsidRPr="004F31ED">
          <w:rPr>
            <w:rStyle w:val="Hipervnculo"/>
          </w:rPr>
          <w:t>/4517.0</w:t>
        </w:r>
      </w:hyperlink>
      <w:r w:rsidRPr="00C52B38">
        <w:t>.</w:t>
      </w:r>
      <w:r w:rsidR="00115A30">
        <w:t xml:space="preserve"> </w:t>
      </w:r>
    </w:p>
  </w:footnote>
  <w:footnote w:id="102">
    <w:p w14:paraId="63A6A1D2"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103">
    <w:p w14:paraId="0A9ADA12"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104">
    <w:p w14:paraId="71ACA3C7" w14:textId="0143BD6C" w:rsidR="000C706A" w:rsidRPr="00C52B38" w:rsidRDefault="000C706A" w:rsidP="000C706A">
      <w:pPr>
        <w:pStyle w:val="Textonotapie"/>
      </w:pPr>
      <w:r w:rsidRPr="00C52B38">
        <w:tab/>
      </w:r>
      <w:r w:rsidRPr="00C52B38">
        <w:rPr>
          <w:rStyle w:val="Refdenotaalpie"/>
        </w:rPr>
        <w:footnoteRef/>
      </w:r>
      <w:r w:rsidRPr="00C52B38">
        <w:tab/>
        <w:t xml:space="preserve">Instituto Australiano de Criminología. </w:t>
      </w:r>
      <w:r w:rsidRPr="00C52B38">
        <w:rPr>
          <w:i/>
          <w:iCs/>
        </w:rPr>
        <w:t>Muertes durante la reclusión en Australia.</w:t>
      </w:r>
      <w:r w:rsidRPr="00C52B38">
        <w:t xml:space="preserve"> </w:t>
      </w:r>
      <w:hyperlink r:id="rId76" w:history="1">
        <w:r w:rsidRPr="00115A30">
          <w:rPr>
            <w:rStyle w:val="Hipervnculo"/>
          </w:rPr>
          <w:t>https://</w:t>
        </w:r>
        <w:proofErr w:type="spellStart"/>
        <w:r w:rsidRPr="00115A30">
          <w:rPr>
            <w:rStyle w:val="Hipervnculo"/>
          </w:rPr>
          <w:t>www.aic.gov.au</w:t>
        </w:r>
        <w:proofErr w:type="spellEnd"/>
        <w:r w:rsidRPr="00115A30">
          <w:rPr>
            <w:rStyle w:val="Hipervnculo"/>
          </w:rPr>
          <w:t>/</w:t>
        </w:r>
        <w:proofErr w:type="spellStart"/>
        <w:r w:rsidRPr="00115A30">
          <w:rPr>
            <w:rStyle w:val="Hipervnculo"/>
          </w:rPr>
          <w:t>statistics</w:t>
        </w:r>
        <w:proofErr w:type="spellEnd"/>
        <w:r w:rsidRPr="00115A30">
          <w:rPr>
            <w:rStyle w:val="Hipervnculo"/>
          </w:rPr>
          <w:t>/</w:t>
        </w:r>
        <w:proofErr w:type="spellStart"/>
        <w:r w:rsidRPr="00115A30">
          <w:rPr>
            <w:rStyle w:val="Hipervnculo"/>
          </w:rPr>
          <w:t>deaths-custody-australia</w:t>
        </w:r>
        <w:proofErr w:type="spellEnd"/>
      </w:hyperlink>
      <w:r w:rsidRPr="00C52B38">
        <w:t>.</w:t>
      </w:r>
    </w:p>
  </w:footnote>
  <w:footnote w:id="105">
    <w:p w14:paraId="0713EED3"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106">
    <w:p w14:paraId="22BDCCED"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107">
    <w:p w14:paraId="666B6362" w14:textId="57B9F73B" w:rsidR="000C706A" w:rsidRPr="00C52B38" w:rsidRDefault="000C706A" w:rsidP="000C706A">
      <w:pPr>
        <w:pStyle w:val="Textonotapie"/>
      </w:pPr>
      <w:r w:rsidRPr="00C52B38">
        <w:tab/>
      </w:r>
      <w:r w:rsidRPr="00C52B38">
        <w:rPr>
          <w:rStyle w:val="Refdenotaalpie"/>
        </w:rPr>
        <w:footnoteRef/>
      </w:r>
      <w:r w:rsidRPr="00C52B38">
        <w:tab/>
        <w:t xml:space="preserve">Instituto Australiano de Salud y Bienestar (2023). </w:t>
      </w:r>
      <w:r w:rsidRPr="00C52B38">
        <w:rPr>
          <w:i/>
          <w:iCs/>
        </w:rPr>
        <w:t xml:space="preserve">La juventud en el sistema judicial australiano 2021–2022. </w:t>
      </w:r>
      <w:hyperlink r:id="rId77" w:history="1">
        <w:r w:rsidR="00115A30" w:rsidRPr="004F31ED">
          <w:rPr>
            <w:rStyle w:val="Hipervnculo"/>
          </w:rPr>
          <w:t>https://www.aihw.gov.au/reports/youth-justice/youth-justice-in-australia-2021-22/contents/summary</w:t>
        </w:r>
      </w:hyperlink>
      <w:r w:rsidRPr="00C52B38">
        <w:t>.</w:t>
      </w:r>
      <w:r w:rsidR="00115A30">
        <w:t xml:space="preserve"> </w:t>
      </w:r>
    </w:p>
  </w:footnote>
  <w:footnote w:id="108">
    <w:p w14:paraId="40D084C9" w14:textId="77777777" w:rsidR="000C706A" w:rsidRPr="00C52B38" w:rsidRDefault="000C706A" w:rsidP="000C706A">
      <w:pPr>
        <w:pStyle w:val="Textonotapie"/>
      </w:pPr>
      <w:r w:rsidRPr="00C52B38">
        <w:tab/>
      </w:r>
      <w:r w:rsidRPr="00C52B38">
        <w:rPr>
          <w:rStyle w:val="Refdenotaalpie"/>
        </w:rPr>
        <w:footnoteRef/>
      </w:r>
      <w:r w:rsidRPr="00C52B38">
        <w:tab/>
      </w:r>
      <w:r w:rsidRPr="00C52B38">
        <w:rPr>
          <w:i/>
          <w:iCs/>
        </w:rPr>
        <w:t>Ibid</w:t>
      </w:r>
      <w:r w:rsidRPr="00C52B38">
        <w:t>.</w:t>
      </w:r>
    </w:p>
  </w:footnote>
  <w:footnote w:id="109">
    <w:p w14:paraId="1A82F939" w14:textId="0828D52E" w:rsidR="000C706A" w:rsidRPr="00C52B38" w:rsidRDefault="000C706A" w:rsidP="000C706A">
      <w:pPr>
        <w:pStyle w:val="Textonotapie"/>
        <w:rPr>
          <w:lang w:val="en-US"/>
        </w:rPr>
      </w:pPr>
      <w:r w:rsidRPr="00C52B38">
        <w:tab/>
      </w:r>
      <w:r w:rsidRPr="00C52B38">
        <w:rPr>
          <w:rStyle w:val="Refdenotaalpie"/>
        </w:rPr>
        <w:footnoteRef/>
      </w:r>
      <w:r w:rsidRPr="00C52B38">
        <w:tab/>
        <w:t xml:space="preserve">Comité Directivo para el Examen de la Prestación de Servicios Públicos. </w:t>
      </w:r>
      <w:r w:rsidRPr="00C52B38">
        <w:rPr>
          <w:i/>
          <w:iCs/>
          <w:lang w:val="en-US"/>
        </w:rPr>
        <w:t>Report on Government Services 2022</w:t>
      </w:r>
      <w:r w:rsidR="00EB7D1E">
        <w:rPr>
          <w:i/>
          <w:iCs/>
          <w:lang w:val="en-US"/>
        </w:rPr>
        <w:t xml:space="preserve"> </w:t>
      </w:r>
      <w:r w:rsidRPr="00EB7D1E">
        <w:rPr>
          <w:lang w:val="en-US"/>
        </w:rPr>
        <w:t>(</w:t>
      </w:r>
      <w:r w:rsidRPr="00C52B38">
        <w:rPr>
          <w:lang w:val="en-US"/>
        </w:rPr>
        <w:t xml:space="preserve">Vol. C, Justice). </w:t>
      </w:r>
      <w:hyperlink r:id="rId78" w:history="1">
        <w:r w:rsidR="00115A30" w:rsidRPr="004F31ED">
          <w:rPr>
            <w:rStyle w:val="Hipervnculo"/>
            <w:lang w:val="en-US"/>
          </w:rPr>
          <w:t>https://www.pc.gov.au/ongoing/report-on-government-services/2022/justice</w:t>
        </w:r>
      </w:hyperlink>
      <w:r w:rsidRPr="00C52B38">
        <w:rPr>
          <w:lang w:val="en-US"/>
        </w:rPr>
        <w:t>.</w:t>
      </w:r>
      <w:r w:rsidR="00115A30">
        <w:rPr>
          <w:lang w:val="en-US"/>
        </w:rPr>
        <w:t xml:space="preserve"> </w:t>
      </w:r>
    </w:p>
  </w:footnote>
  <w:footnote w:id="110">
    <w:p w14:paraId="2D9FD042" w14:textId="77777777" w:rsidR="000C706A" w:rsidRPr="00C52B38" w:rsidRDefault="000C706A" w:rsidP="000C706A">
      <w:pPr>
        <w:pStyle w:val="Textonotapie"/>
      </w:pPr>
      <w:r w:rsidRPr="00C52B38">
        <w:rPr>
          <w:lang w:val="en-US"/>
        </w:rPr>
        <w:tab/>
      </w:r>
      <w:r w:rsidRPr="00C52B38">
        <w:rPr>
          <w:rStyle w:val="Refdenotaalpie"/>
        </w:rPr>
        <w:footnoteRef/>
      </w:r>
      <w:r w:rsidRPr="00C52B38">
        <w:tab/>
      </w:r>
      <w:r w:rsidRPr="00C52B38">
        <w:rPr>
          <w:i/>
          <w:iCs/>
        </w:rPr>
        <w:t>Ibid</w:t>
      </w:r>
      <w:r w:rsidRPr="00C52B38">
        <w:t>.</w:t>
      </w:r>
    </w:p>
  </w:footnote>
  <w:footnote w:id="111">
    <w:p w14:paraId="67053191" w14:textId="54571DFC"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(2023). </w:t>
      </w:r>
      <w:r w:rsidRPr="00C52B38">
        <w:rPr>
          <w:i/>
          <w:iCs/>
        </w:rPr>
        <w:t>4513.0 – Tribunales penales, Australia, 2021</w:t>
      </w:r>
      <w:r w:rsidR="00EB7D1E">
        <w:rPr>
          <w:i/>
          <w:iCs/>
        </w:rPr>
        <w:t>-</w:t>
      </w:r>
      <w:r w:rsidRPr="00C52B38">
        <w:rPr>
          <w:i/>
          <w:iCs/>
        </w:rPr>
        <w:t>2022.</w:t>
      </w:r>
      <w:r w:rsidRPr="00C52B38">
        <w:t xml:space="preserve"> </w:t>
      </w:r>
      <w:hyperlink r:id="rId79" w:history="1">
        <w:proofErr w:type="spellStart"/>
        <w:r w:rsidR="00115A30" w:rsidRPr="004F31ED">
          <w:rPr>
            <w:rStyle w:val="Hipervnculo"/>
          </w:rPr>
          <w:t>www.abs.gov.au</w:t>
        </w:r>
        <w:proofErr w:type="spellEnd"/>
        <w:r w:rsidR="00115A30" w:rsidRPr="004F31ED">
          <w:rPr>
            <w:rStyle w:val="Hipervnculo"/>
          </w:rPr>
          <w:t>/</w:t>
        </w:r>
        <w:proofErr w:type="spellStart"/>
        <w:r w:rsidR="00115A30" w:rsidRPr="004F31ED">
          <w:rPr>
            <w:rStyle w:val="Hipervnculo"/>
          </w:rPr>
          <w:t>AUSSTATS</w:t>
        </w:r>
        <w:proofErr w:type="spellEnd"/>
        <w:r w:rsidR="00115A30" w:rsidRPr="004F31ED">
          <w:rPr>
            <w:rStyle w:val="Hipervnculo"/>
          </w:rPr>
          <w:t>/</w:t>
        </w:r>
        <w:proofErr w:type="spellStart"/>
        <w:r w:rsidR="00115A30" w:rsidRPr="004F31ED">
          <w:rPr>
            <w:rStyle w:val="Hipervnculo"/>
          </w:rPr>
          <w:t>abs</w:t>
        </w:r>
        <w:proofErr w:type="spellEnd"/>
        <w:r w:rsidR="00115A30" w:rsidRPr="004F31ED">
          <w:rPr>
            <w:rStyle w:val="Hipervnculo"/>
          </w:rPr>
          <w:t>@.</w:t>
        </w:r>
        <w:proofErr w:type="spellStart"/>
        <w:r w:rsidR="00115A30" w:rsidRPr="004F31ED">
          <w:rPr>
            <w:rStyle w:val="Hipervnculo"/>
          </w:rPr>
          <w:t>nsf</w:t>
        </w:r>
        <w:proofErr w:type="spellEnd"/>
        <w:r w:rsidR="00115A30" w:rsidRPr="004F31ED">
          <w:rPr>
            <w:rStyle w:val="Hipervnculo"/>
          </w:rPr>
          <w:t>/</w:t>
        </w:r>
        <w:proofErr w:type="spellStart"/>
        <w:r w:rsidR="00115A30" w:rsidRPr="004F31ED">
          <w:rPr>
            <w:rStyle w:val="Hipervnculo"/>
          </w:rPr>
          <w:t>mf</w:t>
        </w:r>
        <w:proofErr w:type="spellEnd"/>
        <w:r w:rsidR="00115A30" w:rsidRPr="004F31ED">
          <w:rPr>
            <w:rStyle w:val="Hipervnculo"/>
          </w:rPr>
          <w:t>/4513.0</w:t>
        </w:r>
      </w:hyperlink>
      <w:r w:rsidRPr="00C52B38">
        <w:t>.</w:t>
      </w:r>
    </w:p>
  </w:footnote>
  <w:footnote w:id="112">
    <w:p w14:paraId="4D4B6D5A" w14:textId="2D26317A" w:rsidR="000C706A" w:rsidRPr="005E3CF7" w:rsidRDefault="000C706A" w:rsidP="000C706A">
      <w:pPr>
        <w:pStyle w:val="Textonotapie"/>
      </w:pPr>
      <w:r w:rsidRPr="00C52B38">
        <w:tab/>
      </w:r>
      <w:r w:rsidRPr="00C52B38">
        <w:rPr>
          <w:rStyle w:val="Refdenotaalpie"/>
        </w:rPr>
        <w:footnoteRef/>
      </w:r>
      <w:r w:rsidRPr="00C52B38">
        <w:tab/>
        <w:t xml:space="preserve">Comité Directivo para el Examen de la Prestación de Servicios Públicos, </w:t>
      </w:r>
      <w:r w:rsidRPr="00C52B38">
        <w:rPr>
          <w:i/>
          <w:iCs/>
        </w:rPr>
        <w:t xml:space="preserve">Report </w:t>
      </w:r>
      <w:proofErr w:type="spellStart"/>
      <w:r w:rsidRPr="00C52B38">
        <w:rPr>
          <w:i/>
          <w:iCs/>
        </w:rPr>
        <w:t>on</w:t>
      </w:r>
      <w:proofErr w:type="spellEnd"/>
      <w:r w:rsidRPr="00C52B38">
        <w:rPr>
          <w:i/>
          <w:iCs/>
        </w:rPr>
        <w:t xml:space="preserve"> </w:t>
      </w:r>
      <w:proofErr w:type="spellStart"/>
      <w:r w:rsidRPr="00C52B38">
        <w:rPr>
          <w:i/>
          <w:iCs/>
        </w:rPr>
        <w:t>Government</w:t>
      </w:r>
      <w:proofErr w:type="spellEnd"/>
      <w:r w:rsidRPr="00C52B38">
        <w:rPr>
          <w:i/>
          <w:iCs/>
        </w:rPr>
        <w:t xml:space="preserve"> </w:t>
      </w:r>
      <w:proofErr w:type="spellStart"/>
      <w:r w:rsidRPr="00C52B38">
        <w:rPr>
          <w:i/>
          <w:iCs/>
        </w:rPr>
        <w:t>Services</w:t>
      </w:r>
      <w:proofErr w:type="spellEnd"/>
      <w:r w:rsidRPr="00C52B38">
        <w:rPr>
          <w:i/>
          <w:iCs/>
        </w:rPr>
        <w:t xml:space="preserve"> 2022 </w:t>
      </w:r>
      <w:r w:rsidRPr="00EB7D1E">
        <w:t xml:space="preserve">(Vol. </w:t>
      </w:r>
      <w:r w:rsidRPr="00C52B38">
        <w:rPr>
          <w:lang w:val="en-US"/>
        </w:rPr>
        <w:t xml:space="preserve">C, Justice). </w:t>
      </w:r>
      <w:hyperlink r:id="rId80" w:history="1">
        <w:r w:rsidR="00115A30" w:rsidRPr="005E3CF7">
          <w:rPr>
            <w:rStyle w:val="Hipervnculo"/>
          </w:rPr>
          <w:t>https://www.pc.gov.au/ongoing/report-on-government-services/2022/justice</w:t>
        </w:r>
      </w:hyperlink>
      <w:r w:rsidRPr="005E3CF7">
        <w:t>.</w:t>
      </w:r>
      <w:r w:rsidR="00115A30" w:rsidRPr="005E3CF7">
        <w:t xml:space="preserve"> </w:t>
      </w:r>
    </w:p>
  </w:footnote>
  <w:footnote w:id="113">
    <w:p w14:paraId="61AF0231" w14:textId="04D626DB" w:rsidR="000C706A" w:rsidRPr="00C52B38" w:rsidRDefault="000C706A" w:rsidP="000C706A">
      <w:pPr>
        <w:pStyle w:val="Textonotapie"/>
      </w:pPr>
      <w:r w:rsidRPr="005E3CF7">
        <w:tab/>
      </w:r>
      <w:r w:rsidRPr="00C52B38">
        <w:rPr>
          <w:rStyle w:val="Refdenotaalpie"/>
        </w:rPr>
        <w:footnoteRef/>
      </w:r>
      <w:r w:rsidRPr="005E3CF7">
        <w:tab/>
      </w:r>
      <w:proofErr w:type="spellStart"/>
      <w:r w:rsidRPr="005E3CF7">
        <w:t>National</w:t>
      </w:r>
      <w:proofErr w:type="spellEnd"/>
      <w:r w:rsidRPr="005E3CF7">
        <w:t xml:space="preserve"> Legal Aid (2023). </w:t>
      </w:r>
      <w:r w:rsidRPr="00C52B38">
        <w:rPr>
          <w:i/>
          <w:iCs/>
        </w:rPr>
        <w:t>Datos estadísticos nacionales sobre asistencia jurídica</w:t>
      </w:r>
      <w:r w:rsidRPr="00C52B38">
        <w:t xml:space="preserve">, </w:t>
      </w:r>
      <w:r w:rsidRPr="00C52B38">
        <w:rPr>
          <w:i/>
          <w:iCs/>
        </w:rPr>
        <w:t>2022</w:t>
      </w:r>
      <w:r w:rsidR="002B21A5">
        <w:rPr>
          <w:i/>
          <w:iCs/>
        </w:rPr>
        <w:t>-</w:t>
      </w:r>
      <w:r w:rsidRPr="00C52B38">
        <w:rPr>
          <w:i/>
          <w:iCs/>
        </w:rPr>
        <w:t xml:space="preserve">2023. </w:t>
      </w:r>
      <w:hyperlink r:id="rId81" w:history="1">
        <w:r w:rsidR="007F621A" w:rsidRPr="004F31ED">
          <w:rPr>
            <w:rStyle w:val="Hipervnculo"/>
          </w:rPr>
          <w:t>https://nla.legalaid.nsw.gov.au/nlareports/reportviewer.aspx?reportname=ApplicationStatus</w:t>
        </w:r>
      </w:hyperlink>
      <w:r w:rsidRPr="00C52B38">
        <w:t>.</w:t>
      </w:r>
      <w:r w:rsidR="007F621A">
        <w:t xml:space="preserve"> </w:t>
      </w:r>
    </w:p>
  </w:footnote>
  <w:footnote w:id="114">
    <w:p w14:paraId="11F3EC3E" w14:textId="6625E3EA" w:rsidR="000C706A" w:rsidRPr="00C52B38" w:rsidRDefault="000C706A" w:rsidP="000C706A">
      <w:pPr>
        <w:pStyle w:val="Textonotapie"/>
      </w:pPr>
      <w:r w:rsidRPr="00C52B38">
        <w:tab/>
      </w:r>
      <w:r w:rsidRPr="00C52B38">
        <w:rPr>
          <w:rStyle w:val="Refdenotaalpie"/>
        </w:rPr>
        <w:footnoteRef/>
      </w:r>
      <w:r w:rsidRPr="00C52B38">
        <w:tab/>
        <w:t xml:space="preserve">Centro de Políticas de Desarrollo de la Universidad Nacional de Australia. </w:t>
      </w:r>
      <w:proofErr w:type="spellStart"/>
      <w:r w:rsidRPr="00C52B38">
        <w:rPr>
          <w:i/>
          <w:iCs/>
        </w:rPr>
        <w:t>Australian</w:t>
      </w:r>
      <w:proofErr w:type="spellEnd"/>
      <w:r w:rsidRPr="00C52B38">
        <w:rPr>
          <w:i/>
          <w:iCs/>
        </w:rPr>
        <w:t xml:space="preserve"> Aid </w:t>
      </w:r>
      <w:proofErr w:type="spellStart"/>
      <w:r w:rsidRPr="00C52B38">
        <w:rPr>
          <w:i/>
          <w:iCs/>
        </w:rPr>
        <w:t>Tracker</w:t>
      </w:r>
      <w:proofErr w:type="spellEnd"/>
      <w:r w:rsidRPr="00C52B38">
        <w:rPr>
          <w:i/>
          <w:iCs/>
        </w:rPr>
        <w:t>.</w:t>
      </w:r>
      <w:r w:rsidRPr="00C52B38">
        <w:t xml:space="preserve"> </w:t>
      </w:r>
      <w:hyperlink r:id="rId82" w:history="1">
        <w:proofErr w:type="spellStart"/>
        <w:r w:rsidR="00B71D0F" w:rsidRPr="00B71D0F">
          <w:rPr>
            <w:rStyle w:val="Hipervnculo"/>
          </w:rPr>
          <w:t>www.devpolicy.org</w:t>
        </w:r>
        <w:proofErr w:type="spellEnd"/>
        <w:r w:rsidR="00B71D0F" w:rsidRPr="00B71D0F">
          <w:rPr>
            <w:rStyle w:val="Hipervnculo"/>
          </w:rPr>
          <w:t>/</w:t>
        </w:r>
        <w:proofErr w:type="spellStart"/>
        <w:r w:rsidR="00B71D0F" w:rsidRPr="00B71D0F">
          <w:rPr>
            <w:rStyle w:val="Hipervnculo"/>
          </w:rPr>
          <w:t>aidtracker</w:t>
        </w:r>
        <w:proofErr w:type="spellEnd"/>
      </w:hyperlink>
      <w:r w:rsidRPr="00C52B38">
        <w:t>.</w:t>
      </w:r>
    </w:p>
  </w:footnote>
  <w:footnote w:id="115">
    <w:p w14:paraId="55BAC337" w14:textId="6331B810" w:rsidR="000C706A" w:rsidRPr="00C52B38" w:rsidRDefault="000C706A" w:rsidP="000C706A">
      <w:pPr>
        <w:pStyle w:val="Textonotapie"/>
      </w:pPr>
      <w:r w:rsidRPr="00C52B38">
        <w:tab/>
      </w:r>
      <w:r w:rsidRPr="00C52B38">
        <w:rPr>
          <w:rStyle w:val="Refdenotaalpie"/>
        </w:rPr>
        <w:footnoteRef/>
      </w:r>
      <w:bookmarkStart w:id="39" w:name="_Hlk137220911"/>
      <w:r w:rsidRPr="00C52B38">
        <w:tab/>
        <w:t xml:space="preserve">Gobierno de Australia, Fiscalía General. </w:t>
      </w:r>
      <w:r w:rsidRPr="00C52B38">
        <w:rPr>
          <w:i/>
          <w:iCs/>
        </w:rPr>
        <w:t>Presentación de informes a los órganos de tratados.</w:t>
      </w:r>
      <w:r w:rsidRPr="00C52B38">
        <w:t xml:space="preserve"> </w:t>
      </w:r>
      <w:hyperlink r:id="rId83" w:history="1">
        <w:r w:rsidRPr="00B71D0F">
          <w:rPr>
            <w:rStyle w:val="Hipervnculo"/>
          </w:rPr>
          <w:t>https://www.ag.gov.au/rights-and-protections/human-rights-and-anti-discrimination/united-nations-human-rights-reporting/treaty-body-reporting</w:t>
        </w:r>
      </w:hyperlink>
      <w:r w:rsidRPr="00C52B38">
        <w:t>.</w:t>
      </w:r>
      <w:bookmarkEnd w:id="39"/>
    </w:p>
  </w:footnote>
  <w:footnote w:id="116">
    <w:p w14:paraId="78DFF3C3" w14:textId="11308D52" w:rsidR="000C706A" w:rsidRPr="00C52B38" w:rsidRDefault="000C706A" w:rsidP="000C706A">
      <w:pPr>
        <w:pStyle w:val="Textonotapie"/>
      </w:pPr>
      <w:r w:rsidRPr="00C52B38">
        <w:tab/>
      </w:r>
      <w:r w:rsidRPr="00C52B38">
        <w:rPr>
          <w:rStyle w:val="Refdenotaalpie"/>
        </w:rPr>
        <w:footnoteRef/>
      </w:r>
      <w:r w:rsidRPr="00C52B38">
        <w:tab/>
        <w:t xml:space="preserve">Gobierno de Australia. Fiscalía General. </w:t>
      </w:r>
      <w:r w:rsidRPr="00C52B38">
        <w:rPr>
          <w:i/>
          <w:iCs/>
        </w:rPr>
        <w:t>Seguimiento del examen periódico universal.</w:t>
      </w:r>
      <w:r w:rsidRPr="00C52B38">
        <w:t xml:space="preserve"> </w:t>
      </w:r>
      <w:hyperlink r:id="rId84" w:history="1">
        <w:r w:rsidRPr="00B71D0F">
          <w:rPr>
            <w:rStyle w:val="Hipervnculo"/>
          </w:rPr>
          <w:t>https://www.ag.gov.au/RightsAndProtections/HumanRights/United-Nations-Human-Rights-Reporting/upr-recommendations/Pages/default.aspx</w:t>
        </w:r>
      </w:hyperlink>
      <w:r w:rsidRPr="00C52B38">
        <w:t>.</w:t>
      </w:r>
    </w:p>
  </w:footnote>
  <w:footnote w:id="117">
    <w:p w14:paraId="4297776D" w14:textId="61829441" w:rsidR="000C706A" w:rsidRPr="00C52B38" w:rsidRDefault="000C706A" w:rsidP="000C706A">
      <w:pPr>
        <w:pStyle w:val="Textonotapie"/>
      </w:pPr>
      <w:r w:rsidRPr="00C52B38">
        <w:tab/>
      </w:r>
      <w:r w:rsidRPr="00C52B38">
        <w:rPr>
          <w:rStyle w:val="Refdenotaalpie"/>
        </w:rPr>
        <w:footnoteRef/>
      </w:r>
      <w:r w:rsidRPr="00C52B38">
        <w:tab/>
      </w:r>
      <w:hyperlink r:id="rId85" w:history="1">
        <w:proofErr w:type="spellStart"/>
        <w:r w:rsidR="00B71D0F" w:rsidRPr="003A7DDC">
          <w:rPr>
            <w:rStyle w:val="Hipervnculo"/>
          </w:rPr>
          <w:t>www.indigenous.gov.au</w:t>
        </w:r>
        <w:proofErr w:type="spellEnd"/>
        <w:r w:rsidR="00B71D0F" w:rsidRPr="003A7DDC">
          <w:rPr>
            <w:rStyle w:val="Hipervnculo"/>
          </w:rPr>
          <w:t>/remote-</w:t>
        </w:r>
        <w:proofErr w:type="spellStart"/>
        <w:r w:rsidR="00B71D0F" w:rsidRPr="003A7DDC">
          <w:rPr>
            <w:rStyle w:val="Hipervnculo"/>
          </w:rPr>
          <w:t>australia</w:t>
        </w:r>
        <w:proofErr w:type="spellEnd"/>
        <w:r w:rsidR="00B71D0F" w:rsidRPr="003A7DDC">
          <w:rPr>
            <w:rStyle w:val="Hipervnculo"/>
          </w:rPr>
          <w:t>-</w:t>
        </w:r>
        <w:proofErr w:type="spellStart"/>
        <w:r w:rsidR="00B71D0F" w:rsidRPr="003A7DDC">
          <w:rPr>
            <w:rStyle w:val="Hipervnculo"/>
          </w:rPr>
          <w:t>strategies</w:t>
        </w:r>
        <w:proofErr w:type="spellEnd"/>
      </w:hyperlink>
      <w:r w:rsidRPr="00C52B38">
        <w:t>.</w:t>
      </w:r>
      <w:r w:rsidR="00B71D0F">
        <w:t xml:space="preserve"> </w:t>
      </w:r>
    </w:p>
  </w:footnote>
  <w:footnote w:id="118">
    <w:p w14:paraId="47CD668A" w14:textId="5F216958" w:rsidR="000C706A" w:rsidRPr="00C52B38" w:rsidRDefault="000C706A" w:rsidP="000C706A">
      <w:pPr>
        <w:pStyle w:val="Textonotapie"/>
      </w:pPr>
      <w:r w:rsidRPr="00C52B38">
        <w:tab/>
      </w:r>
      <w:r w:rsidRPr="00C52B38">
        <w:rPr>
          <w:rStyle w:val="Refdenotaalpie"/>
        </w:rPr>
        <w:footnoteRef/>
      </w:r>
      <w:r w:rsidRPr="00C52B38">
        <w:tab/>
      </w:r>
      <w:hyperlink r:id="rId86" w:history="1">
        <w:r w:rsidR="00B71D0F" w:rsidRPr="003A7DDC">
          <w:rPr>
            <w:rStyle w:val="Hipervnculo"/>
          </w:rPr>
          <w:t>www.health.gov.au/internet/main/publishing.nsf/Content/national-strategic-framework-rural-remote-health</w:t>
        </w:r>
      </w:hyperlink>
      <w:r w:rsidRPr="00C52B38">
        <w:t>.</w:t>
      </w:r>
      <w:r w:rsidR="00B71D0F">
        <w:t xml:space="preserve"> </w:t>
      </w:r>
    </w:p>
  </w:footnote>
  <w:footnote w:id="119">
    <w:p w14:paraId="2DE3A316" w14:textId="7DE4AFDA" w:rsidR="000C706A" w:rsidRPr="00C52B38" w:rsidRDefault="000C706A" w:rsidP="000C706A">
      <w:pPr>
        <w:pStyle w:val="Textonotapie"/>
      </w:pPr>
      <w:r w:rsidRPr="00C52B38">
        <w:tab/>
      </w:r>
      <w:r w:rsidRPr="00C52B38">
        <w:rPr>
          <w:rStyle w:val="Refdenotaalpie"/>
        </w:rPr>
        <w:footnoteRef/>
      </w:r>
      <w:r w:rsidRPr="00C52B38">
        <w:tab/>
      </w:r>
      <w:hyperlink r:id="rId87" w:history="1">
        <w:proofErr w:type="spellStart"/>
        <w:r w:rsidR="00B71D0F" w:rsidRPr="003A7DDC">
          <w:rPr>
            <w:rStyle w:val="Hipervnculo"/>
          </w:rPr>
          <w:t>www.ndis.gov.au</w:t>
        </w:r>
        <w:proofErr w:type="spellEnd"/>
        <w:r w:rsidR="00B71D0F" w:rsidRPr="003A7DDC">
          <w:rPr>
            <w:rStyle w:val="Hipervnculo"/>
          </w:rPr>
          <w:t>/</w:t>
        </w:r>
        <w:proofErr w:type="spellStart"/>
        <w:r w:rsidR="00B71D0F" w:rsidRPr="003A7DDC">
          <w:rPr>
            <w:rStyle w:val="Hipervnculo"/>
          </w:rPr>
          <w:t>about-us</w:t>
        </w:r>
        <w:proofErr w:type="spellEnd"/>
        <w:r w:rsidR="00B71D0F" w:rsidRPr="003A7DDC">
          <w:rPr>
            <w:rStyle w:val="Hipervnculo"/>
          </w:rPr>
          <w:t>/</w:t>
        </w:r>
        <w:proofErr w:type="spellStart"/>
        <w:r w:rsidR="00B71D0F" w:rsidRPr="003A7DDC">
          <w:rPr>
            <w:rStyle w:val="Hipervnculo"/>
          </w:rPr>
          <w:t>strategies</w:t>
        </w:r>
        <w:proofErr w:type="spellEnd"/>
        <w:r w:rsidR="00B71D0F" w:rsidRPr="003A7DDC">
          <w:rPr>
            <w:rStyle w:val="Hipervnculo"/>
          </w:rPr>
          <w:t>/rural-and-remote-</w:t>
        </w:r>
        <w:proofErr w:type="spellStart"/>
        <w:r w:rsidR="00B71D0F" w:rsidRPr="003A7DDC">
          <w:rPr>
            <w:rStyle w:val="Hipervnculo"/>
          </w:rPr>
          <w:t>strategy</w:t>
        </w:r>
        <w:proofErr w:type="spellEnd"/>
      </w:hyperlink>
      <w:r w:rsidRPr="00C52B38">
        <w:t>.</w:t>
      </w:r>
      <w:r w:rsidR="00B71D0F">
        <w:t xml:space="preserve"> </w:t>
      </w:r>
    </w:p>
  </w:footnote>
  <w:footnote w:id="120">
    <w:p w14:paraId="10F44C80" w14:textId="3E764AA0" w:rsidR="000C706A" w:rsidRPr="00C52B38" w:rsidRDefault="000C706A" w:rsidP="000C706A">
      <w:pPr>
        <w:pStyle w:val="Textonotapie"/>
      </w:pPr>
      <w:r w:rsidRPr="00C52B38">
        <w:tab/>
      </w:r>
      <w:r w:rsidRPr="00C52B38">
        <w:rPr>
          <w:rStyle w:val="Refdenotaalpie"/>
        </w:rPr>
        <w:footnoteRef/>
      </w:r>
      <w:r w:rsidRPr="00C52B38">
        <w:tab/>
      </w:r>
      <w:hyperlink r:id="rId88" w:history="1">
        <w:r w:rsidR="00B71D0F" w:rsidRPr="003A7DDC">
          <w:rPr>
            <w:rStyle w:val="Hipervnculo"/>
          </w:rPr>
          <w:t>www.education.gov.au/national-regional-rural-and-remote-education-strategy</w:t>
        </w:r>
      </w:hyperlink>
      <w:r w:rsidRPr="00C52B38">
        <w:t>.</w:t>
      </w:r>
      <w:r w:rsidR="00B71D0F">
        <w:t xml:space="preserve"> </w:t>
      </w:r>
    </w:p>
  </w:footnote>
  <w:footnote w:id="121">
    <w:p w14:paraId="0727853F" w14:textId="5664A721" w:rsidR="000C706A" w:rsidRPr="00C52B38" w:rsidRDefault="000C706A" w:rsidP="000C706A">
      <w:pPr>
        <w:pStyle w:val="Textonotapie"/>
      </w:pPr>
      <w:r w:rsidRPr="00C52B38">
        <w:tab/>
      </w:r>
      <w:r w:rsidRPr="00C52B38">
        <w:rPr>
          <w:rStyle w:val="Refdenotaalpie"/>
        </w:rPr>
        <w:footnoteRef/>
      </w:r>
      <w:r w:rsidRPr="00C52B38">
        <w:tab/>
        <w:t xml:space="preserve">Agencia Nacional de Australianos Indígenas, Tierra y vivienda, </w:t>
      </w:r>
      <w:hyperlink r:id="rId89" w:history="1">
        <w:r w:rsidR="00B71D0F" w:rsidRPr="003A7DDC">
          <w:rPr>
            <w:rStyle w:val="Hipervnculo"/>
          </w:rPr>
          <w:t>https://</w:t>
        </w:r>
        <w:proofErr w:type="spellStart"/>
        <w:r w:rsidR="00B71D0F" w:rsidRPr="003A7DDC">
          <w:rPr>
            <w:rStyle w:val="Hipervnculo"/>
          </w:rPr>
          <w:t>www.niaa.gov.au</w:t>
        </w:r>
        <w:proofErr w:type="spellEnd"/>
        <w:r w:rsidR="00B71D0F" w:rsidRPr="003A7DDC">
          <w:rPr>
            <w:rStyle w:val="Hipervnculo"/>
          </w:rPr>
          <w:t>/</w:t>
        </w:r>
        <w:proofErr w:type="spellStart"/>
        <w:r w:rsidR="00B71D0F" w:rsidRPr="003A7DDC">
          <w:rPr>
            <w:rStyle w:val="Hipervnculo"/>
          </w:rPr>
          <w:t>indigenous-affairs</w:t>
        </w:r>
        <w:proofErr w:type="spellEnd"/>
        <w:r w:rsidR="00B71D0F" w:rsidRPr="003A7DDC">
          <w:rPr>
            <w:rStyle w:val="Hipervnculo"/>
          </w:rPr>
          <w:t>/</w:t>
        </w:r>
        <w:proofErr w:type="spellStart"/>
        <w:r w:rsidR="00B71D0F" w:rsidRPr="003A7DDC">
          <w:rPr>
            <w:rStyle w:val="Hipervnculo"/>
          </w:rPr>
          <w:t>land</w:t>
        </w:r>
        <w:proofErr w:type="spellEnd"/>
        <w:r w:rsidR="00B71D0F" w:rsidRPr="003A7DDC">
          <w:rPr>
            <w:rStyle w:val="Hipervnculo"/>
          </w:rPr>
          <w:t>-and-</w:t>
        </w:r>
        <w:proofErr w:type="spellStart"/>
        <w:r w:rsidR="00B71D0F" w:rsidRPr="003A7DDC">
          <w:rPr>
            <w:rStyle w:val="Hipervnculo"/>
          </w:rPr>
          <w:t>housing</w:t>
        </w:r>
        <w:proofErr w:type="spellEnd"/>
      </w:hyperlink>
      <w:r w:rsidRPr="00C52B38">
        <w:t>.</w:t>
      </w:r>
      <w:r w:rsidR="00B71D0F">
        <w:t xml:space="preserve"> </w:t>
      </w:r>
    </w:p>
  </w:footnote>
  <w:footnote w:id="122">
    <w:p w14:paraId="122F84F3" w14:textId="437AAACC" w:rsidR="000C706A" w:rsidRPr="00C52B38" w:rsidRDefault="000C706A" w:rsidP="000C706A">
      <w:pPr>
        <w:pStyle w:val="Textonotapie"/>
      </w:pPr>
      <w:r w:rsidRPr="00C52B38">
        <w:tab/>
      </w:r>
      <w:r w:rsidRPr="00C52B38">
        <w:rPr>
          <w:rStyle w:val="Refdenotaalpie"/>
        </w:rPr>
        <w:footnoteRef/>
      </w:r>
      <w:r w:rsidRPr="00C52B38">
        <w:tab/>
        <w:t xml:space="preserve">Oficina Australiana de Estadística. </w:t>
      </w:r>
      <w:r w:rsidRPr="00C52B38">
        <w:rPr>
          <w:i/>
          <w:iCs/>
        </w:rPr>
        <w:t>Datos estadísticos sobre las lenguas de los aborígenes e isleños del estrecho de Torres</w:t>
      </w:r>
      <w:r w:rsidRPr="00C52B38">
        <w:t xml:space="preserve">. </w:t>
      </w:r>
      <w:hyperlink r:id="rId90" w:history="1">
        <w:r w:rsidRPr="00E415C5">
          <w:rPr>
            <w:rStyle w:val="Hipervnculo"/>
          </w:rPr>
          <w:t>https://www.abs.gov.au/statistics/people/aboriginal-and-torres-strait-islander-peoples/language-statistics-aboriginal-and-torres-strait-islander-peoples/latest-release</w:t>
        </w:r>
      </w:hyperlink>
      <w:r w:rsidRPr="00C52B38">
        <w:t>.</w:t>
      </w:r>
    </w:p>
  </w:footnote>
  <w:footnote w:id="123">
    <w:p w14:paraId="440C278F" w14:textId="4D607886" w:rsidR="000C706A" w:rsidRPr="00B71D0F" w:rsidRDefault="000C706A" w:rsidP="000C706A">
      <w:pPr>
        <w:pStyle w:val="Textonotapie"/>
        <w:rPr>
          <w:spacing w:val="-6"/>
        </w:rPr>
      </w:pPr>
      <w:r w:rsidRPr="00B71D0F">
        <w:rPr>
          <w:spacing w:val="-6"/>
        </w:rPr>
        <w:tab/>
      </w:r>
      <w:r w:rsidRPr="00B71D0F">
        <w:rPr>
          <w:rStyle w:val="Refdenotaalpie"/>
          <w:spacing w:val="-6"/>
        </w:rPr>
        <w:footnoteRef/>
      </w:r>
      <w:r w:rsidRPr="00B71D0F">
        <w:rPr>
          <w:spacing w:val="-6"/>
        </w:rPr>
        <w:tab/>
      </w:r>
      <w:hyperlink r:id="rId91" w:history="1">
        <w:r w:rsidR="00B71D0F" w:rsidRPr="00B71D0F">
          <w:rPr>
            <w:rStyle w:val="Hipervnculo"/>
            <w:spacing w:val="-6"/>
          </w:rPr>
          <w:t>www.ag.gov.au/Publications/Pages/AustralianGovernmentGuidelinesontheRecognitionofSexandGender.aspx</w:t>
        </w:r>
      </w:hyperlink>
      <w:r w:rsidRPr="00B71D0F">
        <w:rPr>
          <w:spacing w:val="-6"/>
        </w:rPr>
        <w:t>.</w:t>
      </w:r>
    </w:p>
  </w:footnote>
  <w:footnote w:id="124">
    <w:p w14:paraId="21566527" w14:textId="4D473C5B" w:rsidR="000C706A" w:rsidRPr="00C52B38" w:rsidRDefault="000C706A" w:rsidP="000C706A">
      <w:pPr>
        <w:pStyle w:val="Textonotapie"/>
      </w:pPr>
      <w:r w:rsidRPr="00C52B38">
        <w:tab/>
      </w:r>
      <w:r w:rsidRPr="00C52B38">
        <w:rPr>
          <w:rStyle w:val="Refdenotaalpie"/>
        </w:rPr>
        <w:footnoteRef/>
      </w:r>
      <w:r w:rsidRPr="00C52B38">
        <w:tab/>
      </w:r>
      <w:hyperlink r:id="rId92" w:history="1">
        <w:r w:rsidR="00B71D0F" w:rsidRPr="003A7DDC">
          <w:rPr>
            <w:rStyle w:val="Hipervnculo"/>
          </w:rPr>
          <w:t>https://www.abs.gov.au/statistics/standards/standard-sex-gender-variations-sex-characteristics-and-sexual-orientation-variables/latest-release</w:t>
        </w:r>
      </w:hyperlink>
      <w:r w:rsidRPr="00C52B38">
        <w:t>.</w:t>
      </w:r>
      <w:r w:rsidR="00B71D0F">
        <w:t xml:space="preserve"> </w:t>
      </w:r>
    </w:p>
  </w:footnote>
  <w:footnote w:id="125">
    <w:p w14:paraId="0A735898" w14:textId="6286765D" w:rsidR="000C706A" w:rsidRPr="00C52B38" w:rsidRDefault="000C706A" w:rsidP="000C706A">
      <w:pPr>
        <w:pStyle w:val="Textonotapie"/>
      </w:pPr>
      <w:r w:rsidRPr="00C52B38">
        <w:tab/>
      </w:r>
      <w:r w:rsidRPr="00C52B38">
        <w:rPr>
          <w:rStyle w:val="Refdenotaalpie"/>
        </w:rPr>
        <w:footnoteRef/>
      </w:r>
      <w:r w:rsidRPr="00C52B38">
        <w:tab/>
        <w:t xml:space="preserve">Departamento de Servicios Sociales del Gobierno de Australia. </w:t>
      </w:r>
      <w:r w:rsidRPr="00C52B38">
        <w:rPr>
          <w:i/>
          <w:iCs/>
        </w:rPr>
        <w:t>Discapacidad y Estrategia Nacional sobre la Discapacidad (2021-2031)</w:t>
      </w:r>
      <w:r w:rsidRPr="00C52B38">
        <w:t xml:space="preserve">. </w:t>
      </w:r>
      <w:hyperlink r:id="rId93" w:history="1">
        <w:r w:rsidR="00B71D0F" w:rsidRPr="003A7DDC">
          <w:rPr>
            <w:rStyle w:val="Hipervnculo"/>
          </w:rPr>
          <w:t>https://www.dss.gov.au/disability-and-australias-disability-strategy-2021-2031</w:t>
        </w:r>
      </w:hyperlink>
      <w:r w:rsidRPr="00C52B38">
        <w:t>.</w:t>
      </w:r>
      <w:r w:rsidR="00B71D0F">
        <w:t xml:space="preserve"> </w:t>
      </w:r>
    </w:p>
  </w:footnote>
  <w:footnote w:id="126">
    <w:p w14:paraId="061A8761" w14:textId="2CB17CF2" w:rsidR="000C706A" w:rsidRPr="002E0201" w:rsidRDefault="000C706A" w:rsidP="000C706A">
      <w:pPr>
        <w:pStyle w:val="Textonotapie"/>
      </w:pPr>
      <w:r w:rsidRPr="00C52B38">
        <w:tab/>
      </w:r>
      <w:r w:rsidRPr="00C52B38">
        <w:rPr>
          <w:rStyle w:val="Refdenotaalpie"/>
        </w:rPr>
        <w:footnoteRef/>
      </w:r>
      <w:r w:rsidRPr="00C52B38">
        <w:rPr>
          <w:lang w:val="en-US"/>
        </w:rPr>
        <w:tab/>
      </w:r>
      <w:proofErr w:type="spellStart"/>
      <w:r w:rsidRPr="00C52B38">
        <w:rPr>
          <w:lang w:val="en-US"/>
        </w:rPr>
        <w:t>Gobierno</w:t>
      </w:r>
      <w:proofErr w:type="spellEnd"/>
      <w:r w:rsidRPr="00C52B38">
        <w:rPr>
          <w:lang w:val="en-US"/>
        </w:rPr>
        <w:t xml:space="preserve"> de Australia 82023). </w:t>
      </w:r>
      <w:r w:rsidRPr="00206324">
        <w:rPr>
          <w:lang w:val="en-US"/>
        </w:rPr>
        <w:t>Stop it at the Start</w:t>
      </w:r>
      <w:r w:rsidRPr="00C52B38">
        <w:rPr>
          <w:lang w:val="en-US"/>
        </w:rPr>
        <w:t xml:space="preserve">. </w:t>
      </w:r>
      <w:hyperlink r:id="rId94" w:history="1">
        <w:proofErr w:type="spellStart"/>
        <w:r w:rsidR="00085CAD" w:rsidRPr="002E0201">
          <w:rPr>
            <w:rStyle w:val="Hipervnculo"/>
          </w:rPr>
          <w:t>www.respect.gov.au</w:t>
        </w:r>
        <w:proofErr w:type="spellEnd"/>
      </w:hyperlink>
      <w:r w:rsidRPr="002E0201">
        <w:t>.</w:t>
      </w:r>
      <w:r w:rsidR="00085CAD" w:rsidRPr="002E0201">
        <w:t xml:space="preserve"> </w:t>
      </w:r>
    </w:p>
  </w:footnote>
  <w:footnote w:id="127">
    <w:p w14:paraId="42C844A4" w14:textId="533CFD74" w:rsidR="000C706A" w:rsidRPr="00C52B38" w:rsidRDefault="000C706A" w:rsidP="000C706A">
      <w:pPr>
        <w:pStyle w:val="Textonotapie"/>
      </w:pPr>
      <w:r w:rsidRPr="002E0201">
        <w:tab/>
      </w:r>
      <w:r w:rsidRPr="00C52B38">
        <w:rPr>
          <w:rStyle w:val="Refdenotaalpie"/>
        </w:rPr>
        <w:footnoteRef/>
      </w:r>
      <w:r w:rsidRPr="00C52B38">
        <w:tab/>
        <w:t xml:space="preserve">Comisión de Derechos Humanos de Australia. </w:t>
      </w:r>
      <w:proofErr w:type="spellStart"/>
      <w:r w:rsidRPr="00C52B38">
        <w:rPr>
          <w:i/>
          <w:iCs/>
        </w:rPr>
        <w:t>AHRC</w:t>
      </w:r>
      <w:proofErr w:type="spellEnd"/>
      <w:r w:rsidRPr="00C52B38">
        <w:rPr>
          <w:i/>
          <w:iCs/>
        </w:rPr>
        <w:t xml:space="preserve"> 2018–2019 </w:t>
      </w:r>
      <w:proofErr w:type="spellStart"/>
      <w:r w:rsidRPr="00C52B38">
        <w:rPr>
          <w:i/>
          <w:iCs/>
        </w:rPr>
        <w:t>Complaint</w:t>
      </w:r>
      <w:proofErr w:type="spellEnd"/>
      <w:r w:rsidRPr="00C52B38">
        <w:rPr>
          <w:i/>
          <w:iCs/>
        </w:rPr>
        <w:t xml:space="preserve"> </w:t>
      </w:r>
      <w:proofErr w:type="spellStart"/>
      <w:r w:rsidRPr="00C52B38">
        <w:rPr>
          <w:i/>
          <w:iCs/>
        </w:rPr>
        <w:t>Statistics</w:t>
      </w:r>
      <w:proofErr w:type="spellEnd"/>
      <w:r w:rsidRPr="00C52B38">
        <w:rPr>
          <w:i/>
          <w:iCs/>
        </w:rPr>
        <w:t>.</w:t>
      </w:r>
      <w:r w:rsidRPr="00C52B38">
        <w:t xml:space="preserve"> </w:t>
      </w:r>
      <w:hyperlink r:id="rId95" w:history="1">
        <w:r w:rsidR="00085CAD" w:rsidRPr="003A7DDC">
          <w:rPr>
            <w:rStyle w:val="Hipervnculo"/>
          </w:rPr>
          <w:t>https://humanrights.gov.au/sites/default/files/ahrc_ar_2021-2022_complaint_stats_0.pdf</w:t>
        </w:r>
      </w:hyperlink>
      <w:r w:rsidRPr="00C52B38">
        <w:t>.</w:t>
      </w:r>
      <w:r w:rsidR="00085CAD">
        <w:t xml:space="preserve"> </w:t>
      </w:r>
    </w:p>
  </w:footnote>
  <w:footnote w:id="128">
    <w:p w14:paraId="0D21167A" w14:textId="21E09DA4" w:rsidR="00B750B2" w:rsidRDefault="00B750B2">
      <w:pPr>
        <w:pStyle w:val="Textonotapie"/>
      </w:pPr>
      <w:r>
        <w:tab/>
      </w:r>
      <w:r>
        <w:rPr>
          <w:rStyle w:val="Refdenotaalpie"/>
        </w:rPr>
        <w:footnoteRef/>
      </w:r>
      <w:r>
        <w:tab/>
      </w:r>
      <w:r w:rsidRPr="00C52B38">
        <w:t xml:space="preserve">Incluidos los gastos de alquiler/hipoteca, seguros e impuestos, servicios domésticos y mantenimiento, calefacción, electricidad, mobiliario y enseres domésticos. </w:t>
      </w:r>
      <w:r w:rsidRPr="00C52B38">
        <w:rPr>
          <w:i/>
          <w:iCs/>
        </w:rPr>
        <w:t xml:space="preserve">Fuente: </w:t>
      </w:r>
      <w:r w:rsidRPr="00C52B38">
        <w:t xml:space="preserve">Oficina Australiana de Estadística. </w:t>
      </w:r>
      <w:r w:rsidRPr="00C52B38">
        <w:rPr>
          <w:i/>
          <w:iCs/>
        </w:rPr>
        <w:t xml:space="preserve">6530.0 </w:t>
      </w:r>
      <w:r w:rsidRPr="00C52B38">
        <w:rPr>
          <w:b/>
          <w:bCs/>
          <w:i/>
          <w:iCs/>
        </w:rPr>
        <w:t>–</w:t>
      </w:r>
      <w:r w:rsidRPr="00C52B38">
        <w:rPr>
          <w:i/>
          <w:iCs/>
        </w:rPr>
        <w:t xml:space="preserve"> Estudio sobre el gasto de los hogares</w:t>
      </w:r>
      <w:r w:rsidRPr="00C52B38">
        <w:t>, 2017.</w:t>
      </w:r>
    </w:p>
  </w:footnote>
  <w:footnote w:id="129">
    <w:p w14:paraId="37B967F9" w14:textId="77777777" w:rsidR="00DB52C8" w:rsidRPr="00C52B38" w:rsidRDefault="00DB52C8" w:rsidP="00DB52C8">
      <w:pPr>
        <w:pStyle w:val="Textonotapie"/>
      </w:pPr>
      <w:r w:rsidRPr="00C52B38">
        <w:tab/>
      </w:r>
      <w:r w:rsidRPr="00C52B38">
        <w:rPr>
          <w:rStyle w:val="Refdenotaalpie"/>
        </w:rPr>
        <w:footnoteRef/>
      </w:r>
      <w:r w:rsidRPr="00C52B38">
        <w:tab/>
        <w:t xml:space="preserve">Incluidos productos de tabaco, bebidas alcohólicas, ropa y calzado, comunicación, ocio, cuidado personal y bienes y servicios diversos. </w:t>
      </w:r>
      <w:r w:rsidRPr="00C52B38">
        <w:rPr>
          <w:i/>
          <w:iCs/>
        </w:rPr>
        <w:t>Fuente</w:t>
      </w:r>
      <w:r w:rsidRPr="00C52B38">
        <w:t xml:space="preserve">: Oficina Australiana de Estadística. </w:t>
      </w:r>
      <w:r w:rsidRPr="00C52B38">
        <w:rPr>
          <w:i/>
          <w:iCs/>
        </w:rPr>
        <w:t>6530.0 – Estudio sobre el gasto de los hogares</w:t>
      </w:r>
      <w:r w:rsidRPr="00C52B38">
        <w: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C8758" w14:textId="1B22F170" w:rsidR="000C706A" w:rsidRPr="000C706A" w:rsidRDefault="00D9301D" w:rsidP="002370A4">
    <w:pPr>
      <w:pStyle w:val="Encabezado"/>
    </w:pPr>
    <w:r>
      <w:fldChar w:fldCharType="begin"/>
    </w:r>
    <w:r>
      <w:instrText xml:space="preserve"> TITLE  \* MERGEFORMAT </w:instrText>
    </w:r>
    <w:r>
      <w:fldChar w:fldCharType="separate"/>
    </w:r>
    <w:proofErr w:type="spellStart"/>
    <w:r w:rsidR="00174F03">
      <w:t>HRI</w:t>
    </w:r>
    <w:proofErr w:type="spellEnd"/>
    <w:r w:rsidR="00174F03">
      <w:t>/CORE/</w:t>
    </w:r>
    <w:proofErr w:type="spellStart"/>
    <w:r w:rsidR="00174F03">
      <w:t>AUS</w:t>
    </w:r>
    <w:proofErr w:type="spellEnd"/>
    <w:r w:rsidR="00174F03">
      <w:t>/2023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B787C" w14:textId="429DF31D" w:rsidR="009066E8" w:rsidRDefault="00D9301D" w:rsidP="002370A4">
    <w:pPr>
      <w:pStyle w:val="Encabezado"/>
      <w:jc w:val="right"/>
    </w:pPr>
    <w:r>
      <w:fldChar w:fldCharType="begin"/>
    </w:r>
    <w:r>
      <w:instrText xml:space="preserve"> TITLE  \* MERGEFORMAT </w:instrText>
    </w:r>
    <w:r>
      <w:fldChar w:fldCharType="separate"/>
    </w:r>
    <w:proofErr w:type="spellStart"/>
    <w:r w:rsidR="00174F03">
      <w:t>HRI</w:t>
    </w:r>
    <w:proofErr w:type="spellEnd"/>
    <w:r w:rsidR="00174F03">
      <w:t>/CORE/</w:t>
    </w:r>
    <w:proofErr w:type="spellStart"/>
    <w:r w:rsidR="00174F03">
      <w:t>AUS</w:t>
    </w:r>
    <w:proofErr w:type="spellEnd"/>
    <w:r w:rsidR="00174F03">
      <w:t>/2023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EC072" w14:textId="35C6A2D3" w:rsidR="00D045C4" w:rsidRPr="00F93A58" w:rsidRDefault="00D9301D" w:rsidP="00D045C4">
    <w:pPr>
      <w:pStyle w:val="Encabezado"/>
      <w:jc w:val="right"/>
    </w:pPr>
    <w:r>
      <w:fldChar w:fldCharType="begin"/>
    </w:r>
    <w:r>
      <w:instrText xml:space="preserve"> TITLE  \* MERGEFORMAT </w:instrText>
    </w:r>
    <w:r>
      <w:fldChar w:fldCharType="separate"/>
    </w:r>
    <w:proofErr w:type="spellStart"/>
    <w:r w:rsidR="00174F03">
      <w:t>HRI</w:t>
    </w:r>
    <w:proofErr w:type="spellEnd"/>
    <w:r w:rsidR="00174F03">
      <w:t>/CORE/</w:t>
    </w:r>
    <w:proofErr w:type="spellStart"/>
    <w:r w:rsidR="00174F03">
      <w:t>AUS</w:t>
    </w:r>
    <w:proofErr w:type="spellEnd"/>
    <w:r w:rsidR="00174F03">
      <w:t>/2023</w:t>
    </w:r>
    <w:r>
      <w:fldChar w:fldCharType="end"/>
    </w:r>
    <w:r w:rsidR="00D045C4">
      <w:rPr>
        <w:noProof/>
      </w:rPr>
      <mc:AlternateContent>
        <mc:Choice Requires="wps">
          <w:drawing>
            <wp:anchor distT="0" distB="0" distL="114300" distR="114300" simplePos="0" relativeHeight="251664896" behindDoc="0" locked="0" layoutInCell="1" allowOverlap="1" wp14:anchorId="5CE9995F" wp14:editId="08ADC80D">
              <wp:simplePos x="0" y="0"/>
              <wp:positionH relativeFrom="page">
                <wp:posOffset>9935845</wp:posOffset>
              </wp:positionH>
              <wp:positionV relativeFrom="margin">
                <wp:posOffset>0</wp:posOffset>
              </wp:positionV>
              <wp:extent cx="215900" cy="612013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8E40317" w14:textId="2CEA8B2A" w:rsidR="00D045C4" w:rsidRPr="000C706A" w:rsidRDefault="00D9301D" w:rsidP="00F93A58">
                          <w:pPr>
                            <w:pStyle w:val="Encabezado"/>
                            <w:jc w:val="right"/>
                          </w:pPr>
                          <w:r>
                            <w:fldChar w:fldCharType="begin"/>
                          </w:r>
                          <w:r>
                            <w:instrText xml:space="preserve"> TITLE  \* MERGEFORMAT </w:instrText>
                          </w:r>
                          <w:r>
                            <w:fldChar w:fldCharType="separate"/>
                          </w:r>
                          <w:proofErr w:type="spellStart"/>
                          <w:r w:rsidR="00174F03">
                            <w:t>HRI</w:t>
                          </w:r>
                          <w:proofErr w:type="spellEnd"/>
                          <w:r w:rsidR="00174F03">
                            <w:t>/CORE/</w:t>
                          </w:r>
                          <w:proofErr w:type="spellStart"/>
                          <w:r w:rsidR="00174F03">
                            <w:t>AUS</w:t>
                          </w:r>
                          <w:proofErr w:type="spellEnd"/>
                          <w:r w:rsidR="00174F03">
                            <w:t>/2023</w:t>
                          </w:r>
                          <w:r>
                            <w:fldChar w:fldCharType="end"/>
                          </w:r>
                        </w:p>
                        <w:p w14:paraId="1E5764FF" w14:textId="77777777" w:rsidR="00D045C4" w:rsidRDefault="00D045C4" w:rsidP="00F93A58"/>
                        <w:p w14:paraId="19CA43BC" w14:textId="77777777" w:rsidR="00D045C4" w:rsidRDefault="00D045C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CE9995F" id="_x0000_t202" coordsize="21600,21600" o:spt="202" path="m,l,21600r21600,l21600,xe">
              <v:stroke joinstyle="miter"/>
              <v:path gradientshapeok="t" o:connecttype="rect"/>
            </v:shapetype>
            <v:shape id="Cuadro de texto 3" o:spid="_x0000_s1026" type="#_x0000_t202" style="position:absolute;left:0;text-align:left;margin-left:782.35pt;margin-top:0;width:17pt;height:481.9pt;z-index:25166489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38E40317" w14:textId="2CEA8B2A" w:rsidR="00D045C4" w:rsidRPr="000C706A" w:rsidRDefault="00D9301D" w:rsidP="00F93A58">
                    <w:pPr>
                      <w:pStyle w:val="Encabezado"/>
                      <w:jc w:val="right"/>
                    </w:pPr>
                    <w:r>
                      <w:fldChar w:fldCharType="begin"/>
                    </w:r>
                    <w:r>
                      <w:instrText xml:space="preserve"> TITLE  \* MERGEFORMAT </w:instrText>
                    </w:r>
                    <w:r>
                      <w:fldChar w:fldCharType="separate"/>
                    </w:r>
                    <w:proofErr w:type="spellStart"/>
                    <w:r w:rsidR="00174F03">
                      <w:t>HRI</w:t>
                    </w:r>
                    <w:proofErr w:type="spellEnd"/>
                    <w:r w:rsidR="00174F03">
                      <w:t>/CORE/</w:t>
                    </w:r>
                    <w:proofErr w:type="spellStart"/>
                    <w:r w:rsidR="00174F03">
                      <w:t>AUS</w:t>
                    </w:r>
                    <w:proofErr w:type="spellEnd"/>
                    <w:r w:rsidR="00174F03">
                      <w:t>/2023</w:t>
                    </w:r>
                    <w:r>
                      <w:fldChar w:fldCharType="end"/>
                    </w:r>
                  </w:p>
                  <w:p w14:paraId="1E5764FF" w14:textId="77777777" w:rsidR="00D045C4" w:rsidRDefault="00D045C4" w:rsidP="00F93A58"/>
                  <w:p w14:paraId="19CA43BC" w14:textId="77777777" w:rsidR="00D045C4" w:rsidRDefault="00D045C4"/>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19BD2" w14:textId="4D36E505" w:rsidR="009066E8" w:rsidRPr="00D045C4" w:rsidRDefault="00D9301D" w:rsidP="00F04826">
    <w:pPr>
      <w:pStyle w:val="Encabezado"/>
    </w:pPr>
    <w:r>
      <w:fldChar w:fldCharType="begin"/>
    </w:r>
    <w:r>
      <w:instrText xml:space="preserve"> TITLE  \* MERGEFORMAT </w:instrText>
    </w:r>
    <w:r>
      <w:fldChar w:fldCharType="separate"/>
    </w:r>
    <w:proofErr w:type="spellStart"/>
    <w:r w:rsidR="00174F03">
      <w:t>HRI</w:t>
    </w:r>
    <w:proofErr w:type="spellEnd"/>
    <w:r w:rsidR="00174F03">
      <w:t>/CORE/</w:t>
    </w:r>
    <w:proofErr w:type="spellStart"/>
    <w:r w:rsidR="00174F03">
      <w:t>AUS</w:t>
    </w:r>
    <w:proofErr w:type="spellEnd"/>
    <w:r w:rsidR="00174F03">
      <w:t>/2023</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84538" w14:textId="2A5EE454" w:rsidR="00A270B2" w:rsidRPr="00A270B2" w:rsidRDefault="00A270B2" w:rsidP="00A270B2">
    <w:r>
      <w:rPr>
        <w:noProof/>
      </w:rPr>
      <mc:AlternateContent>
        <mc:Choice Requires="wps">
          <w:drawing>
            <wp:anchor distT="0" distB="0" distL="114300" distR="114300" simplePos="0" relativeHeight="251667968" behindDoc="0" locked="0" layoutInCell="1" allowOverlap="1" wp14:anchorId="156A215E" wp14:editId="43F4FE52">
              <wp:simplePos x="0" y="0"/>
              <wp:positionH relativeFrom="page">
                <wp:posOffset>9935845</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9A76AC8" w14:textId="686EDA17" w:rsidR="00A270B2" w:rsidRPr="000C706A" w:rsidRDefault="00D9301D" w:rsidP="00A270B2">
                          <w:pPr>
                            <w:pStyle w:val="Encabezado"/>
                          </w:pPr>
                          <w:r>
                            <w:fldChar w:fldCharType="begin"/>
                          </w:r>
                          <w:r>
                            <w:instrText xml:space="preserve"> TITLE  \* MERGEFORMAT </w:instrText>
                          </w:r>
                          <w:r>
                            <w:fldChar w:fldCharType="separate"/>
                          </w:r>
                          <w:proofErr w:type="spellStart"/>
                          <w:r w:rsidR="00174F03">
                            <w:t>HRI</w:t>
                          </w:r>
                          <w:proofErr w:type="spellEnd"/>
                          <w:r w:rsidR="00174F03">
                            <w:t>/CORE/</w:t>
                          </w:r>
                          <w:proofErr w:type="spellStart"/>
                          <w:r w:rsidR="00174F03">
                            <w:t>AUS</w:t>
                          </w:r>
                          <w:proofErr w:type="spellEnd"/>
                          <w:r w:rsidR="00174F03">
                            <w:t>/2023</w:t>
                          </w:r>
                          <w:r>
                            <w:fldChar w:fldCharType="end"/>
                          </w:r>
                        </w:p>
                        <w:p w14:paraId="5D725AAF" w14:textId="77777777" w:rsidR="00A270B2" w:rsidRDefault="00A270B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56A215E" id="_x0000_t202" coordsize="21600,21600" o:spt="202" path="m,l,21600r21600,l21600,xe">
              <v:stroke joinstyle="miter"/>
              <v:path gradientshapeok="t" o:connecttype="rect"/>
            </v:shapetype>
            <v:shape id="Cuadro de texto 7" o:spid="_x0000_s1027" type="#_x0000_t202" style="position:absolute;margin-left:782.35pt;margin-top:0;width:17pt;height:481.9pt;z-index:25166796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39A76AC8" w14:textId="686EDA17" w:rsidR="00A270B2" w:rsidRPr="000C706A" w:rsidRDefault="00D9301D" w:rsidP="00A270B2">
                    <w:pPr>
                      <w:pStyle w:val="Encabezado"/>
                    </w:pPr>
                    <w:r>
                      <w:fldChar w:fldCharType="begin"/>
                    </w:r>
                    <w:r>
                      <w:instrText xml:space="preserve"> TITLE  \* MERGEFORMAT </w:instrText>
                    </w:r>
                    <w:r>
                      <w:fldChar w:fldCharType="separate"/>
                    </w:r>
                    <w:proofErr w:type="spellStart"/>
                    <w:r w:rsidR="00174F03">
                      <w:t>HRI</w:t>
                    </w:r>
                    <w:proofErr w:type="spellEnd"/>
                    <w:r w:rsidR="00174F03">
                      <w:t>/CORE/</w:t>
                    </w:r>
                    <w:proofErr w:type="spellStart"/>
                    <w:r w:rsidR="00174F03">
                      <w:t>AUS</w:t>
                    </w:r>
                    <w:proofErr w:type="spellEnd"/>
                    <w:r w:rsidR="00174F03">
                      <w:t>/2023</w:t>
                    </w:r>
                    <w:r>
                      <w:fldChar w:fldCharType="end"/>
                    </w:r>
                  </w:p>
                  <w:p w14:paraId="5D725AAF" w14:textId="77777777" w:rsidR="00A270B2" w:rsidRDefault="00A270B2"/>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BBC2C" w14:textId="315F7427" w:rsidR="00A270B2" w:rsidRPr="00A270B2" w:rsidRDefault="00A270B2" w:rsidP="00A270B2"/>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F6552" w14:textId="75286A03" w:rsidR="003B110D" w:rsidRPr="003B110D" w:rsidRDefault="00D9301D" w:rsidP="003B110D">
    <w:pPr>
      <w:pStyle w:val="Encabezado"/>
    </w:pPr>
    <w:r>
      <w:fldChar w:fldCharType="begin"/>
    </w:r>
    <w:r>
      <w:instrText xml:space="preserve"> TITLE  \* MERGEFORMAT </w:instrText>
    </w:r>
    <w:r>
      <w:fldChar w:fldCharType="separate"/>
    </w:r>
    <w:proofErr w:type="spellStart"/>
    <w:r w:rsidR="00174F03">
      <w:t>HRI</w:t>
    </w:r>
    <w:proofErr w:type="spellEnd"/>
    <w:r w:rsidR="00174F03">
      <w:t>/CORE/</w:t>
    </w:r>
    <w:proofErr w:type="spellStart"/>
    <w:r w:rsidR="00174F03">
      <w:t>AUS</w:t>
    </w:r>
    <w:proofErr w:type="spellEnd"/>
    <w:r w:rsidR="00174F03">
      <w:t>/2023</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AE71C" w14:textId="5571E25B" w:rsidR="003B110D" w:rsidRPr="003B110D" w:rsidRDefault="00D9301D" w:rsidP="003B110D">
    <w:pPr>
      <w:pStyle w:val="Encabezado"/>
      <w:jc w:val="right"/>
    </w:pPr>
    <w:r>
      <w:fldChar w:fldCharType="begin"/>
    </w:r>
    <w:r>
      <w:instrText xml:space="preserve"> TITLE  \* MERGEFORMAT </w:instrText>
    </w:r>
    <w:r>
      <w:fldChar w:fldCharType="separate"/>
    </w:r>
    <w:proofErr w:type="spellStart"/>
    <w:r w:rsidR="00174F03">
      <w:t>HRI</w:t>
    </w:r>
    <w:proofErr w:type="spellEnd"/>
    <w:r w:rsidR="00174F03">
      <w:t>/CORE/</w:t>
    </w:r>
    <w:proofErr w:type="spellStart"/>
    <w:r w:rsidR="00174F03">
      <w:t>AUS</w:t>
    </w:r>
    <w:proofErr w:type="spellEnd"/>
    <w:r w:rsidR="00174F03">
      <w:t>/2023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68632679">
    <w:abstractNumId w:val="16"/>
  </w:num>
  <w:num w:numId="2" w16cid:durableId="754014740">
    <w:abstractNumId w:val="15"/>
  </w:num>
  <w:num w:numId="3" w16cid:durableId="1149054989">
    <w:abstractNumId w:val="13"/>
  </w:num>
  <w:num w:numId="4" w16cid:durableId="1556427524">
    <w:abstractNumId w:val="14"/>
  </w:num>
  <w:num w:numId="5" w16cid:durableId="1768575566">
    <w:abstractNumId w:val="11"/>
  </w:num>
  <w:num w:numId="6" w16cid:durableId="179126531">
    <w:abstractNumId w:val="10"/>
  </w:num>
  <w:num w:numId="7" w16cid:durableId="877741352">
    <w:abstractNumId w:val="12"/>
  </w:num>
  <w:num w:numId="8" w16cid:durableId="1275408851">
    <w:abstractNumId w:val="9"/>
  </w:num>
  <w:num w:numId="9" w16cid:durableId="965626699">
    <w:abstractNumId w:val="7"/>
  </w:num>
  <w:num w:numId="10" w16cid:durableId="53352824">
    <w:abstractNumId w:val="6"/>
  </w:num>
  <w:num w:numId="11" w16cid:durableId="1201094835">
    <w:abstractNumId w:val="5"/>
  </w:num>
  <w:num w:numId="12" w16cid:durableId="990452011">
    <w:abstractNumId w:val="4"/>
  </w:num>
  <w:num w:numId="13" w16cid:durableId="1989940808">
    <w:abstractNumId w:val="8"/>
  </w:num>
  <w:num w:numId="14" w16cid:durableId="1719285259">
    <w:abstractNumId w:val="3"/>
  </w:num>
  <w:num w:numId="15" w16cid:durableId="1081222200">
    <w:abstractNumId w:val="2"/>
  </w:num>
  <w:num w:numId="16" w16cid:durableId="118190575">
    <w:abstractNumId w:val="1"/>
  </w:num>
  <w:num w:numId="17" w16cid:durableId="2056588344">
    <w:abstractNumId w:val="0"/>
  </w:num>
  <w:num w:numId="18" w16cid:durableId="1520117596">
    <w:abstractNumId w:val="14"/>
  </w:num>
  <w:num w:numId="19" w16cid:durableId="1933200115">
    <w:abstractNumId w:val="14"/>
  </w:num>
  <w:num w:numId="20" w16cid:durableId="1114442219">
    <w:abstractNumId w:val="14"/>
  </w:num>
  <w:num w:numId="21" w16cid:durableId="40137443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3AF"/>
    <w:rsid w:val="00000A64"/>
    <w:rsid w:val="00025EB9"/>
    <w:rsid w:val="00033EE1"/>
    <w:rsid w:val="00036D55"/>
    <w:rsid w:val="00041D4A"/>
    <w:rsid w:val="00045CC8"/>
    <w:rsid w:val="00085CAD"/>
    <w:rsid w:val="000B57E7"/>
    <w:rsid w:val="000B76C3"/>
    <w:rsid w:val="000C009D"/>
    <w:rsid w:val="000C706A"/>
    <w:rsid w:val="000F09DF"/>
    <w:rsid w:val="000F4AA7"/>
    <w:rsid w:val="000F5702"/>
    <w:rsid w:val="000F61B2"/>
    <w:rsid w:val="001075E9"/>
    <w:rsid w:val="001118BF"/>
    <w:rsid w:val="00115A30"/>
    <w:rsid w:val="001220E3"/>
    <w:rsid w:val="001256EA"/>
    <w:rsid w:val="001560AB"/>
    <w:rsid w:val="001611AC"/>
    <w:rsid w:val="00174F03"/>
    <w:rsid w:val="0017589D"/>
    <w:rsid w:val="00180183"/>
    <w:rsid w:val="00181AFB"/>
    <w:rsid w:val="0018649F"/>
    <w:rsid w:val="00196389"/>
    <w:rsid w:val="00197F56"/>
    <w:rsid w:val="001C7A89"/>
    <w:rsid w:val="00206324"/>
    <w:rsid w:val="00226E17"/>
    <w:rsid w:val="002370A4"/>
    <w:rsid w:val="00286079"/>
    <w:rsid w:val="002A2EFC"/>
    <w:rsid w:val="002B0F41"/>
    <w:rsid w:val="002B21A5"/>
    <w:rsid w:val="002C0E18"/>
    <w:rsid w:val="002D0B6B"/>
    <w:rsid w:val="002D5AAC"/>
    <w:rsid w:val="002E0201"/>
    <w:rsid w:val="002F7567"/>
    <w:rsid w:val="00301299"/>
    <w:rsid w:val="00302D2B"/>
    <w:rsid w:val="003207F2"/>
    <w:rsid w:val="00322004"/>
    <w:rsid w:val="003402C2"/>
    <w:rsid w:val="0036600C"/>
    <w:rsid w:val="00381C24"/>
    <w:rsid w:val="00383760"/>
    <w:rsid w:val="003958D0"/>
    <w:rsid w:val="003B00E5"/>
    <w:rsid w:val="003B110D"/>
    <w:rsid w:val="003C6EFD"/>
    <w:rsid w:val="003F6AB0"/>
    <w:rsid w:val="00414A16"/>
    <w:rsid w:val="00427F10"/>
    <w:rsid w:val="0044590D"/>
    <w:rsid w:val="00445DFB"/>
    <w:rsid w:val="00454E07"/>
    <w:rsid w:val="00465412"/>
    <w:rsid w:val="0046601B"/>
    <w:rsid w:val="004705A5"/>
    <w:rsid w:val="004754E8"/>
    <w:rsid w:val="004A01CB"/>
    <w:rsid w:val="004C3FF0"/>
    <w:rsid w:val="004C662A"/>
    <w:rsid w:val="004C6866"/>
    <w:rsid w:val="004D3D0B"/>
    <w:rsid w:val="004D45DB"/>
    <w:rsid w:val="0050108D"/>
    <w:rsid w:val="00501F38"/>
    <w:rsid w:val="00515B0A"/>
    <w:rsid w:val="00522544"/>
    <w:rsid w:val="005332CE"/>
    <w:rsid w:val="00535CD0"/>
    <w:rsid w:val="00552214"/>
    <w:rsid w:val="00555CBD"/>
    <w:rsid w:val="00557AA7"/>
    <w:rsid w:val="00572E19"/>
    <w:rsid w:val="005A1515"/>
    <w:rsid w:val="005A1AA8"/>
    <w:rsid w:val="005C43E4"/>
    <w:rsid w:val="005E3CF7"/>
    <w:rsid w:val="005F0B42"/>
    <w:rsid w:val="00600566"/>
    <w:rsid w:val="0061602F"/>
    <w:rsid w:val="006435EA"/>
    <w:rsid w:val="00666938"/>
    <w:rsid w:val="0069426E"/>
    <w:rsid w:val="006C1EF8"/>
    <w:rsid w:val="006E69AB"/>
    <w:rsid w:val="006F35EE"/>
    <w:rsid w:val="007021FF"/>
    <w:rsid w:val="00706A74"/>
    <w:rsid w:val="007358B2"/>
    <w:rsid w:val="00756938"/>
    <w:rsid w:val="00757357"/>
    <w:rsid w:val="00764249"/>
    <w:rsid w:val="00770161"/>
    <w:rsid w:val="007972A8"/>
    <w:rsid w:val="007B6E72"/>
    <w:rsid w:val="007D4F94"/>
    <w:rsid w:val="007F621A"/>
    <w:rsid w:val="0082699E"/>
    <w:rsid w:val="00834B71"/>
    <w:rsid w:val="008504FF"/>
    <w:rsid w:val="00853903"/>
    <w:rsid w:val="00855C67"/>
    <w:rsid w:val="0086445C"/>
    <w:rsid w:val="008A08D7"/>
    <w:rsid w:val="008C1073"/>
    <w:rsid w:val="008C525F"/>
    <w:rsid w:val="00901CD5"/>
    <w:rsid w:val="009023AF"/>
    <w:rsid w:val="00903EF5"/>
    <w:rsid w:val="009066E8"/>
    <w:rsid w:val="00906890"/>
    <w:rsid w:val="00932CF7"/>
    <w:rsid w:val="00944527"/>
    <w:rsid w:val="00951972"/>
    <w:rsid w:val="0095700F"/>
    <w:rsid w:val="0096216B"/>
    <w:rsid w:val="00996BF2"/>
    <w:rsid w:val="009C1633"/>
    <w:rsid w:val="009F2022"/>
    <w:rsid w:val="00A203CA"/>
    <w:rsid w:val="00A25A59"/>
    <w:rsid w:val="00A270B2"/>
    <w:rsid w:val="00A8077D"/>
    <w:rsid w:val="00A8369C"/>
    <w:rsid w:val="00A917B3"/>
    <w:rsid w:val="00AA670B"/>
    <w:rsid w:val="00AB4B51"/>
    <w:rsid w:val="00AC0528"/>
    <w:rsid w:val="00AC76E8"/>
    <w:rsid w:val="00B10CC7"/>
    <w:rsid w:val="00B1257E"/>
    <w:rsid w:val="00B31513"/>
    <w:rsid w:val="00B33FC4"/>
    <w:rsid w:val="00B35A5E"/>
    <w:rsid w:val="00B43F85"/>
    <w:rsid w:val="00B460DE"/>
    <w:rsid w:val="00B54FCB"/>
    <w:rsid w:val="00B62458"/>
    <w:rsid w:val="00B71D0F"/>
    <w:rsid w:val="00B750B2"/>
    <w:rsid w:val="00BA2163"/>
    <w:rsid w:val="00BA2A1D"/>
    <w:rsid w:val="00BA56B6"/>
    <w:rsid w:val="00BB6203"/>
    <w:rsid w:val="00BC24FE"/>
    <w:rsid w:val="00BD33EE"/>
    <w:rsid w:val="00C057D5"/>
    <w:rsid w:val="00C30B42"/>
    <w:rsid w:val="00C433FA"/>
    <w:rsid w:val="00C57E42"/>
    <w:rsid w:val="00C60F0C"/>
    <w:rsid w:val="00C805C9"/>
    <w:rsid w:val="00CA1679"/>
    <w:rsid w:val="00CA619A"/>
    <w:rsid w:val="00CA7297"/>
    <w:rsid w:val="00CC469A"/>
    <w:rsid w:val="00CF1809"/>
    <w:rsid w:val="00CF7BE3"/>
    <w:rsid w:val="00D045C4"/>
    <w:rsid w:val="00D05606"/>
    <w:rsid w:val="00D10736"/>
    <w:rsid w:val="00D33D63"/>
    <w:rsid w:val="00D4001E"/>
    <w:rsid w:val="00D56496"/>
    <w:rsid w:val="00D65A62"/>
    <w:rsid w:val="00D90138"/>
    <w:rsid w:val="00DB209B"/>
    <w:rsid w:val="00DB52C8"/>
    <w:rsid w:val="00DB6076"/>
    <w:rsid w:val="00DC036C"/>
    <w:rsid w:val="00DC468E"/>
    <w:rsid w:val="00DE51F9"/>
    <w:rsid w:val="00E17493"/>
    <w:rsid w:val="00E2391B"/>
    <w:rsid w:val="00E415C5"/>
    <w:rsid w:val="00E60314"/>
    <w:rsid w:val="00E62AB4"/>
    <w:rsid w:val="00E73F76"/>
    <w:rsid w:val="00EA4B2C"/>
    <w:rsid w:val="00EB094C"/>
    <w:rsid w:val="00EB7D1E"/>
    <w:rsid w:val="00EC2B77"/>
    <w:rsid w:val="00ED30FC"/>
    <w:rsid w:val="00EF1360"/>
    <w:rsid w:val="00EF3220"/>
    <w:rsid w:val="00F04826"/>
    <w:rsid w:val="00F14CD1"/>
    <w:rsid w:val="00F2520F"/>
    <w:rsid w:val="00F25A8E"/>
    <w:rsid w:val="00F7131C"/>
    <w:rsid w:val="00F80811"/>
    <w:rsid w:val="00F93A58"/>
    <w:rsid w:val="00F94155"/>
    <w:rsid w:val="00FA2B5E"/>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0C776"/>
  <w15:docId w15:val="{170A5898-09F1-4E0E-A9C8-7221A3CB8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00A64"/>
    <w:pPr>
      <w:keepNext/>
      <w:outlineLvl w:val="1"/>
    </w:pPr>
    <w:rPr>
      <w:rFonts w:cs="Arial"/>
      <w:bCs/>
      <w:iCs/>
      <w:szCs w:val="28"/>
    </w:rPr>
  </w:style>
  <w:style w:type="paragraph" w:styleId="Ttulo3">
    <w:name w:val="heading 3"/>
    <w:basedOn w:val="Normal"/>
    <w:next w:val="Normal"/>
    <w:link w:val="Ttulo3Car"/>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00A64"/>
    <w:pPr>
      <w:keepNext/>
      <w:spacing w:before="240" w:after="60"/>
      <w:outlineLvl w:val="3"/>
    </w:pPr>
    <w:rPr>
      <w:b/>
      <w:bCs/>
      <w:sz w:val="28"/>
      <w:szCs w:val="28"/>
    </w:rPr>
  </w:style>
  <w:style w:type="paragraph" w:styleId="Ttulo5">
    <w:name w:val="heading 5"/>
    <w:basedOn w:val="Normal"/>
    <w:next w:val="Normal"/>
    <w:link w:val="Ttulo5Car"/>
    <w:rsid w:val="00000A64"/>
    <w:pPr>
      <w:spacing w:before="240" w:after="60"/>
      <w:outlineLvl w:val="4"/>
    </w:pPr>
    <w:rPr>
      <w:b/>
      <w:bCs/>
      <w:i/>
      <w:iCs/>
      <w:sz w:val="26"/>
      <w:szCs w:val="26"/>
    </w:rPr>
  </w:style>
  <w:style w:type="paragraph" w:styleId="Ttulo6">
    <w:name w:val="heading 6"/>
    <w:basedOn w:val="Normal"/>
    <w:next w:val="Normal"/>
    <w:link w:val="Ttulo6Car"/>
    <w:rsid w:val="00000A64"/>
    <w:pPr>
      <w:spacing w:before="240" w:after="60"/>
      <w:outlineLvl w:val="5"/>
    </w:pPr>
    <w:rPr>
      <w:b/>
      <w:bCs/>
      <w:sz w:val="22"/>
      <w:szCs w:val="22"/>
    </w:rPr>
  </w:style>
  <w:style w:type="paragraph" w:styleId="Ttulo7">
    <w:name w:val="heading 7"/>
    <w:basedOn w:val="Normal"/>
    <w:next w:val="Normal"/>
    <w:link w:val="Ttulo7Car"/>
    <w:rsid w:val="00000A64"/>
    <w:pPr>
      <w:spacing w:before="240" w:after="60"/>
      <w:outlineLvl w:val="6"/>
    </w:pPr>
    <w:rPr>
      <w:sz w:val="24"/>
      <w:szCs w:val="24"/>
    </w:rPr>
  </w:style>
  <w:style w:type="paragraph" w:styleId="Ttulo8">
    <w:name w:val="heading 8"/>
    <w:basedOn w:val="Normal"/>
    <w:next w:val="Normal"/>
    <w:link w:val="Ttulo8Car"/>
    <w:rsid w:val="00000A64"/>
    <w:pPr>
      <w:spacing w:before="240" w:after="60"/>
      <w:outlineLvl w:val="7"/>
    </w:pPr>
    <w:rPr>
      <w:i/>
      <w:iCs/>
      <w:sz w:val="24"/>
      <w:szCs w:val="24"/>
    </w:rPr>
  </w:style>
  <w:style w:type="paragraph" w:styleId="Ttulo9">
    <w:name w:val="heading 9"/>
    <w:basedOn w:val="Normal"/>
    <w:next w:val="Normal"/>
    <w:link w:val="Ttulo9Car"/>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rsid w:val="000C706A"/>
    <w:rPr>
      <w:rFonts w:cs="Arial"/>
      <w:bCs/>
      <w:iCs/>
      <w:szCs w:val="28"/>
      <w:lang w:val="es-ES" w:eastAsia="es-ES"/>
    </w:rPr>
  </w:style>
  <w:style w:type="character" w:customStyle="1" w:styleId="Ttulo3Car">
    <w:name w:val="Título 3 Car"/>
    <w:basedOn w:val="Fuentedeprrafopredeter"/>
    <w:link w:val="Ttulo3"/>
    <w:rsid w:val="000C706A"/>
    <w:rPr>
      <w:rFonts w:ascii="Arial" w:hAnsi="Arial" w:cs="Arial"/>
      <w:b/>
      <w:bCs/>
      <w:sz w:val="26"/>
      <w:szCs w:val="26"/>
      <w:lang w:val="es-ES" w:eastAsia="es-ES"/>
    </w:rPr>
  </w:style>
  <w:style w:type="character" w:customStyle="1" w:styleId="Ttulo4Car">
    <w:name w:val="Título 4 Car"/>
    <w:basedOn w:val="Fuentedeprrafopredeter"/>
    <w:link w:val="Ttulo4"/>
    <w:rsid w:val="000C706A"/>
    <w:rPr>
      <w:b/>
      <w:bCs/>
      <w:sz w:val="28"/>
      <w:szCs w:val="28"/>
      <w:lang w:val="es-ES" w:eastAsia="es-ES"/>
    </w:rPr>
  </w:style>
  <w:style w:type="character" w:customStyle="1" w:styleId="Ttulo5Car">
    <w:name w:val="Título 5 Car"/>
    <w:basedOn w:val="Fuentedeprrafopredeter"/>
    <w:link w:val="Ttulo5"/>
    <w:rsid w:val="000C706A"/>
    <w:rPr>
      <w:b/>
      <w:bCs/>
      <w:i/>
      <w:iCs/>
      <w:sz w:val="26"/>
      <w:szCs w:val="26"/>
      <w:lang w:val="es-ES" w:eastAsia="es-ES"/>
    </w:rPr>
  </w:style>
  <w:style w:type="character" w:customStyle="1" w:styleId="Ttulo6Car">
    <w:name w:val="Título 6 Car"/>
    <w:basedOn w:val="Fuentedeprrafopredeter"/>
    <w:link w:val="Ttulo6"/>
    <w:rsid w:val="000C706A"/>
    <w:rPr>
      <w:b/>
      <w:bCs/>
      <w:sz w:val="22"/>
      <w:szCs w:val="22"/>
      <w:lang w:val="es-ES" w:eastAsia="es-ES"/>
    </w:rPr>
  </w:style>
  <w:style w:type="character" w:customStyle="1" w:styleId="Ttulo7Car">
    <w:name w:val="Título 7 Car"/>
    <w:basedOn w:val="Fuentedeprrafopredeter"/>
    <w:link w:val="Ttulo7"/>
    <w:rsid w:val="000C706A"/>
    <w:rPr>
      <w:sz w:val="24"/>
      <w:szCs w:val="24"/>
      <w:lang w:val="es-ES" w:eastAsia="es-ES"/>
    </w:rPr>
  </w:style>
  <w:style w:type="character" w:customStyle="1" w:styleId="Ttulo8Car">
    <w:name w:val="Título 8 Car"/>
    <w:basedOn w:val="Fuentedeprrafopredeter"/>
    <w:link w:val="Ttulo8"/>
    <w:rsid w:val="000C706A"/>
    <w:rPr>
      <w:i/>
      <w:iCs/>
      <w:sz w:val="24"/>
      <w:szCs w:val="24"/>
      <w:lang w:val="es-ES" w:eastAsia="es-ES"/>
    </w:rPr>
  </w:style>
  <w:style w:type="character" w:customStyle="1" w:styleId="Ttulo9Car">
    <w:name w:val="Título 9 Car"/>
    <w:basedOn w:val="Fuentedeprrafopredeter"/>
    <w:link w:val="Ttulo9"/>
    <w:rsid w:val="000C706A"/>
    <w:rPr>
      <w:rFonts w:ascii="Arial" w:hAnsi="Arial" w:cs="Arial"/>
      <w:sz w:val="22"/>
      <w:szCs w:val="22"/>
      <w:lang w:val="es-ES" w:eastAsia="es-ES"/>
    </w:rPr>
  </w:style>
  <w:style w:type="character" w:styleId="Ttulodellibro">
    <w:name w:val="Book Title"/>
    <w:basedOn w:val="Fuentedeprrafopredeter"/>
    <w:uiPriority w:val="33"/>
    <w:semiHidden/>
    <w:rsid w:val="000C706A"/>
    <w:rPr>
      <w:b/>
      <w:bCs/>
      <w:smallCaps/>
      <w:spacing w:val="5"/>
    </w:rPr>
  </w:style>
  <w:style w:type="paragraph" w:styleId="Revisin">
    <w:name w:val="Revision"/>
    <w:hidden/>
    <w:uiPriority w:val="99"/>
    <w:semiHidden/>
    <w:rsid w:val="000C706A"/>
    <w:rPr>
      <w:sz w:val="24"/>
      <w:lang w:val="en-GB" w:eastAsia="en-US"/>
    </w:rPr>
  </w:style>
  <w:style w:type="character" w:styleId="Refdecomentario">
    <w:name w:val="annotation reference"/>
    <w:basedOn w:val="Fuentedeprrafopredeter"/>
    <w:uiPriority w:val="99"/>
    <w:semiHidden/>
    <w:unhideWhenUsed/>
    <w:rsid w:val="000C706A"/>
    <w:rPr>
      <w:sz w:val="16"/>
      <w:szCs w:val="16"/>
    </w:rPr>
  </w:style>
  <w:style w:type="paragraph" w:styleId="Textocomentario">
    <w:name w:val="annotation text"/>
    <w:basedOn w:val="Normal"/>
    <w:link w:val="TextocomentarioCar"/>
    <w:uiPriority w:val="99"/>
    <w:unhideWhenUsed/>
    <w:rsid w:val="000C706A"/>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0C706A"/>
    <w:rPr>
      <w:lang w:val="en-GB" w:eastAsia="en-US"/>
    </w:rPr>
  </w:style>
  <w:style w:type="paragraph" w:styleId="Asuntodelcomentario">
    <w:name w:val="annotation subject"/>
    <w:basedOn w:val="Textocomentario"/>
    <w:next w:val="Textocomentario"/>
    <w:link w:val="AsuntodelcomentarioCar"/>
    <w:uiPriority w:val="99"/>
    <w:semiHidden/>
    <w:unhideWhenUsed/>
    <w:rsid w:val="000C706A"/>
    <w:rPr>
      <w:b/>
      <w:bCs/>
    </w:rPr>
  </w:style>
  <w:style w:type="character" w:customStyle="1" w:styleId="AsuntodelcomentarioCar">
    <w:name w:val="Asunto del comentario Car"/>
    <w:basedOn w:val="TextocomentarioCar"/>
    <w:link w:val="Asuntodelcomentario"/>
    <w:uiPriority w:val="99"/>
    <w:semiHidden/>
    <w:rsid w:val="000C706A"/>
    <w:rPr>
      <w:b/>
      <w:bCs/>
      <w:lang w:val="en-GB" w:eastAsia="en-US"/>
    </w:rPr>
  </w:style>
  <w:style w:type="character" w:styleId="Mencinsinresolver">
    <w:name w:val="Unresolved Mention"/>
    <w:basedOn w:val="Fuentedeprrafopredeter"/>
    <w:uiPriority w:val="99"/>
    <w:semiHidden/>
    <w:unhideWhenUsed/>
    <w:rsid w:val="000C70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hyperlink" Target="http://www.alrc.gov.au" TargetMode="External"/><Relationship Id="rId39"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9.emf"/><Relationship Id="rId34" Type="http://schemas.openxmlformats.org/officeDocument/2006/relationships/header" Target="header3.xml"/><Relationship Id="rId42" Type="http://schemas.openxmlformats.org/officeDocument/2006/relationships/image" Target="media/image12.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aph.gov.au/Senators_and_Members" TargetMode="External"/><Relationship Id="rId25" Type="http://schemas.openxmlformats.org/officeDocument/2006/relationships/hyperlink" Target="http://www.oaic.gov.au" TargetMode="External"/><Relationship Id="rId33" Type="http://schemas.openxmlformats.org/officeDocument/2006/relationships/footer" Target="footer3.xml"/><Relationship Id="rId38" Type="http://schemas.openxmlformats.org/officeDocument/2006/relationships/header" Target="header5.xml"/><Relationship Id="rId46"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yperlink" Target="https://www.dfat.gov.au/development/who-we-work-with/ngos/non-government-organisations-effective-development-partners-statement" TargetMode="External"/><Relationship Id="rId29" Type="http://schemas.openxmlformats.org/officeDocument/2006/relationships/header" Target="header1.xm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ombudsman.gov.au/" TargetMode="External"/><Relationship Id="rId32" Type="http://schemas.openxmlformats.org/officeDocument/2006/relationships/footer" Target="footer2.xml"/><Relationship Id="rId37" Type="http://schemas.openxmlformats.org/officeDocument/2006/relationships/footer" Target="footer5.xml"/><Relationship Id="rId40" Type="http://schemas.openxmlformats.org/officeDocument/2006/relationships/footer" Target="footer6.xml"/><Relationship Id="rId45"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hyperlink" Target="http://www.humanrights.gov.au" TargetMode="External"/><Relationship Id="rId28" Type="http://schemas.openxmlformats.org/officeDocument/2006/relationships/hyperlink" Target="https://www.dfat.gov.au/development/australias-development-program" TargetMode="External"/><Relationship Id="rId36" Type="http://schemas.openxmlformats.org/officeDocument/2006/relationships/header" Target="header4.xml"/><Relationship Id="rId10" Type="http://schemas.openxmlformats.org/officeDocument/2006/relationships/hyperlink" Target="http://www.abs.gov.au/AUSSTATS/abs@.nsf/mf/1345.0" TargetMode="External"/><Relationship Id="rId19" Type="http://schemas.openxmlformats.org/officeDocument/2006/relationships/hyperlink" Target="https://www.acnc.gov.au/" TargetMode="External"/><Relationship Id="rId31" Type="http://schemas.openxmlformats.org/officeDocument/2006/relationships/footer" Target="footer1.xml"/><Relationship Id="rId44"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yperlink" Target="https://www.dfat.gov.au/about-australia/Pages/about-australia" TargetMode="External"/><Relationship Id="rId14" Type="http://schemas.openxmlformats.org/officeDocument/2006/relationships/image" Target="media/image5.emf"/><Relationship Id="rId22" Type="http://schemas.openxmlformats.org/officeDocument/2006/relationships/hyperlink" Target="http://www.alrc.gov.au/publications" TargetMode="External"/><Relationship Id="rId27" Type="http://schemas.openxmlformats.org/officeDocument/2006/relationships/hyperlink" Target="https://ausncp.gov.au/" TargetMode="External"/><Relationship Id="rId30" Type="http://schemas.openxmlformats.org/officeDocument/2006/relationships/header" Target="header2.xml"/><Relationship Id="rId35" Type="http://schemas.openxmlformats.org/officeDocument/2006/relationships/footer" Target="footer4.xml"/><Relationship Id="rId43" Type="http://schemas.openxmlformats.org/officeDocument/2006/relationships/header" Target="header7.xm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13" Type="http://schemas.openxmlformats.org/officeDocument/2006/relationships/hyperlink" Target="https://www.closingthegap.gov.au/sites/default/files/2022-09/ctg-national-agreement_apr-21-comm-infra-targets-updated-24-august-2022_0.pdf" TargetMode="External"/><Relationship Id="rId18" Type="http://schemas.openxmlformats.org/officeDocument/2006/relationships/hyperlink" Target="https://www.abs.gov.au/statistics/people/aboriginal-and-torres-strait-islander-peoples/aboriginal-and-torres-strait-islander-life-expectancy-estimates/latest-release" TargetMode="External"/><Relationship Id="rId26" Type="http://schemas.openxmlformats.org/officeDocument/2006/relationships/hyperlink" Target="https://www.abs.gov.au/articles/australia-aboriginal-and-torres-strait-islander-population-summary" TargetMode="External"/><Relationship Id="rId39" Type="http://schemas.openxmlformats.org/officeDocument/2006/relationships/hyperlink" Target="https://acaraweb.blob.core.windows.net/acaraweb/docs/default-source/assessment-and-reporting-publications/national-report-on-schooling-in-australia-2021.pdf?sfvrsn=f9184c07_0" TargetMode="External"/><Relationship Id="rId21" Type="http://schemas.openxmlformats.org/officeDocument/2006/relationships/hyperlink" Target="https://www.abs.gov.au/statistics/people/population/population-projections-australia/latest-release" TargetMode="External"/><Relationship Id="rId34" Type="http://schemas.openxmlformats.org/officeDocument/2006/relationships/hyperlink" Target="https://www.abs.gov.au/statistics/labour/employment-and-unemployment/labour-force-australia/latest-release" TargetMode="External"/><Relationship Id="rId42" Type="http://schemas.openxmlformats.org/officeDocument/2006/relationships/hyperlink" Target="https://www.niaa.gov.au/sites/default/files/publications/niaa-closing-the-gap-annual-report-2022.pdf" TargetMode="External"/><Relationship Id="rId47" Type="http://schemas.openxmlformats.org/officeDocument/2006/relationships/hyperlink" Target="https://www.aihw.gov.au/reports/burden-of-disease/australian-burden-of-disease-study-2022/contents/summary" TargetMode="External"/><Relationship Id="rId50" Type="http://schemas.openxmlformats.org/officeDocument/2006/relationships/hyperlink" Target="https://www.pc.gov.au/closing-the-gap-data/annual-data-report/report" TargetMode="External"/><Relationship Id="rId55" Type="http://schemas.openxmlformats.org/officeDocument/2006/relationships/hyperlink" Target="https://www.abs.gov.au/statistics/health/causes-death/causes-death-australia/latest-release" TargetMode="External"/><Relationship Id="rId63" Type="http://schemas.openxmlformats.org/officeDocument/2006/relationships/hyperlink" Target="https://www.latrobe.edu.au/__data/assets/pdf_file/0009/1185885/Private-Lives-3.pdf" TargetMode="External"/><Relationship Id="rId68" Type="http://schemas.openxmlformats.org/officeDocument/2006/relationships/hyperlink" Target="https://www.aph.gov.au/About_Parliament/Parliamentary_departments/Parliamentary_Library/FlagPost/2022/May/Gender_composition_of_state_and_territory_parliaments" TargetMode="External"/><Relationship Id="rId76" Type="http://schemas.openxmlformats.org/officeDocument/2006/relationships/hyperlink" Target="https://www.aic.gov.au/statistics/deaths-custody-australia" TargetMode="External"/><Relationship Id="rId84" Type="http://schemas.openxmlformats.org/officeDocument/2006/relationships/hyperlink" Target="https://www.ag.gov.au/RightsAndProtections/HumanRights/United-Nations-Human-Rights-Reporting/upr-recommendations/Pages/default.aspx" TargetMode="External"/><Relationship Id="rId89" Type="http://schemas.openxmlformats.org/officeDocument/2006/relationships/hyperlink" Target="https://www.niaa.gov.au/indigenous-affairs/land-and-housing" TargetMode="External"/><Relationship Id="rId7" Type="http://schemas.openxmlformats.org/officeDocument/2006/relationships/hyperlink" Target="https://www.abs.gov.au/statistics/people/population/national-state-and-territory-population/jun-2022" TargetMode="External"/><Relationship Id="rId71" Type="http://schemas.openxmlformats.org/officeDocument/2006/relationships/hyperlink" Target="https://www.abs.gov.au/media-centre/media-releases/sexual-assaults-increase-tenth-year-row" TargetMode="External"/><Relationship Id="rId92" Type="http://schemas.openxmlformats.org/officeDocument/2006/relationships/hyperlink" Target="https://www.abs.gov.au/statistics/standards/standard-sex-gender-variations-sex-characteristics-and-sexual-orientation-variables/latest-release" TargetMode="External"/><Relationship Id="rId2" Type="http://schemas.openxmlformats.org/officeDocument/2006/relationships/hyperlink" Target="https://stats.oecd.org/Index.aspx?DataSetCode=PDB_GR" TargetMode="External"/><Relationship Id="rId16" Type="http://schemas.openxmlformats.org/officeDocument/2006/relationships/hyperlink" Target="https://www.abs.gov.au/statistics/people/population/deaths-australia/latest-release" TargetMode="External"/><Relationship Id="rId29" Type="http://schemas.openxmlformats.org/officeDocument/2006/relationships/hyperlink" Target="https://www.abs.gov.au/statistics/labour/earnings-and-working-conditions/income-and-work-census/2021" TargetMode="External"/><Relationship Id="rId11" Type="http://schemas.openxmlformats.org/officeDocument/2006/relationships/hyperlink" Target="https://www.abs.gov.au/articles/australia-aboriginal-and-torres-strait-islander-population-summary" TargetMode="External"/><Relationship Id="rId24" Type="http://schemas.openxmlformats.org/officeDocument/2006/relationships/hyperlink" Target="https://www.abs.gov.au/statistics/people/population/national-state-and-territory-population/jun-2022" TargetMode="External"/><Relationship Id="rId32" Type="http://schemas.openxmlformats.org/officeDocument/2006/relationships/hyperlink" Target="https://www.abs.gov.au/statistics/economy/finance/household-expenditure-survey-australia-summary-results/latest-release" TargetMode="External"/><Relationship Id="rId37" Type="http://schemas.openxmlformats.org/officeDocument/2006/relationships/hyperlink" Target="https://www.abs.gov.au/statistics/labour/employment-and-unemployment/labour-force-australia-detailed/latest-release" TargetMode="External"/><Relationship Id="rId40" Type="http://schemas.openxmlformats.org/officeDocument/2006/relationships/hyperlink" Target="https://www.abs.gov.au/statistics/people/education/schools/latest-release" TargetMode="External"/><Relationship Id="rId45" Type="http://schemas.openxmlformats.org/officeDocument/2006/relationships/hyperlink" Target="https://www.aihw.gov.au/getmedia/d9ae4bfa-df27-4e3c-9846-ba452bef6ac5/aihw-bod-37.pdf.aspx?inline=true" TargetMode="External"/><Relationship Id="rId53" Type="http://schemas.openxmlformats.org/officeDocument/2006/relationships/hyperlink" Target="https://www.aihw.gov.au/reports/mothers-babies/australias-mothers-babies-data-visualisations/contents/summary" TargetMode="External"/><Relationship Id="rId58" Type="http://schemas.openxmlformats.org/officeDocument/2006/relationships/hyperlink" Target="https://www.abs.gov.au/statistics/health/mental-health/national-study-mental-health-and-wellbeing/latest-release" TargetMode="External"/><Relationship Id="rId66" Type="http://schemas.openxmlformats.org/officeDocument/2006/relationships/hyperlink" Target="https://www.aec.gov.au/media/2023/08-03.htm" TargetMode="External"/><Relationship Id="rId74" Type="http://schemas.openxmlformats.org/officeDocument/2006/relationships/hyperlink" Target="http://www.abs.gov.au/ausstats/abs@.nsf/mf/4517.0" TargetMode="External"/><Relationship Id="rId79" Type="http://schemas.openxmlformats.org/officeDocument/2006/relationships/hyperlink" Target="http://www.abs.gov.au/AUSSTATS/abs@.nsf/mf/4513.0" TargetMode="External"/><Relationship Id="rId87" Type="http://schemas.openxmlformats.org/officeDocument/2006/relationships/hyperlink" Target="http://www.ndis.gov.au/about-us/strategies/rural-and-remote-strategy" TargetMode="External"/><Relationship Id="rId5" Type="http://schemas.openxmlformats.org/officeDocument/2006/relationships/hyperlink" Target="https://www.aph.gov.au/About_Parliament/Parliamentary_departments/Parliamentary_Library/pubs/rp/BudgetReviewOctober202223/AustralianGovernmentDebt" TargetMode="External"/><Relationship Id="rId61" Type="http://schemas.openxmlformats.org/officeDocument/2006/relationships/hyperlink" Target="https://www.aihw.gov.au/mental-health/topic-areas/medicare-subsidised-services" TargetMode="External"/><Relationship Id="rId82" Type="http://schemas.openxmlformats.org/officeDocument/2006/relationships/hyperlink" Target="https://devpolicy.org/aidtracker/" TargetMode="External"/><Relationship Id="rId90" Type="http://schemas.openxmlformats.org/officeDocument/2006/relationships/hyperlink" Target="https://www.abs.gov.au/statistics/people/aboriginal-and-torres-strait-islander-peoples/language-statistics-aboriginal-and-torres-strait-islander-peoples/latest-release" TargetMode="External"/><Relationship Id="rId95" Type="http://schemas.openxmlformats.org/officeDocument/2006/relationships/hyperlink" Target="https://humanrights.gov.au/sites/default/files/ahrc_ar_2021-2022_complaint_stats_0.pdf" TargetMode="External"/><Relationship Id="rId19" Type="http://schemas.openxmlformats.org/officeDocument/2006/relationships/hyperlink" Target="https://www.pc.gov.au/closing-the-gap-data/annual-data-report/report" TargetMode="External"/><Relationship Id="rId14" Type="http://schemas.openxmlformats.org/officeDocument/2006/relationships/hyperlink" Target="https://www.abs.gov.au/statistics/people/people-and-communities/snapshot-australia/2021" TargetMode="External"/><Relationship Id="rId22" Type="http://schemas.openxmlformats.org/officeDocument/2006/relationships/hyperlink" Target="https://www.abs.gov.au/statistics/people/population/national-state-and-territory-population/jun-2022" TargetMode="External"/><Relationship Id="rId27" Type="http://schemas.openxmlformats.org/officeDocument/2006/relationships/hyperlink" Target="https://www.abs.gov.au/statistics/people/people-and-communities/snapshot-australia/2021" TargetMode="External"/><Relationship Id="rId30" Type="http://schemas.openxmlformats.org/officeDocument/2006/relationships/hyperlink" Target="https://www.abs.gov.au/statistics/economy/finance/household-income-and-wealth-australia/2019-20" TargetMode="External"/><Relationship Id="rId35" Type="http://schemas.openxmlformats.org/officeDocument/2006/relationships/hyperlink" Target="https://www.abs.gov.au/statistics/labour/employment-and-unemployment/labour-force-australia-detailed/latest-release" TargetMode="External"/><Relationship Id="rId43" Type="http://schemas.openxmlformats.org/officeDocument/2006/relationships/hyperlink" Target="https://www.pc.gov.au/closing-the-gap-data/annual-data-report/report" TargetMode="External"/><Relationship Id="rId48" Type="http://schemas.openxmlformats.org/officeDocument/2006/relationships/hyperlink" Target="https://www.aihw.gov.au/reports/australias-health/infectious-and-communicable-diseases" TargetMode="External"/><Relationship Id="rId56" Type="http://schemas.openxmlformats.org/officeDocument/2006/relationships/hyperlink" Target="https://www.aihw.gov.au/reports/burden-of-disease/australian-burden-of-disease-study-2022/contents/summary" TargetMode="External"/><Relationship Id="rId64" Type="http://schemas.openxmlformats.org/officeDocument/2006/relationships/hyperlink" Target="https://www.latrobe.edu.au/__data/assets/pdf_file/0010/1198945/Writing-Themselves-In-4-National-report.pdf" TargetMode="External"/><Relationship Id="rId69" Type="http://schemas.openxmlformats.org/officeDocument/2006/relationships/hyperlink" Target="https://www.dfat.gov.au/development/who-we-work-with/ngos/list-of-australian-accredited-non-government-organisations" TargetMode="External"/><Relationship Id="rId77" Type="http://schemas.openxmlformats.org/officeDocument/2006/relationships/hyperlink" Target="https://www.aihw.gov.au/reports/youth-justice/youth-justice-in-australia-2021-22/contents/summary" TargetMode="External"/><Relationship Id="rId8" Type="http://schemas.openxmlformats.org/officeDocument/2006/relationships/hyperlink" Target="https://www.abs.gov.au/statistics/people/population/regional-population/2020-21" TargetMode="External"/><Relationship Id="rId51" Type="http://schemas.openxmlformats.org/officeDocument/2006/relationships/hyperlink" Target="https://www.abs.gov.au/statistics/health/health-conditions-and-risks/dietary-behaviour/latest-release" TargetMode="External"/><Relationship Id="rId72" Type="http://schemas.openxmlformats.org/officeDocument/2006/relationships/hyperlink" Target="https://www.abs.gov.au/statistics/people/crime-and-justice/recorded-crime-victims/2021" TargetMode="External"/><Relationship Id="rId80" Type="http://schemas.openxmlformats.org/officeDocument/2006/relationships/hyperlink" Target="https://www.pc.gov.au/ongoing/report-on-government-services/2022/justice" TargetMode="External"/><Relationship Id="rId85" Type="http://schemas.openxmlformats.org/officeDocument/2006/relationships/hyperlink" Target="http://www.indigenous.gov.au/remote-australia-strategies" TargetMode="External"/><Relationship Id="rId93" Type="http://schemas.openxmlformats.org/officeDocument/2006/relationships/hyperlink" Target="https://www.dss.gov.au/disability-and-australias-disability-strategy-2021-2031" TargetMode="External"/><Relationship Id="rId3" Type="http://schemas.openxmlformats.org/officeDocument/2006/relationships/hyperlink" Target="https://budget.gov.au/2022-23-october/content/overview/index.htm" TargetMode="External"/><Relationship Id="rId12" Type="http://schemas.openxmlformats.org/officeDocument/2006/relationships/hyperlink" Target="https://www.niaa.gov.au/sites/default/files/publications/niaa-closing-the-gap-annual-report-2022.pdf" TargetMode="External"/><Relationship Id="rId17" Type="http://schemas.openxmlformats.org/officeDocument/2006/relationships/hyperlink" Target="https://www.abs.gov.au/statistics/people/population/life-tables/latest-release" TargetMode="External"/><Relationship Id="rId25" Type="http://schemas.openxmlformats.org/officeDocument/2006/relationships/hyperlink" Target="https://www.abs.gov.au/statistics/people/people-and-communities/snapshot-australia/2021" TargetMode="External"/><Relationship Id="rId33" Type="http://schemas.openxmlformats.org/officeDocument/2006/relationships/hyperlink" Target="https://treasury.gov.au/sites/default/files/2023-07/measuring-what-matters-statement020230721_0.pdf" TargetMode="External"/><Relationship Id="rId38" Type="http://schemas.openxmlformats.org/officeDocument/2006/relationships/hyperlink" Target="http://www.abs.gov.au/ausstats/abs@.nsf/mf/6333.0" TargetMode="External"/><Relationship Id="rId46" Type="http://schemas.openxmlformats.org/officeDocument/2006/relationships/hyperlink" Target="https://www.aihw.gov.au/reports/burden-of-disease/abds-2018-interactive-data-risk-factors/contents/summary" TargetMode="External"/><Relationship Id="rId59" Type="http://schemas.openxmlformats.org/officeDocument/2006/relationships/hyperlink" Target="https://www.aihw.gov.au/getmedia/d9ae4bfa-df27-4e3c-9846-ba452bef6ac5/aihw-bod-37.pdf.aspx?inline=true" TargetMode="External"/><Relationship Id="rId67" Type="http://schemas.openxmlformats.org/officeDocument/2006/relationships/hyperlink" Target="https://www.aec.gov.au/parties_and_representatives/party_registration/Registered_parties/" TargetMode="External"/><Relationship Id="rId20" Type="http://schemas.openxmlformats.org/officeDocument/2006/relationships/hyperlink" Target="http://www.abs.gov.au/articles/twenty-years-population-change" TargetMode="External"/><Relationship Id="rId41" Type="http://schemas.openxmlformats.org/officeDocument/2006/relationships/hyperlink" Target="https://research.acer.edu.au/pirls/1/" TargetMode="External"/><Relationship Id="rId54" Type="http://schemas.openxmlformats.org/officeDocument/2006/relationships/hyperlink" Target="https://www.aihw.gov.au/reports/mothers-babies/maternal-deaths-australia" TargetMode="External"/><Relationship Id="rId62" Type="http://schemas.openxmlformats.org/officeDocument/2006/relationships/hyperlink" Target="https://www.latrobe.edu.au/__data/assets/pdf_file/0009/1185885/Private-Lives-3.pdf" TargetMode="External"/><Relationship Id="rId70" Type="http://schemas.openxmlformats.org/officeDocument/2006/relationships/hyperlink" Target="https://theconversation.com/is-australias-media-market-one-of-the-worlds-most-concentrated-68437" TargetMode="External"/><Relationship Id="rId75" Type="http://schemas.openxmlformats.org/officeDocument/2006/relationships/hyperlink" Target="http://www.abs.gov.au/ausstats/abs@.nsf/mf/4517.0" TargetMode="External"/><Relationship Id="rId83" Type="http://schemas.openxmlformats.org/officeDocument/2006/relationships/hyperlink" Target="https://www.ag.gov.au/rights-and-protections/human-rights-and-anti-discrimination/united-nations-human-rights-reporting/treaty-body-reporting" TargetMode="External"/><Relationship Id="rId88" Type="http://schemas.openxmlformats.org/officeDocument/2006/relationships/hyperlink" Target="http://www.education.gov.au/national-regional-rural-and-remote-education-strategy" TargetMode="External"/><Relationship Id="rId91" Type="http://schemas.openxmlformats.org/officeDocument/2006/relationships/hyperlink" Target="http://www.ag.gov.au/Publications/Pages/AustralianGovernmentGuidelinesontheRecognitionofSexandGender.aspx" TargetMode="External"/><Relationship Id="rId1" Type="http://schemas.openxmlformats.org/officeDocument/2006/relationships/hyperlink" Target="https://www.abs.gov.au/statistics/economy/national-accounts/australian-national-accounts-national-income-expenditure-and-product/mar-2023" TargetMode="External"/><Relationship Id="rId6" Type="http://schemas.openxmlformats.org/officeDocument/2006/relationships/hyperlink" Target="https://www.aph.gov.au/About_Parliament/Parliamentary_Departments/Parliamentary_Library/pubs/rp/BudgetReview202223/ForeignAidBudget" TargetMode="External"/><Relationship Id="rId15" Type="http://schemas.openxmlformats.org/officeDocument/2006/relationships/hyperlink" Target="https://www.abs.gov.au/statistics/people/population/births-australia/latest-release" TargetMode="External"/><Relationship Id="rId23" Type="http://schemas.openxmlformats.org/officeDocument/2006/relationships/hyperlink" Target="https://www.abs.gov.au/statistics/people/population/population-projections-australia/latest-release" TargetMode="External"/><Relationship Id="rId28" Type="http://schemas.openxmlformats.org/officeDocument/2006/relationships/hyperlink" Target="https://www.abs.gov.au/statistics/people/people-and-communities/household-and-families-census/2021" TargetMode="External"/><Relationship Id="rId36" Type="http://schemas.openxmlformats.org/officeDocument/2006/relationships/hyperlink" Target="https://www.pc.gov.au/closing-the-gap-data/annual-data-report/report" TargetMode="External"/><Relationship Id="rId49" Type="http://schemas.openxmlformats.org/officeDocument/2006/relationships/hyperlink" Target="https://www.aihw.gov.au/reports/mothers-babies/australias-mothers-babies/contents/baby-outcomes/birthweight" TargetMode="External"/><Relationship Id="rId57" Type="http://schemas.openxmlformats.org/officeDocument/2006/relationships/hyperlink" Target="https://www.abs.gov.au/statistics/health/mental-health/national-study-mental-health-and-wellbeing/latest-release" TargetMode="External"/><Relationship Id="rId10" Type="http://schemas.openxmlformats.org/officeDocument/2006/relationships/hyperlink" Target="https://www.abs.gov.au/statistics/people/people-and-communities/snapshot-australia/2021" TargetMode="External"/><Relationship Id="rId31" Type="http://schemas.openxmlformats.org/officeDocument/2006/relationships/hyperlink" Target="https://www.abs.gov.au/statistics/economy/finance/household-income-and-wealth-australia/2019-20" TargetMode="External"/><Relationship Id="rId44" Type="http://schemas.openxmlformats.org/officeDocument/2006/relationships/hyperlink" Target="https://www.pc.gov.au/closing-the-gap-data/annual-data-report/report" TargetMode="External"/><Relationship Id="rId52" Type="http://schemas.openxmlformats.org/officeDocument/2006/relationships/hyperlink" Target="https://www.abs.gov.au/statistics/health/health-conditions-and-risks/chronic-obstructive-pulmonary-disease/latest-release" TargetMode="External"/><Relationship Id="rId60" Type="http://schemas.openxmlformats.org/officeDocument/2006/relationships/hyperlink" Target="https://www.abs.gov.au/statistics/health/causes-death/causes-death-australia/latest-release" TargetMode="External"/><Relationship Id="rId65" Type="http://schemas.openxmlformats.org/officeDocument/2006/relationships/hyperlink" Target="https://www.aec.gov.au/Enrolling_to_vote/Enrolment_stats/national/2022.htm" TargetMode="External"/><Relationship Id="rId73" Type="http://schemas.openxmlformats.org/officeDocument/2006/relationships/hyperlink" Target="https://www.abs.gov.au/statistics/people/crime-and-justice/recorded-crime-offenders/latest-release" TargetMode="External"/><Relationship Id="rId78" Type="http://schemas.openxmlformats.org/officeDocument/2006/relationships/hyperlink" Target="https://www.pc.gov.au/ongoing/report-on-government-services/2022/justice" TargetMode="External"/><Relationship Id="rId81" Type="http://schemas.openxmlformats.org/officeDocument/2006/relationships/hyperlink" Target="https://nla.legalaid.nsw.gov.au/nlareports/reportviewer.aspx?reportname=ApplicationStatus" TargetMode="External"/><Relationship Id="rId86" Type="http://schemas.openxmlformats.org/officeDocument/2006/relationships/hyperlink" Target="http://www.health.gov.au/internet/main/publishing.nsf/Content/national-strategic-framework-rural-remote-health" TargetMode="External"/><Relationship Id="rId94" Type="http://schemas.openxmlformats.org/officeDocument/2006/relationships/hyperlink" Target="http://www.respect.gov.au" TargetMode="External"/><Relationship Id="rId4" Type="http://schemas.openxmlformats.org/officeDocument/2006/relationships/hyperlink" Target="https://www.abs.gov.au/statistics/economy/price-indexes-and-inflation/consumer-price-index-australia/latest-release" TargetMode="External"/><Relationship Id="rId9" Type="http://schemas.openxmlformats.org/officeDocument/2006/relationships/hyperlink" Target="https://www.abs.gov.au/statistics/people/aboriginal-and-torres-strait-islander-peoples/estimates-aboriginal-and-torres-strait-islander-australians/latest-relea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3A7A7-18CF-4C89-B52D-BB2E75ECC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60</Pages>
  <Words>26827</Words>
  <Characters>152916</Characters>
  <Application>Microsoft Office Word</Application>
  <DocSecurity>0</DocSecurity>
  <Lines>1274</Lines>
  <Paragraphs>358</Paragraphs>
  <ScaleCrop>false</ScaleCrop>
  <HeadingPairs>
    <vt:vector size="2" baseType="variant">
      <vt:variant>
        <vt:lpstr>Título</vt:lpstr>
      </vt:variant>
      <vt:variant>
        <vt:i4>1</vt:i4>
      </vt:variant>
    </vt:vector>
  </HeadingPairs>
  <TitlesOfParts>
    <vt:vector size="1" baseType="lpstr">
      <vt:lpstr>HRI/CORE/AUS/2023</vt:lpstr>
    </vt:vector>
  </TitlesOfParts>
  <Company/>
  <LinksUpToDate>false</LinksUpToDate>
  <CharactersWithSpaces>179385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HRI/CORE/AUS/2023</dc:title>
  <dc:subject/>
  <dc:creator>Carlos Ariel BRAGUNDE LOPEZ</dc:creator>
  <cp:keywords/>
  <cp:lastModifiedBy>Carlos Bragunde Lopez</cp:lastModifiedBy>
  <cp:revision>2</cp:revision>
  <cp:lastPrinted>2024-07-29T12:12:00Z</cp:lastPrinted>
  <dcterms:created xsi:type="dcterms:W3CDTF">2024-07-31T13:54:00Z</dcterms:created>
  <dcterms:modified xsi:type="dcterms:W3CDTF">2024-07-31T13:54:00Z</dcterms:modified>
</cp:coreProperties>
</file>