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97D91" w:rsidP="00797D91">
            <w:pPr>
              <w:spacing w:after="20"/>
              <w:jc w:val="right"/>
            </w:pPr>
            <w:r w:rsidRPr="00797D91">
              <w:rPr>
                <w:sz w:val="40"/>
              </w:rPr>
              <w:t>CAT</w:t>
            </w:r>
            <w:r>
              <w:t>/C/SR.882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797D91" w:rsidRDefault="00797D91" w:rsidP="00797D91">
            <w:pPr>
              <w:spacing w:before="240"/>
            </w:pPr>
            <w:r>
              <w:t>Distr. general</w:t>
            </w:r>
          </w:p>
          <w:p w:rsidR="00797D91" w:rsidRDefault="00797D91" w:rsidP="00797D91">
            <w:r>
              <w:t>16 de octubre de 2009</w:t>
            </w:r>
          </w:p>
          <w:p w:rsidR="00797D91" w:rsidRDefault="00797D91" w:rsidP="00797D91">
            <w:r>
              <w:t>Español</w:t>
            </w:r>
          </w:p>
          <w:p w:rsidR="002D5AAC" w:rsidRDefault="00797D91" w:rsidP="00797D91">
            <w:r>
              <w:t>Original: inglés</w:t>
            </w:r>
          </w:p>
        </w:tc>
      </w:tr>
    </w:tbl>
    <w:p w:rsidR="00797D91" w:rsidRPr="00847D03" w:rsidRDefault="00797D91" w:rsidP="00797D91">
      <w:pPr>
        <w:suppressAutoHyphens/>
        <w:spacing w:before="120"/>
        <w:rPr>
          <w:b/>
          <w:sz w:val="24"/>
          <w:szCs w:val="24"/>
          <w:lang w:eastAsia="en-US"/>
        </w:rPr>
      </w:pPr>
      <w:r w:rsidRPr="00847D03">
        <w:rPr>
          <w:b/>
          <w:sz w:val="24"/>
          <w:szCs w:val="24"/>
          <w:lang w:eastAsia="en-US"/>
        </w:rPr>
        <w:t>Comité contra la Tortura</w:t>
      </w:r>
    </w:p>
    <w:p w:rsidR="00797D91" w:rsidRPr="00847D03" w:rsidRDefault="00797D91" w:rsidP="00797D91">
      <w:pPr>
        <w:suppressAutoHyphens/>
        <w:spacing w:after="120"/>
        <w:rPr>
          <w:b/>
          <w:lang w:eastAsia="en-US"/>
        </w:rPr>
      </w:pPr>
      <w:r w:rsidRPr="00847D03">
        <w:rPr>
          <w:b/>
          <w:lang w:eastAsia="en-US"/>
        </w:rPr>
        <w:t>42º período de sesiones</w:t>
      </w:r>
    </w:p>
    <w:p w:rsidR="00797D91" w:rsidRDefault="00797D91" w:rsidP="00797D91">
      <w:pPr>
        <w:rPr>
          <w:b/>
          <w:snapToGrid w:val="0"/>
        </w:rPr>
      </w:pPr>
      <w:r w:rsidRPr="00847D03">
        <w:rPr>
          <w:b/>
          <w:snapToGrid w:val="0"/>
        </w:rPr>
        <w:t>Acta resumida de la primera parte (pública)</w:t>
      </w:r>
      <w:r w:rsidRPr="00847D03">
        <w:rPr>
          <w:rStyle w:val="FootnoteReference"/>
          <w:snapToGrid w:val="0"/>
          <w:sz w:val="20"/>
          <w:vertAlign w:val="baseline"/>
        </w:rPr>
        <w:footnoteReference w:customMarkFollows="1" w:id="1"/>
        <w:t>*</w:t>
      </w:r>
      <w:r w:rsidRPr="00847D03">
        <w:rPr>
          <w:b/>
          <w:snapToGrid w:val="0"/>
        </w:rPr>
        <w:t xml:space="preserve"> de la 882ª sesión</w:t>
      </w:r>
    </w:p>
    <w:p w:rsidR="00797D91" w:rsidRPr="00847D03" w:rsidRDefault="00797D91" w:rsidP="00797D91">
      <w:pPr>
        <w:spacing w:after="120"/>
        <w:rPr>
          <w:snapToGrid w:val="0"/>
        </w:rPr>
      </w:pPr>
      <w:r w:rsidRPr="00847D03">
        <w:rPr>
          <w:snapToGrid w:val="0"/>
        </w:rPr>
        <w:t>Celebrada en el Palacio de las Naciones, Ginebra, el jueves 7 de mayo de 2009, a las 10.00 horas</w:t>
      </w:r>
    </w:p>
    <w:p w:rsidR="00797D91" w:rsidRPr="00847D03" w:rsidRDefault="00797D91" w:rsidP="00797D91">
      <w:pPr>
        <w:tabs>
          <w:tab w:val="right" w:pos="992"/>
          <w:tab w:val="left" w:pos="1134"/>
          <w:tab w:val="right" w:leader="dot" w:pos="8505"/>
        </w:tabs>
        <w:spacing w:before="120"/>
        <w:rPr>
          <w:b/>
          <w:snapToGrid w:val="0"/>
        </w:rPr>
      </w:pPr>
      <w:r w:rsidRPr="00847D03">
        <w:rPr>
          <w:snapToGrid w:val="0"/>
        </w:rPr>
        <w:tab/>
      </w:r>
      <w:r w:rsidRPr="00847D03">
        <w:rPr>
          <w:i/>
          <w:snapToGrid w:val="0"/>
        </w:rPr>
        <w:t>Presidente</w:t>
      </w:r>
      <w:r w:rsidRPr="00847D03">
        <w:rPr>
          <w:snapToGrid w:val="0"/>
        </w:rPr>
        <w:t>:</w:t>
      </w:r>
      <w:r w:rsidRPr="00847D03">
        <w:rPr>
          <w:snapToGrid w:val="0"/>
        </w:rPr>
        <w:tab/>
        <w:t xml:space="preserve">Sr. </w:t>
      </w:r>
      <w:r w:rsidRPr="00480DE5">
        <w:rPr>
          <w:snapToGrid w:val="0"/>
        </w:rPr>
        <w:t>Grossman</w:t>
      </w:r>
    </w:p>
    <w:p w:rsidR="00797D91" w:rsidRPr="00847D03" w:rsidRDefault="00797D91" w:rsidP="00797D91">
      <w:pPr>
        <w:pStyle w:val="HChG"/>
        <w:rPr>
          <w:b w:val="0"/>
        </w:rPr>
      </w:pPr>
      <w:r w:rsidRPr="00847D03">
        <w:rPr>
          <w:b w:val="0"/>
        </w:rPr>
        <w:t>Sumario</w:t>
      </w:r>
    </w:p>
    <w:p w:rsidR="00797D91" w:rsidRPr="00847D03" w:rsidRDefault="00797D91" w:rsidP="00797D91">
      <w:pPr>
        <w:pStyle w:val="SingleTxtG"/>
        <w:suppressAutoHyphens/>
        <w:jc w:val="left"/>
        <w:rPr>
          <w:snapToGrid w:val="0"/>
        </w:rPr>
      </w:pPr>
      <w:r w:rsidRPr="00847D03">
        <w:rPr>
          <w:snapToGrid w:val="0"/>
        </w:rPr>
        <w:t xml:space="preserve">Examen de los informes presentados por los Estados partes en virtud del artículo 19 de la Convención </w:t>
      </w:r>
      <w:r w:rsidRPr="00797D91">
        <w:rPr>
          <w:i/>
          <w:snapToGrid w:val="0"/>
        </w:rPr>
        <w:t>(continuación)</w:t>
      </w:r>
    </w:p>
    <w:p w:rsidR="00797D91" w:rsidRDefault="00797D91" w:rsidP="00797D91">
      <w:pPr>
        <w:pStyle w:val="SingleTxtG"/>
        <w:suppressAutoHyphens/>
        <w:jc w:val="left"/>
        <w:rPr>
          <w:i/>
          <w:snapToGrid w:val="0"/>
        </w:rPr>
      </w:pPr>
      <w:r w:rsidRPr="00847D03">
        <w:rPr>
          <w:snapToGrid w:val="0"/>
        </w:rPr>
        <w:tab/>
      </w:r>
      <w:r w:rsidRPr="00582C40">
        <w:rPr>
          <w:i/>
          <w:snapToGrid w:val="0"/>
        </w:rPr>
        <w:t xml:space="preserve">Informe inicial de Honduras </w:t>
      </w:r>
      <w:r w:rsidRPr="00797D91">
        <w:rPr>
          <w:i/>
          <w:snapToGrid w:val="0"/>
        </w:rPr>
        <w:t>(continuación)</w:t>
      </w:r>
    </w:p>
    <w:p w:rsidR="00F63DE2" w:rsidRDefault="00F63DE2" w:rsidP="00797D91">
      <w:pPr>
        <w:pStyle w:val="SingleTxtG"/>
        <w:suppressAutoHyphens/>
        <w:jc w:val="left"/>
        <w:rPr>
          <w:i/>
          <w:snapToGrid w:val="0"/>
        </w:rPr>
      </w:pPr>
    </w:p>
    <w:p w:rsidR="00F63DE2" w:rsidRPr="00582C40" w:rsidRDefault="00F63DE2" w:rsidP="00797D91">
      <w:pPr>
        <w:pStyle w:val="SingleTxtG"/>
        <w:suppressAutoHyphens/>
        <w:jc w:val="left"/>
        <w:rPr>
          <w:i/>
          <w:snapToGrid w:val="0"/>
        </w:rPr>
      </w:pPr>
    </w:p>
    <w:p w:rsidR="00797D91" w:rsidRPr="0038113F" w:rsidRDefault="00797D91" w:rsidP="00797D91">
      <w:pPr>
        <w:pStyle w:val="SingleTxtG"/>
        <w:suppressAutoHyphens/>
        <w:jc w:val="left"/>
        <w:rPr>
          <w:i/>
          <w:snapToGrid w:val="0"/>
        </w:rPr>
      </w:pPr>
      <w:r w:rsidRPr="00847D03">
        <w:rPr>
          <w:snapToGrid w:val="0"/>
        </w:rPr>
        <w:br w:type="page"/>
      </w:r>
      <w:r w:rsidRPr="0038113F">
        <w:rPr>
          <w:i/>
          <w:snapToGrid w:val="0"/>
        </w:rPr>
        <w:t>Se declara abierta la sesión a las 10.10 horas.</w:t>
      </w:r>
    </w:p>
    <w:p w:rsidR="00797D91" w:rsidRPr="00847D03" w:rsidRDefault="00797D91" w:rsidP="00797D91">
      <w:pPr>
        <w:pStyle w:val="H23G"/>
        <w:rPr>
          <w:snapToGrid w:val="0"/>
        </w:rPr>
      </w:pPr>
      <w:r>
        <w:rPr>
          <w:snapToGrid w:val="0"/>
        </w:rPr>
        <w:tab/>
      </w:r>
      <w:r>
        <w:rPr>
          <w:snapToGrid w:val="0"/>
        </w:rPr>
        <w:tab/>
      </w:r>
      <w:r w:rsidRPr="00847D03">
        <w:rPr>
          <w:snapToGrid w:val="0"/>
        </w:rPr>
        <w:t xml:space="preserve">Examen de los informes presentados por los Estados partes en virtud del artículo 19 de la Convención </w:t>
      </w:r>
      <w:r w:rsidRPr="006E7247">
        <w:rPr>
          <w:b w:val="0"/>
          <w:i/>
          <w:snapToGrid w:val="0"/>
        </w:rPr>
        <w:t>(continuación)</w:t>
      </w:r>
    </w:p>
    <w:p w:rsidR="00797D91" w:rsidRPr="0038113F" w:rsidRDefault="00797D91" w:rsidP="00797D91">
      <w:pPr>
        <w:pStyle w:val="SingleTxtG"/>
        <w:suppressAutoHyphens/>
        <w:rPr>
          <w:i/>
          <w:snapToGrid w:val="0"/>
        </w:rPr>
      </w:pPr>
      <w:r w:rsidRPr="0038113F">
        <w:rPr>
          <w:i/>
          <w:snapToGrid w:val="0"/>
        </w:rPr>
        <w:t>Informe inicial de Honduras</w:t>
      </w:r>
      <w:r w:rsidRPr="0038113F">
        <w:rPr>
          <w:b/>
          <w:i/>
          <w:snapToGrid w:val="0"/>
        </w:rPr>
        <w:t xml:space="preserve"> </w:t>
      </w:r>
      <w:r w:rsidRPr="006E7247">
        <w:rPr>
          <w:i/>
          <w:snapToGrid w:val="0"/>
        </w:rPr>
        <w:t>(continuación)</w:t>
      </w:r>
      <w:r w:rsidRPr="0038113F">
        <w:rPr>
          <w:i/>
          <w:snapToGrid w:val="0"/>
        </w:rPr>
        <w:t xml:space="preserve"> </w:t>
      </w:r>
      <w:r w:rsidRPr="0038113F">
        <w:rPr>
          <w:snapToGrid w:val="0"/>
        </w:rPr>
        <w:t>(CAT/C/HND/1)</w:t>
      </w:r>
    </w:p>
    <w:p w:rsidR="00797D91" w:rsidRPr="00847D03" w:rsidRDefault="00797D91" w:rsidP="00797D91">
      <w:pPr>
        <w:pStyle w:val="SingleTxtG"/>
        <w:suppressAutoHyphens/>
        <w:rPr>
          <w:snapToGrid w:val="0"/>
        </w:rPr>
      </w:pPr>
      <w:r w:rsidRPr="00847D03">
        <w:rPr>
          <w:snapToGrid w:val="0"/>
        </w:rPr>
        <w:t>1.</w:t>
      </w:r>
      <w:r w:rsidRPr="00847D03">
        <w:rPr>
          <w:snapToGrid w:val="0"/>
        </w:rPr>
        <w:tab/>
      </w:r>
      <w:r w:rsidRPr="002E6DCD">
        <w:rPr>
          <w:i/>
          <w:snapToGrid w:val="0"/>
        </w:rPr>
        <w:t>Por invitación del Presidente, los miembros de la delegación de Honduras vuelven a tomar asiento como participantes a la mesa del Comité.</w:t>
      </w:r>
    </w:p>
    <w:p w:rsidR="00797D91" w:rsidRPr="00847D03" w:rsidRDefault="00797D91" w:rsidP="00797D91">
      <w:pPr>
        <w:pStyle w:val="SingleTxtG"/>
        <w:suppressAutoHyphens/>
        <w:rPr>
          <w:snapToGrid w:val="0"/>
        </w:rPr>
      </w:pPr>
      <w:r w:rsidRPr="00847D03">
        <w:rPr>
          <w:snapToGrid w:val="0"/>
        </w:rPr>
        <w:t>2.</w:t>
      </w:r>
      <w:r w:rsidRPr="00847D03">
        <w:rPr>
          <w:snapToGrid w:val="0"/>
        </w:rPr>
        <w:tab/>
        <w:t xml:space="preserve">El </w:t>
      </w:r>
      <w:r w:rsidRPr="00847D03">
        <w:rPr>
          <w:b/>
          <w:snapToGrid w:val="0"/>
        </w:rPr>
        <w:t>Sr. Cálix Hernández</w:t>
      </w:r>
      <w:r w:rsidRPr="00847D03">
        <w:rPr>
          <w:snapToGrid w:val="0"/>
        </w:rPr>
        <w:t xml:space="preserve"> (Honduras), en respuesta a las preguntas formuladas por el Comité durante la 880ª sesión, reconoc</w:t>
      </w:r>
      <w:r>
        <w:rPr>
          <w:snapToGrid w:val="0"/>
        </w:rPr>
        <w:t>e que la definición de tortura d</w:t>
      </w:r>
      <w:r w:rsidRPr="00847D03">
        <w:rPr>
          <w:snapToGrid w:val="0"/>
        </w:rPr>
        <w:t>el Código Penal hondureño no se ajusta exactamente a la definición que figura en el artículo 1 de la Convención</w:t>
      </w:r>
      <w:r>
        <w:rPr>
          <w:snapToGrid w:val="0"/>
        </w:rPr>
        <w:t xml:space="preserve">. </w:t>
      </w:r>
      <w:r w:rsidRPr="00847D03">
        <w:rPr>
          <w:snapToGrid w:val="0"/>
        </w:rPr>
        <w:t>Las principales diferencias estriban en la referencia a la discriminación y a la gravedad del delito</w:t>
      </w:r>
      <w:r>
        <w:rPr>
          <w:snapToGrid w:val="0"/>
        </w:rPr>
        <w:t xml:space="preserve">. </w:t>
      </w:r>
      <w:r w:rsidRPr="00847D03">
        <w:rPr>
          <w:snapToGrid w:val="0"/>
        </w:rPr>
        <w:t>En cuanto a est</w:t>
      </w:r>
      <w:r>
        <w:rPr>
          <w:snapToGrid w:val="0"/>
        </w:rPr>
        <w:t>e</w:t>
      </w:r>
      <w:r w:rsidRPr="00847D03">
        <w:rPr>
          <w:snapToGrid w:val="0"/>
        </w:rPr>
        <w:t xml:space="preserve"> último</w:t>
      </w:r>
      <w:r>
        <w:rPr>
          <w:snapToGrid w:val="0"/>
        </w:rPr>
        <w:t xml:space="preserve"> aspecto</w:t>
      </w:r>
      <w:r w:rsidRPr="00847D03">
        <w:rPr>
          <w:snapToGrid w:val="0"/>
        </w:rPr>
        <w:t xml:space="preserve">, la pena establecida para </w:t>
      </w:r>
      <w:r>
        <w:rPr>
          <w:snapToGrid w:val="0"/>
        </w:rPr>
        <w:t xml:space="preserve">los responsables </w:t>
      </w:r>
      <w:r w:rsidRPr="00847D03">
        <w:rPr>
          <w:snapToGrid w:val="0"/>
        </w:rPr>
        <w:t>es de 15 a 20 años</w:t>
      </w:r>
      <w:r>
        <w:rPr>
          <w:snapToGrid w:val="0"/>
        </w:rPr>
        <w:t xml:space="preserve"> de reclusión. </w:t>
      </w:r>
      <w:r w:rsidRPr="00847D03">
        <w:rPr>
          <w:snapToGrid w:val="0"/>
        </w:rPr>
        <w:t>La duración de la condena varía, en función precisamente de la gravedad del sufrimiento de la víctima.</w:t>
      </w:r>
    </w:p>
    <w:p w:rsidR="00797D91" w:rsidRPr="00847D03" w:rsidRDefault="00797D91" w:rsidP="00797D91">
      <w:pPr>
        <w:pStyle w:val="SingleTxtG"/>
        <w:suppressAutoHyphens/>
        <w:rPr>
          <w:snapToGrid w:val="0"/>
        </w:rPr>
      </w:pPr>
      <w:r w:rsidRPr="00847D03">
        <w:rPr>
          <w:snapToGrid w:val="0"/>
        </w:rPr>
        <w:t>3.</w:t>
      </w:r>
      <w:r w:rsidRPr="00847D03">
        <w:rPr>
          <w:snapToGrid w:val="0"/>
        </w:rPr>
        <w:tab/>
        <w:t>Aunque no se ha incluido una referencia explícita a la discriminación en la definición del Código Penal, tampoco se ha omitido deliberadamente</w:t>
      </w:r>
      <w:r>
        <w:rPr>
          <w:snapToGrid w:val="0"/>
        </w:rPr>
        <w:t xml:space="preserve">. </w:t>
      </w:r>
      <w:r w:rsidRPr="00847D03">
        <w:rPr>
          <w:snapToGrid w:val="0"/>
        </w:rPr>
        <w:t>En otra</w:t>
      </w:r>
      <w:r>
        <w:rPr>
          <w:snapToGrid w:val="0"/>
        </w:rPr>
        <w:t>s</w:t>
      </w:r>
      <w:r w:rsidRPr="00847D03">
        <w:rPr>
          <w:snapToGrid w:val="0"/>
        </w:rPr>
        <w:t xml:space="preserve"> parte</w:t>
      </w:r>
      <w:r>
        <w:rPr>
          <w:snapToGrid w:val="0"/>
        </w:rPr>
        <w:t>s</w:t>
      </w:r>
      <w:r w:rsidRPr="00847D03">
        <w:rPr>
          <w:snapToGrid w:val="0"/>
        </w:rPr>
        <w:t xml:space="preserve"> del Código se penaliza la discriminación y los legisladores que redactaro</w:t>
      </w:r>
      <w:r>
        <w:rPr>
          <w:snapToGrid w:val="0"/>
        </w:rPr>
        <w:t>n la definición quizá considerasen</w:t>
      </w:r>
      <w:r w:rsidRPr="00847D03">
        <w:rPr>
          <w:snapToGrid w:val="0"/>
        </w:rPr>
        <w:t xml:space="preserve"> innecesario </w:t>
      </w:r>
      <w:r>
        <w:rPr>
          <w:snapToGrid w:val="0"/>
        </w:rPr>
        <w:t xml:space="preserve">mencionarla. </w:t>
      </w:r>
      <w:r w:rsidRPr="00847D03">
        <w:rPr>
          <w:snapToGrid w:val="0"/>
        </w:rPr>
        <w:t xml:space="preserve">Además, como las convenciones internacionales, una vez ratificadas, se convierten automáticamente en parte de la legislación interna, se pueden </w:t>
      </w:r>
      <w:r>
        <w:rPr>
          <w:snapToGrid w:val="0"/>
        </w:rPr>
        <w:t>instruir diligencias penales en</w:t>
      </w:r>
      <w:r w:rsidRPr="00847D03">
        <w:rPr>
          <w:snapToGrid w:val="0"/>
        </w:rPr>
        <w:t xml:space="preserve"> los casos de tortura y de discriminación de conformidad con la Convención</w:t>
      </w:r>
      <w:r>
        <w:rPr>
          <w:snapToGrid w:val="0"/>
        </w:rPr>
        <w:t xml:space="preserve">. </w:t>
      </w:r>
      <w:r w:rsidRPr="00847D03">
        <w:rPr>
          <w:snapToGrid w:val="0"/>
        </w:rPr>
        <w:t>No obstante, a fin de disipar las preocupaciones del Comité, su delegación recomendará una revisión del Código Penal para ajustar plenamente la definición al artículo 1 de la Convención.</w:t>
      </w:r>
    </w:p>
    <w:p w:rsidR="00797D91" w:rsidRPr="00847D03" w:rsidRDefault="00797D91" w:rsidP="00797D91">
      <w:pPr>
        <w:pStyle w:val="SingleTxtG"/>
        <w:suppressAutoHyphens/>
        <w:rPr>
          <w:snapToGrid w:val="0"/>
        </w:rPr>
      </w:pPr>
      <w:r w:rsidRPr="00847D03">
        <w:rPr>
          <w:snapToGrid w:val="0"/>
        </w:rPr>
        <w:t>4.</w:t>
      </w:r>
      <w:r w:rsidRPr="00847D03">
        <w:rPr>
          <w:snapToGrid w:val="0"/>
        </w:rPr>
        <w:tab/>
        <w:t>Con arreglo al Código Proce</w:t>
      </w:r>
      <w:r>
        <w:rPr>
          <w:snapToGrid w:val="0"/>
        </w:rPr>
        <w:t xml:space="preserve">sal </w:t>
      </w:r>
      <w:r w:rsidRPr="00847D03">
        <w:rPr>
          <w:snapToGrid w:val="0"/>
        </w:rPr>
        <w:t>Penal, adoptado en 2002, la supervisión judicial corre a cargo de los jueces de ejecución</w:t>
      </w:r>
      <w:r>
        <w:rPr>
          <w:snapToGrid w:val="0"/>
        </w:rPr>
        <w:t xml:space="preserve">. </w:t>
      </w:r>
      <w:r w:rsidRPr="00847D03">
        <w:rPr>
          <w:snapToGrid w:val="0"/>
        </w:rPr>
        <w:t xml:space="preserve">Son los encargados de velar por el cumplimiento de las condenas, </w:t>
      </w:r>
      <w:r>
        <w:rPr>
          <w:snapToGrid w:val="0"/>
        </w:rPr>
        <w:t xml:space="preserve">según </w:t>
      </w:r>
      <w:r w:rsidRPr="00847D03">
        <w:rPr>
          <w:snapToGrid w:val="0"/>
        </w:rPr>
        <w:t>lo dispuesto por la ley</w:t>
      </w:r>
      <w:r>
        <w:rPr>
          <w:snapToGrid w:val="0"/>
        </w:rPr>
        <w:t>,</w:t>
      </w:r>
      <w:r w:rsidRPr="00847D03">
        <w:rPr>
          <w:snapToGrid w:val="0"/>
        </w:rPr>
        <w:t xml:space="preserve"> y por </w:t>
      </w:r>
      <w:r>
        <w:rPr>
          <w:snapToGrid w:val="0"/>
        </w:rPr>
        <w:t>el</w:t>
      </w:r>
      <w:r w:rsidRPr="00847D03">
        <w:rPr>
          <w:snapToGrid w:val="0"/>
        </w:rPr>
        <w:t xml:space="preserve"> respeto de los derechos fundamentales de los detenidos</w:t>
      </w:r>
      <w:r>
        <w:rPr>
          <w:snapToGrid w:val="0"/>
        </w:rPr>
        <w:t xml:space="preserve">. </w:t>
      </w:r>
      <w:r w:rsidRPr="00847D03">
        <w:rPr>
          <w:snapToGrid w:val="0"/>
        </w:rPr>
        <w:t>El país cuenta con 25 jueces especializados que atienden a los 24 centros de detención nacionales.</w:t>
      </w:r>
    </w:p>
    <w:p w:rsidR="00797D91" w:rsidRPr="00847D03" w:rsidRDefault="00797D91" w:rsidP="00797D91">
      <w:pPr>
        <w:pStyle w:val="SingleTxtG"/>
        <w:suppressAutoHyphens/>
        <w:rPr>
          <w:snapToGrid w:val="0"/>
        </w:rPr>
      </w:pPr>
      <w:r w:rsidRPr="00847D03">
        <w:rPr>
          <w:snapToGrid w:val="0"/>
        </w:rPr>
        <w:t>5.</w:t>
      </w:r>
      <w:r w:rsidRPr="00847D03">
        <w:rPr>
          <w:snapToGrid w:val="0"/>
        </w:rPr>
        <w:tab/>
        <w:t>El artículo 323 de la Constitución dispone que ningún funcionario está obligado a cumplir órdenes ilegales o que impliquen la comisión de delitos</w:t>
      </w:r>
      <w:r>
        <w:rPr>
          <w:snapToGrid w:val="0"/>
        </w:rPr>
        <w:t xml:space="preserve">. </w:t>
      </w:r>
      <w:r w:rsidRPr="00847D03">
        <w:rPr>
          <w:snapToGrid w:val="0"/>
        </w:rPr>
        <w:t xml:space="preserve">El artículo 24 del Código Penal </w:t>
      </w:r>
      <w:r>
        <w:rPr>
          <w:snapToGrid w:val="0"/>
        </w:rPr>
        <w:t>prevé</w:t>
      </w:r>
      <w:r w:rsidRPr="00847D03">
        <w:rPr>
          <w:snapToGrid w:val="0"/>
        </w:rPr>
        <w:t xml:space="preserve"> la concurrencia de tres requisitos para invocar </w:t>
      </w:r>
      <w:r>
        <w:rPr>
          <w:snapToGrid w:val="0"/>
        </w:rPr>
        <w:t xml:space="preserve">como justificación </w:t>
      </w:r>
      <w:r w:rsidRPr="00847D03">
        <w:rPr>
          <w:snapToGrid w:val="0"/>
        </w:rPr>
        <w:t>la obediencia a la orden de un superior</w:t>
      </w:r>
      <w:r>
        <w:rPr>
          <w:snapToGrid w:val="0"/>
        </w:rPr>
        <w:t xml:space="preserve">: que la orden emane de </w:t>
      </w:r>
      <w:r w:rsidRPr="00847D03">
        <w:rPr>
          <w:snapToGrid w:val="0"/>
        </w:rPr>
        <w:t>autoridad competente, que el agente tenga la obligación de cumplirla como parte de sus competencias oficiales y que la orden no viole el ejercicio de los derechos y garantías consagrados en la Constitución y en los tratados internacionales</w:t>
      </w:r>
      <w:r>
        <w:rPr>
          <w:snapToGrid w:val="0"/>
        </w:rPr>
        <w:t xml:space="preserve">. </w:t>
      </w:r>
      <w:r w:rsidRPr="00847D03">
        <w:rPr>
          <w:snapToGrid w:val="0"/>
        </w:rPr>
        <w:t>Además, el artícul</w:t>
      </w:r>
      <w:r>
        <w:rPr>
          <w:snapToGrid w:val="0"/>
        </w:rPr>
        <w:t xml:space="preserve">o </w:t>
      </w:r>
      <w:r w:rsidRPr="00847D03">
        <w:rPr>
          <w:snapToGrid w:val="0"/>
        </w:rPr>
        <w:t>22 de la Ley de la policía prohíbe expresamente a los funcionarios policiales acatar órdenes que sean contrarias a la ley o que entrañen una violación de los derechos humanos y hayan mediado torturas</w:t>
      </w:r>
      <w:r>
        <w:rPr>
          <w:snapToGrid w:val="0"/>
        </w:rPr>
        <w:t xml:space="preserve">. </w:t>
      </w:r>
      <w:r w:rsidRPr="00847D03">
        <w:rPr>
          <w:snapToGrid w:val="0"/>
        </w:rPr>
        <w:t xml:space="preserve">De ahí que no quepa la posibilidad de invocar la obediencia debida a </w:t>
      </w:r>
      <w:r>
        <w:rPr>
          <w:snapToGrid w:val="0"/>
        </w:rPr>
        <w:t>la</w:t>
      </w:r>
      <w:r w:rsidRPr="00847D03">
        <w:rPr>
          <w:snapToGrid w:val="0"/>
        </w:rPr>
        <w:t xml:space="preserve"> orden de un superior como justificación para la tortura.</w:t>
      </w:r>
    </w:p>
    <w:p w:rsidR="00797D91" w:rsidRPr="00847D03" w:rsidRDefault="00797D91" w:rsidP="00797D91">
      <w:pPr>
        <w:pStyle w:val="SingleTxtG"/>
        <w:suppressAutoHyphens/>
        <w:rPr>
          <w:snapToGrid w:val="0"/>
        </w:rPr>
      </w:pPr>
      <w:r>
        <w:rPr>
          <w:snapToGrid w:val="0"/>
        </w:rPr>
        <w:t>6.</w:t>
      </w:r>
      <w:r>
        <w:rPr>
          <w:snapToGrid w:val="0"/>
        </w:rPr>
        <w:tab/>
        <w:t xml:space="preserve">Según el </w:t>
      </w:r>
      <w:r w:rsidRPr="00847D03">
        <w:rPr>
          <w:snapToGrid w:val="0"/>
        </w:rPr>
        <w:t>Código Penal, la libertad antes del juicio es la regla general y la detención preventiva la excepción</w:t>
      </w:r>
      <w:r>
        <w:rPr>
          <w:snapToGrid w:val="0"/>
        </w:rPr>
        <w:t xml:space="preserve">. </w:t>
      </w:r>
      <w:r w:rsidRPr="00847D03">
        <w:rPr>
          <w:snapToGrid w:val="0"/>
        </w:rPr>
        <w:t xml:space="preserve">En términos generales, el período máximo de detención preventiva es de </w:t>
      </w:r>
      <w:r w:rsidR="006E7247">
        <w:rPr>
          <w:snapToGrid w:val="0"/>
        </w:rPr>
        <w:t>1</w:t>
      </w:r>
      <w:r w:rsidRPr="00847D03">
        <w:rPr>
          <w:snapToGrid w:val="0"/>
        </w:rPr>
        <w:t xml:space="preserve"> año, pero podría ser de </w:t>
      </w:r>
      <w:r w:rsidR="006E7247">
        <w:rPr>
          <w:snapToGrid w:val="0"/>
        </w:rPr>
        <w:t>2</w:t>
      </w:r>
      <w:r w:rsidRPr="00847D03">
        <w:rPr>
          <w:snapToGrid w:val="0"/>
        </w:rPr>
        <w:t xml:space="preserve"> si el detenido está a</w:t>
      </w:r>
      <w:r>
        <w:rPr>
          <w:snapToGrid w:val="0"/>
        </w:rPr>
        <w:t>cusado de un delito que conlleve</w:t>
      </w:r>
      <w:r w:rsidRPr="00847D03">
        <w:rPr>
          <w:snapToGrid w:val="0"/>
        </w:rPr>
        <w:t xml:space="preserve"> una pena de cárcel de </w:t>
      </w:r>
      <w:r w:rsidR="006E7247">
        <w:rPr>
          <w:snapToGrid w:val="0"/>
        </w:rPr>
        <w:t>6</w:t>
      </w:r>
      <w:r w:rsidRPr="00847D03">
        <w:rPr>
          <w:snapToGrid w:val="0"/>
        </w:rPr>
        <w:t xml:space="preserve"> años o más</w:t>
      </w:r>
      <w:r>
        <w:rPr>
          <w:snapToGrid w:val="0"/>
        </w:rPr>
        <w:t xml:space="preserve">. </w:t>
      </w:r>
      <w:r w:rsidRPr="00847D03">
        <w:rPr>
          <w:snapToGrid w:val="0"/>
        </w:rPr>
        <w:t xml:space="preserve">Se puede prorrogar </w:t>
      </w:r>
      <w:r w:rsidR="006E7247">
        <w:rPr>
          <w:snapToGrid w:val="0"/>
        </w:rPr>
        <w:t>6</w:t>
      </w:r>
      <w:r w:rsidRPr="00847D03">
        <w:rPr>
          <w:snapToGrid w:val="0"/>
        </w:rPr>
        <w:t xml:space="preserve"> meses más en los casos más complejos en que se necesita más tiempo para </w:t>
      </w:r>
      <w:r>
        <w:rPr>
          <w:snapToGrid w:val="0"/>
        </w:rPr>
        <w:t>reunir</w:t>
      </w:r>
      <w:r w:rsidRPr="00847D03">
        <w:rPr>
          <w:snapToGrid w:val="0"/>
        </w:rPr>
        <w:t xml:space="preserve"> las pruebas, pero solo con la autorización </w:t>
      </w:r>
      <w:r>
        <w:rPr>
          <w:snapToGrid w:val="0"/>
        </w:rPr>
        <w:t xml:space="preserve">de la Corte </w:t>
      </w:r>
      <w:r w:rsidRPr="00847D03">
        <w:rPr>
          <w:snapToGrid w:val="0"/>
        </w:rPr>
        <w:t>Suprem</w:t>
      </w:r>
      <w:r>
        <w:rPr>
          <w:snapToGrid w:val="0"/>
        </w:rPr>
        <w:t xml:space="preserve">a de Justicia. </w:t>
      </w:r>
      <w:r w:rsidRPr="00847D03">
        <w:rPr>
          <w:snapToGrid w:val="0"/>
        </w:rPr>
        <w:t>Los mayores de 60 años, las mujeres embarazadas o lactantes y los enfermos terminales no pueden ser sometidos a detención preventiva.</w:t>
      </w:r>
    </w:p>
    <w:p w:rsidR="00797D91" w:rsidRPr="00847D03" w:rsidRDefault="00797D91" w:rsidP="00797D91">
      <w:pPr>
        <w:pStyle w:val="SingleTxtG"/>
        <w:suppressAutoHyphens/>
        <w:rPr>
          <w:snapToGrid w:val="0"/>
        </w:rPr>
      </w:pPr>
      <w:r w:rsidRPr="00847D03">
        <w:rPr>
          <w:snapToGrid w:val="0"/>
        </w:rPr>
        <w:t>7.</w:t>
      </w:r>
      <w:r w:rsidRPr="00847D03">
        <w:rPr>
          <w:snapToGrid w:val="0"/>
        </w:rPr>
        <w:tab/>
        <w:t>La detención preventiva puede ser ordenada por el fiscal como una medida temporal a fin de impedir la huida de la persona acusada de un delito</w:t>
      </w:r>
      <w:r>
        <w:rPr>
          <w:snapToGrid w:val="0"/>
        </w:rPr>
        <w:t xml:space="preserve">. </w:t>
      </w:r>
      <w:r w:rsidRPr="00847D03">
        <w:rPr>
          <w:snapToGrid w:val="0"/>
        </w:rPr>
        <w:t>Cualquier persona en situación de detención preventiva debe ser llevada ante un juez en el plazo de 24 horas</w:t>
      </w:r>
      <w:r>
        <w:rPr>
          <w:snapToGrid w:val="0"/>
        </w:rPr>
        <w:t xml:space="preserve">. </w:t>
      </w:r>
      <w:r w:rsidRPr="00847D03">
        <w:rPr>
          <w:snapToGrid w:val="0"/>
        </w:rPr>
        <w:t xml:space="preserve">La detención judicial solo puede ser ordenada por un juez y por un plazo máximo de </w:t>
      </w:r>
      <w:r w:rsidR="006E7247">
        <w:rPr>
          <w:snapToGrid w:val="0"/>
        </w:rPr>
        <w:t>6</w:t>
      </w:r>
      <w:r w:rsidRPr="00847D03">
        <w:rPr>
          <w:snapToGrid w:val="0"/>
        </w:rPr>
        <w:t xml:space="preserve"> días, en los casos en que exista el peligro de huida o de obstrucción a la justicia</w:t>
      </w:r>
      <w:r>
        <w:rPr>
          <w:snapToGrid w:val="0"/>
        </w:rPr>
        <w:t xml:space="preserve">. </w:t>
      </w:r>
      <w:r w:rsidRPr="00847D03">
        <w:rPr>
          <w:snapToGrid w:val="0"/>
        </w:rPr>
        <w:t>En la actualidad, hay 10.700 personas encarceladas en Honduras; el 51% cumple condena y el 49% está en situación de detención preventiva.</w:t>
      </w:r>
    </w:p>
    <w:p w:rsidR="00797D91" w:rsidRPr="00847D03" w:rsidRDefault="00797D91" w:rsidP="00797D91">
      <w:pPr>
        <w:pStyle w:val="SingleTxtG"/>
        <w:suppressAutoHyphens/>
        <w:rPr>
          <w:snapToGrid w:val="0"/>
        </w:rPr>
      </w:pPr>
      <w:r w:rsidRPr="00847D03">
        <w:rPr>
          <w:snapToGrid w:val="0"/>
        </w:rPr>
        <w:t>8.</w:t>
      </w:r>
      <w:r w:rsidRPr="00847D03">
        <w:rPr>
          <w:snapToGrid w:val="0"/>
        </w:rPr>
        <w:tab/>
        <w:t>La Constitución establece que el Estado debe garantizar asistencia letrada a las personas que lo necesiten</w:t>
      </w:r>
      <w:r>
        <w:rPr>
          <w:snapToGrid w:val="0"/>
        </w:rPr>
        <w:t xml:space="preserve">. </w:t>
      </w:r>
      <w:r w:rsidRPr="00847D03">
        <w:rPr>
          <w:snapToGrid w:val="0"/>
        </w:rPr>
        <w:t>Por ello, los acusados de un delito penal que no pueden pagar a un abogado privado están representados por uno de los 241 defensores públicos que existen en la actualidad</w:t>
      </w:r>
      <w:r>
        <w:rPr>
          <w:snapToGrid w:val="0"/>
        </w:rPr>
        <w:t xml:space="preserve">. Esta circunstancia se da </w:t>
      </w:r>
      <w:r w:rsidRPr="00847D03">
        <w:rPr>
          <w:snapToGrid w:val="0"/>
        </w:rPr>
        <w:t>en un 70% aproximadamente de todos los casos penales.</w:t>
      </w:r>
    </w:p>
    <w:p w:rsidR="00797D91" w:rsidRPr="00847D03" w:rsidRDefault="00797D91" w:rsidP="00797D91">
      <w:pPr>
        <w:pStyle w:val="SingleTxtG"/>
        <w:suppressAutoHyphens/>
        <w:rPr>
          <w:snapToGrid w:val="0"/>
        </w:rPr>
      </w:pPr>
      <w:r w:rsidRPr="00847D03">
        <w:rPr>
          <w:snapToGrid w:val="0"/>
        </w:rPr>
        <w:t>9.</w:t>
      </w:r>
      <w:r w:rsidRPr="00847D03">
        <w:rPr>
          <w:snapToGrid w:val="0"/>
        </w:rPr>
        <w:tab/>
        <w:t>En cuanto a las preguntas relativas a la Corte Suprema de Justicia y al Tribunal Supremo Electoral, no existen duplicaciones ni conflictos en sus funciones</w:t>
      </w:r>
      <w:r>
        <w:rPr>
          <w:snapToGrid w:val="0"/>
        </w:rPr>
        <w:t xml:space="preserve">. </w:t>
      </w:r>
      <w:r w:rsidRPr="00847D03">
        <w:rPr>
          <w:snapToGrid w:val="0"/>
        </w:rPr>
        <w:t xml:space="preserve">Ambas instituciones tienen derecho a redactar y presentar </w:t>
      </w:r>
      <w:r>
        <w:rPr>
          <w:snapToGrid w:val="0"/>
        </w:rPr>
        <w:t>al órgano legislativo los proyectos de ley</w:t>
      </w:r>
      <w:r w:rsidRPr="00847D03">
        <w:rPr>
          <w:snapToGrid w:val="0"/>
        </w:rPr>
        <w:t xml:space="preserve"> relativos a cuestiones de su competencia, pero en la práctica rara vez utilizan esa prerrogativa.</w:t>
      </w:r>
    </w:p>
    <w:p w:rsidR="00797D91" w:rsidRPr="00847D03" w:rsidRDefault="00797D91" w:rsidP="00797D91">
      <w:pPr>
        <w:pStyle w:val="SingleTxtG"/>
        <w:suppressAutoHyphens/>
        <w:rPr>
          <w:snapToGrid w:val="0"/>
        </w:rPr>
      </w:pPr>
      <w:r w:rsidRPr="00847D03">
        <w:rPr>
          <w:snapToGrid w:val="0"/>
        </w:rPr>
        <w:t>10.</w:t>
      </w:r>
      <w:r w:rsidRPr="00847D03">
        <w:rPr>
          <w:snapToGrid w:val="0"/>
        </w:rPr>
        <w:tab/>
        <w:t>Se ha presentado ante el Congreso un proyecto de ley para crear un consejo judicial nacional</w:t>
      </w:r>
      <w:r>
        <w:rPr>
          <w:snapToGrid w:val="0"/>
        </w:rPr>
        <w:t xml:space="preserve">. </w:t>
      </w:r>
      <w:r w:rsidRPr="00847D03">
        <w:rPr>
          <w:snapToGrid w:val="0"/>
        </w:rPr>
        <w:t>Se ha considerado necesario</w:t>
      </w:r>
      <w:r>
        <w:rPr>
          <w:snapToGrid w:val="0"/>
        </w:rPr>
        <w:t>,</w:t>
      </w:r>
      <w:r w:rsidRPr="00847D03">
        <w:rPr>
          <w:snapToGrid w:val="0"/>
        </w:rPr>
        <w:t xml:space="preserve"> a fin de potenciar la eficacia de la judicatura y </w:t>
      </w:r>
      <w:r>
        <w:rPr>
          <w:snapToGrid w:val="0"/>
        </w:rPr>
        <w:t xml:space="preserve">de </w:t>
      </w:r>
      <w:r w:rsidRPr="00847D03">
        <w:rPr>
          <w:snapToGrid w:val="0"/>
        </w:rPr>
        <w:t>descentralizar una serie de funciones administrativas.</w:t>
      </w:r>
    </w:p>
    <w:p w:rsidR="00797D91" w:rsidRDefault="00797D91" w:rsidP="00797D91">
      <w:pPr>
        <w:pStyle w:val="SingleTxtG"/>
        <w:suppressAutoHyphens/>
        <w:jc w:val="left"/>
        <w:rPr>
          <w:snapToGrid w:val="0"/>
        </w:rPr>
      </w:pPr>
      <w:r w:rsidRPr="00847D03">
        <w:rPr>
          <w:snapToGrid w:val="0"/>
        </w:rPr>
        <w:t>11.</w:t>
      </w:r>
      <w:r w:rsidRPr="00847D03">
        <w:rPr>
          <w:snapToGrid w:val="0"/>
        </w:rPr>
        <w:tab/>
        <w:t xml:space="preserve">En cuanto el derecho de hábeas corpus, la Constitución prevé la restricción o suspensión de algunos derechos en determinadas circunstancias </w:t>
      </w:r>
      <w:r>
        <w:rPr>
          <w:snapToGrid w:val="0"/>
        </w:rPr>
        <w:t>de carácter extraordinario</w:t>
      </w:r>
      <w:r w:rsidRPr="00847D03">
        <w:rPr>
          <w:snapToGrid w:val="0"/>
        </w:rPr>
        <w:t xml:space="preserve"> y con sujeción a ciertas condiciones, pero </w:t>
      </w:r>
      <w:r>
        <w:rPr>
          <w:snapToGrid w:val="0"/>
        </w:rPr>
        <w:t>el derecho al hábeas corpus no puede suspenderse en ningún caso.</w:t>
      </w:r>
    </w:p>
    <w:p w:rsidR="00797D91" w:rsidRPr="00582C40" w:rsidRDefault="00797D91" w:rsidP="00797D91">
      <w:pPr>
        <w:pStyle w:val="SingleTxtG"/>
        <w:suppressAutoHyphens/>
      </w:pPr>
      <w:r w:rsidRPr="00582C40">
        <w:t>12.</w:t>
      </w:r>
      <w:r w:rsidRPr="00582C40">
        <w:tab/>
        <w:t xml:space="preserve">El </w:t>
      </w:r>
      <w:r w:rsidRPr="00582C40">
        <w:rPr>
          <w:b/>
        </w:rPr>
        <w:t xml:space="preserve">Sr. Custodio López </w:t>
      </w:r>
      <w:r w:rsidRPr="00582C40">
        <w:t xml:space="preserve">(Honduras) dice que </w:t>
      </w:r>
      <w:r>
        <w:t>se guarda</w:t>
      </w:r>
      <w:r w:rsidRPr="00582C40">
        <w:t xml:space="preserve"> constancia de todas las visitas a los centros de detención y que los datos se almacenan en la base de datos de la Oficina del Comisionado Nacional de los Derechos Humanos</w:t>
      </w:r>
      <w:r>
        <w:t xml:space="preserve">. </w:t>
      </w:r>
      <w:r w:rsidRPr="00582C40">
        <w:t>Se informa a las autoridades competentes de cualquier denuncia o irregularidad y deben responder en el plazo de diez días</w:t>
      </w:r>
      <w:r>
        <w:t xml:space="preserve">. </w:t>
      </w:r>
      <w:r w:rsidRPr="00582C40">
        <w:t>En términos generales, los resultados obtenidos han sido satisfactorios.</w:t>
      </w:r>
    </w:p>
    <w:p w:rsidR="00797D91" w:rsidRPr="00582C40" w:rsidRDefault="00797D91" w:rsidP="00797D91">
      <w:pPr>
        <w:pStyle w:val="SingleTxtG"/>
        <w:suppressAutoHyphens/>
      </w:pPr>
      <w:r w:rsidRPr="00582C40">
        <w:t>13.</w:t>
      </w:r>
      <w:r w:rsidRPr="00582C40">
        <w:tab/>
        <w:t xml:space="preserve">En cuanto al Programa de Reacción Inmediata y su línea telefónica </w:t>
      </w:r>
      <w:r>
        <w:t xml:space="preserve">de asistencia </w:t>
      </w:r>
      <w:r w:rsidRPr="00582C40">
        <w:t>de 24 horas, el promedio de denuncias recibidas se eleva a 125 al año</w:t>
      </w:r>
      <w:r>
        <w:t xml:space="preserve">. </w:t>
      </w:r>
      <w:r w:rsidRPr="00582C40">
        <w:t>La mayoría se refieren a casos de violencia doméstica o de detención ilegal</w:t>
      </w:r>
      <w:r>
        <w:t xml:space="preserve">. </w:t>
      </w:r>
      <w:r w:rsidRPr="00582C40">
        <w:t>El personal que atiende la línea telefónica, en su mayoría estudiantes de derecho, está capacitado para responder a las situaciones de crisis y ayudar a los que llaman a resolver los problemas jurídicos</w:t>
      </w:r>
      <w:r>
        <w:t xml:space="preserve">. </w:t>
      </w:r>
      <w:r w:rsidRPr="00582C40">
        <w:t xml:space="preserve">Por lo que hace </w:t>
      </w:r>
      <w:r>
        <w:t xml:space="preserve">a </w:t>
      </w:r>
      <w:r w:rsidRPr="00582C40">
        <w:t xml:space="preserve">saber si </w:t>
      </w:r>
      <w:r>
        <w:t xml:space="preserve">se estima que </w:t>
      </w:r>
      <w:r w:rsidRPr="00582C40">
        <w:t>el programa es</w:t>
      </w:r>
      <w:r>
        <w:t xml:space="preserve"> </w:t>
      </w:r>
      <w:r w:rsidRPr="00582C40">
        <w:t>eficaz, 125 casos al año pueden no parecer demasiado</w:t>
      </w:r>
      <w:r>
        <w:t>s</w:t>
      </w:r>
      <w:r w:rsidRPr="00582C40">
        <w:t>, pero los casos de derechos humanos son complejos y su solución a menudo requiere un tiempo considerable</w:t>
      </w:r>
      <w:r>
        <w:t xml:space="preserve">. </w:t>
      </w:r>
      <w:r w:rsidRPr="00582C40">
        <w:t>A su juicio, sin embargo, aunque el pro</w:t>
      </w:r>
      <w:r>
        <w:t xml:space="preserve">grama </w:t>
      </w:r>
      <w:r w:rsidRPr="00582C40">
        <w:t>solo haya ayudado a una persona en situación de crisis, ha valido la pena.</w:t>
      </w:r>
    </w:p>
    <w:p w:rsidR="00797D91" w:rsidRPr="00582C40" w:rsidRDefault="00797D91" w:rsidP="00797D91">
      <w:pPr>
        <w:pStyle w:val="SingleTxtG"/>
        <w:suppressAutoHyphens/>
      </w:pPr>
      <w:r w:rsidRPr="00582C40">
        <w:t>14.</w:t>
      </w:r>
      <w:r w:rsidRPr="00582C40">
        <w:tab/>
        <w:t xml:space="preserve">El </w:t>
      </w:r>
      <w:r w:rsidRPr="00582C40">
        <w:rPr>
          <w:b/>
        </w:rPr>
        <w:t>Sr. Urtecho</w:t>
      </w:r>
      <w:r w:rsidRPr="00582C40">
        <w:t xml:space="preserve"> (Honduras) señala que, de conformidad con la Convención y con el Estatuto de Roma del que es parte también Honduras, los delitos de tortura en el país son imprescriptibles</w:t>
      </w:r>
      <w:r>
        <w:t xml:space="preserve">. </w:t>
      </w:r>
      <w:r w:rsidRPr="00582C40">
        <w:t>El Código Procesal Penal ofrece garantías a las personas que presentan denuncias contra la Dirección General de Policía Preventiva u otros funcionarios encargados de velar por el cumplimiento de la ley</w:t>
      </w:r>
      <w:r>
        <w:t xml:space="preserve">. </w:t>
      </w:r>
      <w:r w:rsidRPr="00582C40">
        <w:t>En la Ley de protección de testigos se establece</w:t>
      </w:r>
      <w:r>
        <w:t>n</w:t>
      </w:r>
      <w:r w:rsidRPr="00582C40">
        <w:t xml:space="preserve"> salvaguardias para estos; sin embargo no ha sido posible ponerla en vigor debido a la falta de recursos</w:t>
      </w:r>
      <w:r>
        <w:t xml:space="preserve">. </w:t>
      </w:r>
      <w:r w:rsidRPr="00582C40">
        <w:t xml:space="preserve">Por lo que hace a los </w:t>
      </w:r>
      <w:r>
        <w:t>femicidios</w:t>
      </w:r>
      <w:r w:rsidRPr="00582C40">
        <w:t xml:space="preserve">, el ministerio público ha creado una Unidad Especial </w:t>
      </w:r>
      <w:r>
        <w:t xml:space="preserve">de Investigación </w:t>
      </w:r>
      <w:r w:rsidR="00260F37">
        <w:t>de muerte violenta de mujeres</w:t>
      </w:r>
      <w:r>
        <w:t xml:space="preserve">. </w:t>
      </w:r>
      <w:r w:rsidRPr="00582C40">
        <w:t xml:space="preserve">Su plantilla </w:t>
      </w:r>
      <w:r>
        <w:t xml:space="preserve">está compuesta por </w:t>
      </w:r>
      <w:r w:rsidRPr="00582C40">
        <w:t>27</w:t>
      </w:r>
      <w:r>
        <w:t xml:space="preserve"> </w:t>
      </w:r>
      <w:r w:rsidRPr="00582C40">
        <w:t>fiscales, y se ha resuelto el 100% de los casos investigados y condenado a sus autores.</w:t>
      </w:r>
    </w:p>
    <w:p w:rsidR="00797D91" w:rsidRPr="00582C40" w:rsidRDefault="00797D91" w:rsidP="00797D91">
      <w:pPr>
        <w:pStyle w:val="SingleTxtG"/>
        <w:suppressAutoHyphens/>
      </w:pPr>
      <w:r w:rsidRPr="00582C40">
        <w:t>15.</w:t>
      </w:r>
      <w:r w:rsidRPr="00582C40">
        <w:tab/>
        <w:t xml:space="preserve">La </w:t>
      </w:r>
      <w:r w:rsidRPr="00582C40">
        <w:rPr>
          <w:b/>
        </w:rPr>
        <w:t>Sra. Ponce</w:t>
      </w:r>
      <w:r w:rsidRPr="00582C40">
        <w:t xml:space="preserve"> (Honduras) dice que la </w:t>
      </w:r>
      <w:r>
        <w:t>Fiscalía Especial</w:t>
      </w:r>
      <w:r w:rsidRPr="00582C40">
        <w:t xml:space="preserve"> de Derechos Humanos, e</w:t>
      </w:r>
      <w:r>
        <w:t>n</w:t>
      </w:r>
      <w:r w:rsidRPr="00582C40">
        <w:t xml:space="preserve"> </w:t>
      </w:r>
      <w:r>
        <w:t xml:space="preserve">colaboración </w:t>
      </w:r>
      <w:r w:rsidRPr="00582C40">
        <w:t xml:space="preserve">una </w:t>
      </w:r>
      <w:r>
        <w:t xml:space="preserve">organización no gubernamental </w:t>
      </w:r>
      <w:r w:rsidR="00260F37">
        <w:t>(</w:t>
      </w:r>
      <w:r w:rsidRPr="00582C40">
        <w:t>ONG</w:t>
      </w:r>
      <w:r w:rsidR="00260F37">
        <w:t>)</w:t>
      </w:r>
      <w:r w:rsidRPr="00582C40">
        <w:t>, lleva a cabo visitas semanales a los centros de detención</w:t>
      </w:r>
      <w:r w:rsidR="00260F37">
        <w:t>,</w:t>
      </w:r>
      <w:r w:rsidRPr="00582C40">
        <w:t xml:space="preserve"> con objeto de identificar las violaciones de los derechos humanos y comprobar </w:t>
      </w:r>
      <w:r>
        <w:t>si</w:t>
      </w:r>
      <w:r w:rsidRPr="00582C40">
        <w:t xml:space="preserve"> los detenidos no han sido privados ilegalmente de libertad</w:t>
      </w:r>
      <w:r>
        <w:t xml:space="preserve">. </w:t>
      </w:r>
      <w:r w:rsidRPr="00582C40">
        <w:t xml:space="preserve">No cuenta con estadísticas sobre </w:t>
      </w:r>
      <w:r>
        <w:t>e</w:t>
      </w:r>
      <w:r w:rsidRPr="00582C40">
        <w:t>l número de visitas realizadas</w:t>
      </w:r>
      <w:r>
        <w:t>,</w:t>
      </w:r>
      <w:r w:rsidRPr="00582C40">
        <w:t xml:space="preserve"> pero se compromete a </w:t>
      </w:r>
      <w:r>
        <w:t xml:space="preserve">comunicar </w:t>
      </w:r>
      <w:r w:rsidRPr="00582C40">
        <w:t xml:space="preserve">esa información </w:t>
      </w:r>
      <w:r>
        <w:t xml:space="preserve">por conducto </w:t>
      </w:r>
      <w:r w:rsidRPr="00582C40">
        <w:t>de la Misión Permanente de su país</w:t>
      </w:r>
      <w:r>
        <w:t xml:space="preserve">. </w:t>
      </w:r>
      <w:r w:rsidRPr="00582C40">
        <w:t>Esas visitas han demostrado la necesidad de revisar la Ley de policía y convivencia social, que regula los mecanismos de detención.</w:t>
      </w:r>
    </w:p>
    <w:p w:rsidR="00797D91" w:rsidRPr="00582C40" w:rsidRDefault="00797D91" w:rsidP="00797D91">
      <w:pPr>
        <w:pStyle w:val="SingleTxtG"/>
        <w:suppressAutoHyphens/>
      </w:pPr>
      <w:r w:rsidRPr="00582C40">
        <w:t>16.</w:t>
      </w:r>
      <w:r w:rsidRPr="00582C40">
        <w:tab/>
        <w:t>La oradora admite el retraso en la solución de los casos de desaparición forzada, en especial por lo que hace al procedimiento penal</w:t>
      </w:r>
      <w:r>
        <w:t xml:space="preserve">. </w:t>
      </w:r>
      <w:r w:rsidRPr="00582C40">
        <w:t xml:space="preserve">Se han realizado ciertos progresos en la </w:t>
      </w:r>
      <w:r>
        <w:t xml:space="preserve">obtención </w:t>
      </w:r>
      <w:r w:rsidRPr="00582C40">
        <w:t>de una reparación civil para las víctimas</w:t>
      </w:r>
      <w:r>
        <w:t xml:space="preserve">. </w:t>
      </w:r>
      <w:r w:rsidRPr="00582C40">
        <w:t xml:space="preserve">Su </w:t>
      </w:r>
      <w:r w:rsidR="00260F37">
        <w:t>G</w:t>
      </w:r>
      <w:r w:rsidRPr="00582C40">
        <w:t>obierno ha creado un fondo especial de indemnización a esos efectos y hasta la fecha se ha concedido reparación a unos 30 casos</w:t>
      </w:r>
      <w:r>
        <w:t xml:space="preserve">. </w:t>
      </w:r>
      <w:r w:rsidRPr="00582C40">
        <w:t>Uno de los principales obstáculos para el enjuiciamiento penal de es</w:t>
      </w:r>
      <w:r>
        <w:t>t</w:t>
      </w:r>
      <w:r w:rsidRPr="00582C40">
        <w:t xml:space="preserve">os </w:t>
      </w:r>
      <w:r>
        <w:t xml:space="preserve">delitos </w:t>
      </w:r>
      <w:r w:rsidRPr="00582C40">
        <w:t>reside en que las desapariciones forzadas no están tipificadas en el Código Penal</w:t>
      </w:r>
      <w:r>
        <w:t xml:space="preserve">. </w:t>
      </w:r>
      <w:r w:rsidRPr="00582C40">
        <w:t>El ministerio público está presionando para modificar el Código</w:t>
      </w:r>
      <w:r>
        <w:t>,</w:t>
      </w:r>
      <w:r w:rsidRPr="00582C40">
        <w:t xml:space="preserve"> con objeto de rectificar esa situación.</w:t>
      </w:r>
    </w:p>
    <w:p w:rsidR="00797D91" w:rsidRPr="00582C40" w:rsidRDefault="00797D91" w:rsidP="00797D91">
      <w:pPr>
        <w:pStyle w:val="SingleTxtG"/>
        <w:suppressAutoHyphens/>
      </w:pPr>
      <w:r w:rsidRPr="00582C40">
        <w:t>17.</w:t>
      </w:r>
      <w:r w:rsidRPr="00582C40">
        <w:tab/>
        <w:t xml:space="preserve">Entre tanto, la </w:t>
      </w:r>
      <w:r>
        <w:t>Fiscalía</w:t>
      </w:r>
      <w:r w:rsidRPr="00582C40">
        <w:t xml:space="preserve"> Especial de Derechos Humanos está tratando de </w:t>
      </w:r>
      <w:r>
        <w:t xml:space="preserve">someter a la acción de la justicia </w:t>
      </w:r>
      <w:r w:rsidRPr="00582C40">
        <w:t xml:space="preserve">los casos de desaparición forzada </w:t>
      </w:r>
      <w:r>
        <w:t xml:space="preserve">enmarcándolos en </w:t>
      </w:r>
      <w:r w:rsidRPr="00582C40">
        <w:t>otros delitos, como la detención ilegal o el asesinato</w:t>
      </w:r>
      <w:r>
        <w:t xml:space="preserve">. </w:t>
      </w:r>
      <w:r w:rsidRPr="00582C40">
        <w:t xml:space="preserve">Para ello, está actualizando la información sobre las víctimas y creando una base de datos genéticos que contiene </w:t>
      </w:r>
      <w:r>
        <w:t>muestras biológicas</w:t>
      </w:r>
      <w:r w:rsidRPr="00582C40">
        <w:t xml:space="preserve"> de </w:t>
      </w:r>
      <w:r>
        <w:t xml:space="preserve">sus </w:t>
      </w:r>
      <w:r w:rsidRPr="00582C40">
        <w:t>familia</w:t>
      </w:r>
      <w:r>
        <w:t>re</w:t>
      </w:r>
      <w:r w:rsidRPr="00582C40">
        <w:t xml:space="preserve">s </w:t>
      </w:r>
      <w:r>
        <w:t xml:space="preserve">a fin de </w:t>
      </w:r>
      <w:r w:rsidRPr="00582C40">
        <w:t xml:space="preserve">establecer sin lugar a dudas la identidad de las víctimas y someter a enjuiciamiento a los culpables cuando se </w:t>
      </w:r>
      <w:r>
        <w:t xml:space="preserve">hallen. </w:t>
      </w:r>
      <w:r w:rsidRPr="00582C40">
        <w:t>No existe prescripción para esos casos.</w:t>
      </w:r>
    </w:p>
    <w:p w:rsidR="00797D91" w:rsidRPr="00582C40" w:rsidRDefault="00797D91" w:rsidP="00797D91">
      <w:pPr>
        <w:pStyle w:val="SingleTxtG"/>
        <w:suppressAutoHyphens/>
      </w:pPr>
      <w:r w:rsidRPr="00582C40">
        <w:t>18.</w:t>
      </w:r>
      <w:r w:rsidRPr="00582C40">
        <w:tab/>
        <w:t>En la actualidad no hay servicios públicos de rehabilitación para las víctimas de violaciones de los derechos humanos, servicios que son facilitados por las ONG</w:t>
      </w:r>
      <w:r>
        <w:t xml:space="preserve">. </w:t>
      </w:r>
      <w:r w:rsidRPr="00582C40">
        <w:t>En referencia a la situación de los enfermos mentales condenados por la comisión de delitos, se está evaluando actualmente la capacidad de los hospitales psiquiátricos para abordar esos casos.</w:t>
      </w:r>
    </w:p>
    <w:p w:rsidR="00797D91" w:rsidRPr="00582C40" w:rsidRDefault="00797D91" w:rsidP="00797D91">
      <w:pPr>
        <w:pStyle w:val="SingleTxtG"/>
        <w:suppressAutoHyphens/>
      </w:pPr>
      <w:r w:rsidRPr="00582C40">
        <w:t>19.</w:t>
      </w:r>
      <w:r w:rsidRPr="00582C40">
        <w:tab/>
        <w:t>En cuanto a las bandas juveniles, el ministerio público está promoviendo la enmienda de las disposiciones pertinentes del Código Penal y está estudiando incluso la posibilidad de interponer acciones de inconstitucionalidad en relación con el artículo 332 del Código</w:t>
      </w:r>
      <w:r w:rsidR="00260F37">
        <w:t>,</w:t>
      </w:r>
      <w:r w:rsidRPr="00582C40">
        <w:t xml:space="preserve"> sobre la base de que las sanciones para el delito que allí se define son desproporcionadas y </w:t>
      </w:r>
      <w:r>
        <w:t xml:space="preserve">de </w:t>
      </w:r>
      <w:r w:rsidRPr="00582C40">
        <w:t xml:space="preserve">que se impone la detención preventiva como </w:t>
      </w:r>
      <w:r>
        <w:t>regla</w:t>
      </w:r>
      <w:r w:rsidRPr="00582C40">
        <w:t xml:space="preserve"> general en esos casos.</w:t>
      </w:r>
    </w:p>
    <w:p w:rsidR="00797D91" w:rsidRPr="00582C40" w:rsidRDefault="00797D91" w:rsidP="00797D91">
      <w:pPr>
        <w:pStyle w:val="SingleTxtG"/>
        <w:suppressAutoHyphens/>
      </w:pPr>
      <w:r>
        <w:t>20.</w:t>
      </w:r>
      <w:r>
        <w:tab/>
        <w:t>La</w:t>
      </w:r>
      <w:r w:rsidRPr="00582C40">
        <w:t xml:space="preserve">s </w:t>
      </w:r>
      <w:r>
        <w:t xml:space="preserve">muertes </w:t>
      </w:r>
      <w:r w:rsidRPr="00582C40">
        <w:t xml:space="preserve">en los centros de detención siguen siendo uno de los problemas más graves de derechos humanos en Honduras, aunque se ha avanzado algo por </w:t>
      </w:r>
      <w:r>
        <w:t xml:space="preserve">la vía de combatir la </w:t>
      </w:r>
      <w:r w:rsidRPr="00582C40">
        <w:t>impunidad</w:t>
      </w:r>
      <w:r>
        <w:t xml:space="preserve">. </w:t>
      </w:r>
      <w:r w:rsidRPr="00582C40">
        <w:t>Por ejemplo, en un veredicto que tuvo mucho eco, pronunciado en 2008, se condenó a un grupo de 18 oficiales de policía por la matanza de 67 personas en la granja penitenciaria de El Porvenir</w:t>
      </w:r>
      <w:r>
        <w:t xml:space="preserve">. </w:t>
      </w:r>
      <w:r w:rsidRPr="00582C40">
        <w:t xml:space="preserve">Ese caso contribuyó a sensibilizar a la población sobre las condiciones reinantes en las instalaciones penitenciarias del país y a </w:t>
      </w:r>
      <w:r>
        <w:t>promover</w:t>
      </w:r>
      <w:r w:rsidRPr="00582C40">
        <w:t xml:space="preserve"> una campaña para reformar el sistema carcelario</w:t>
      </w:r>
      <w:r>
        <w:t xml:space="preserve">. </w:t>
      </w:r>
      <w:r w:rsidRPr="00582C40">
        <w:t>Fruto de ello fue un proyecto de ley presentado al Congreso para crear un instituto penitenciario, que sería un órgano profesional encargado de la gestión de esas instalaciones.</w:t>
      </w:r>
    </w:p>
    <w:p w:rsidR="00797D91" w:rsidRPr="00582C40" w:rsidRDefault="00797D91" w:rsidP="00797D91">
      <w:pPr>
        <w:pStyle w:val="SingleTxtG"/>
        <w:suppressAutoHyphens/>
      </w:pPr>
      <w:r w:rsidRPr="00582C40">
        <w:t>21.</w:t>
      </w:r>
      <w:r w:rsidRPr="00582C40">
        <w:tab/>
        <w:t xml:space="preserve">La </w:t>
      </w:r>
      <w:r>
        <w:t>Fiscalía</w:t>
      </w:r>
      <w:r w:rsidRPr="00582C40">
        <w:t xml:space="preserve"> Especial de Derechos Humanos está investigado varios casos que afectan a defensores de los derechos humanos y recientemente logró una condena en el caso de Dionisio</w:t>
      </w:r>
      <w:r>
        <w:t xml:space="preserve"> </w:t>
      </w:r>
      <w:r w:rsidRPr="00582C40">
        <w:t>Díaz García, abogado de derechos humanos asesinado en 2006</w:t>
      </w:r>
      <w:r>
        <w:t xml:space="preserve">. </w:t>
      </w:r>
      <w:r w:rsidRPr="00582C40">
        <w:t xml:space="preserve">La </w:t>
      </w:r>
      <w:r>
        <w:t>Fiscalía</w:t>
      </w:r>
      <w:r w:rsidRPr="00582C40">
        <w:t xml:space="preserve"> es consciente también de los casos de violaciones de derechos humanos de que son víctimas los activistas que defienden los derechos </w:t>
      </w:r>
      <w:r>
        <w:t>sobre</w:t>
      </w:r>
      <w:r w:rsidRPr="00582C40">
        <w:t xml:space="preserve"> </w:t>
      </w:r>
      <w:r w:rsidR="00260F37">
        <w:t xml:space="preserve">las </w:t>
      </w:r>
      <w:r w:rsidRPr="00582C40">
        <w:t>tierras</w:t>
      </w:r>
      <w:r>
        <w:t xml:space="preserve">. </w:t>
      </w:r>
      <w:r w:rsidRPr="00582C40">
        <w:t xml:space="preserve">Sin embargo, como la mayoría de esas violaciones se han producido en zonas rurales y la </w:t>
      </w:r>
      <w:r>
        <w:t>Fiscalía Especial</w:t>
      </w:r>
      <w:r w:rsidRPr="00582C40">
        <w:t xml:space="preserve"> solo tiene competencia en Tegucigalpa y San Pedro Sula, su capacidad para </w:t>
      </w:r>
      <w:r>
        <w:t>someter</w:t>
      </w:r>
      <w:r w:rsidRPr="00582C40">
        <w:t xml:space="preserve"> esos casos </w:t>
      </w:r>
      <w:r>
        <w:t xml:space="preserve">a la acción de la justicia </w:t>
      </w:r>
      <w:r w:rsidRPr="00582C40">
        <w:t>es limitada</w:t>
      </w:r>
      <w:r>
        <w:t xml:space="preserve">. </w:t>
      </w:r>
      <w:r w:rsidRPr="00582C40">
        <w:t xml:space="preserve">En cuanto a los asesinatos políticos, </w:t>
      </w:r>
      <w:r>
        <w:t xml:space="preserve">es </w:t>
      </w:r>
      <w:r w:rsidRPr="00582C40">
        <w:t xml:space="preserve">la </w:t>
      </w:r>
      <w:r>
        <w:t xml:space="preserve">Fiscalía Especial la que </w:t>
      </w:r>
      <w:r w:rsidRPr="00582C40">
        <w:t xml:space="preserve">trata esos casos </w:t>
      </w:r>
      <w:r>
        <w:t xml:space="preserve">de </w:t>
      </w:r>
      <w:r w:rsidRPr="00582C40">
        <w:t xml:space="preserve">violaciones de los derechos humanos aunque no esté clara la </w:t>
      </w:r>
      <w:r>
        <w:t>implicación</w:t>
      </w:r>
      <w:r w:rsidRPr="00582C40">
        <w:t xml:space="preserve"> de servidores públicos.</w:t>
      </w:r>
    </w:p>
    <w:p w:rsidR="00797D91" w:rsidRPr="00582C40" w:rsidRDefault="00797D91" w:rsidP="00797D91">
      <w:pPr>
        <w:pStyle w:val="SingleTxtG"/>
        <w:suppressAutoHyphens/>
      </w:pPr>
      <w:r w:rsidRPr="00582C40">
        <w:t>22.</w:t>
      </w:r>
      <w:r w:rsidRPr="00582C40">
        <w:tab/>
        <w:t xml:space="preserve">Se está trabajando, siguiendo las instrucciones del Presidente de Honduras, para </w:t>
      </w:r>
      <w:r>
        <w:t>hacer efectivas</w:t>
      </w:r>
      <w:r w:rsidRPr="00582C40">
        <w:t xml:space="preserve"> las recomendaciones de los diversos órganos de derechos humanos, en especial los del Comité de Derechos Humanos</w:t>
      </w:r>
      <w:r>
        <w:t>,</w:t>
      </w:r>
      <w:r w:rsidRPr="00582C40">
        <w:t xml:space="preserve"> sobre la aplicación por parte de su país del Pacto Internacional de Derechos Civiles y Políticos</w:t>
      </w:r>
      <w:r>
        <w:t xml:space="preserve">. </w:t>
      </w:r>
      <w:r w:rsidRPr="00582C40">
        <w:t xml:space="preserve">En cuanto a la </w:t>
      </w:r>
      <w:r>
        <w:t>"</w:t>
      </w:r>
      <w:r w:rsidRPr="00582C40">
        <w:t>amnistía migratoria</w:t>
      </w:r>
      <w:r>
        <w:t>"</w:t>
      </w:r>
      <w:r w:rsidRPr="00582C40">
        <w:t xml:space="preserve">, la concesión de ese "perdón" a los extranjeros es una prerrogativa del Congreso, que puede ejercer dicha facultad directamente o a través de la Secretaría de Gobernación y Justicia, encargada de </w:t>
      </w:r>
      <w:r>
        <w:t xml:space="preserve">poner en práctica </w:t>
      </w:r>
      <w:r w:rsidRPr="00582C40">
        <w:t>la política de inmigración.</w:t>
      </w:r>
    </w:p>
    <w:p w:rsidR="00797D91" w:rsidRPr="00582C40" w:rsidRDefault="00797D91" w:rsidP="00797D91">
      <w:pPr>
        <w:pStyle w:val="SingleTxtG"/>
        <w:suppressAutoHyphens/>
      </w:pPr>
      <w:r w:rsidRPr="00582C40">
        <w:t>23.</w:t>
      </w:r>
      <w:r w:rsidRPr="00582C40">
        <w:tab/>
        <w:t xml:space="preserve">La </w:t>
      </w:r>
      <w:r w:rsidRPr="00582C40">
        <w:rPr>
          <w:b/>
        </w:rPr>
        <w:t>Sra. Flores</w:t>
      </w:r>
      <w:r w:rsidRPr="00582C40">
        <w:t xml:space="preserve"> (Honduras), en referencia a la cuestión de los registros corporales agresivos, explic</w:t>
      </w:r>
      <w:r>
        <w:t>a</w:t>
      </w:r>
      <w:r w:rsidRPr="00582C40">
        <w:t xml:space="preserve"> que el procedimiento normal consist</w:t>
      </w:r>
      <w:r>
        <w:t>e</w:t>
      </w:r>
      <w:r w:rsidRPr="00582C40">
        <w:t xml:space="preserve"> en </w:t>
      </w:r>
      <w:r>
        <w:t xml:space="preserve">efectuar </w:t>
      </w:r>
      <w:r w:rsidRPr="00582C40">
        <w:t>un registro corporal a todas las personas en el momento de su ingreso en los establecimientos penitenciarios</w:t>
      </w:r>
      <w:r>
        <w:t xml:space="preserve">. </w:t>
      </w:r>
      <w:r w:rsidRPr="00582C40">
        <w:t>En el caso de las mujeres, se trata de un registro corporal superficial</w:t>
      </w:r>
      <w:r>
        <w:t>,</w:t>
      </w:r>
      <w:r w:rsidRPr="00582C40">
        <w:t xml:space="preserve"> realizado por el personal de seguridad femenino y no incluye exploraciones vaginales</w:t>
      </w:r>
      <w:r>
        <w:t xml:space="preserve">. </w:t>
      </w:r>
      <w:r w:rsidRPr="00582C40">
        <w:t xml:space="preserve">En circunstancias excepcionales, cuando se considera necesario </w:t>
      </w:r>
      <w:r>
        <w:t>practicar</w:t>
      </w:r>
      <w:r w:rsidRPr="00582C40">
        <w:t xml:space="preserve"> registros más exhaustivos que incluyan exploraciones internas, es obligatorio que sean realizados por un médico</w:t>
      </w:r>
      <w:r>
        <w:t xml:space="preserve">. </w:t>
      </w:r>
      <w:r w:rsidRPr="00582C40">
        <w:t>El Código Procesal Penal rige la aplicación de registros corporales por parte de los miembros de la policía nacional y les proh</w:t>
      </w:r>
      <w:r>
        <w:t>íbe realizar prácticas que pueda</w:t>
      </w:r>
      <w:r w:rsidRPr="00582C40">
        <w:t>n ser ofensivas para la persona registrada.</w:t>
      </w:r>
    </w:p>
    <w:p w:rsidR="00797D91" w:rsidRPr="00582C40" w:rsidRDefault="00797D91" w:rsidP="00797D91">
      <w:pPr>
        <w:pStyle w:val="SingleTxtG"/>
        <w:suppressAutoHyphens/>
      </w:pPr>
      <w:r w:rsidRPr="00582C40">
        <w:t>24.</w:t>
      </w:r>
      <w:r w:rsidRPr="00582C40">
        <w:tab/>
        <w:t xml:space="preserve">Por lo que hace al contrabando de armas de fuego en las cárceles, afirma que los visitantes son sometidos a registros corporales </w:t>
      </w:r>
      <w:r>
        <w:t xml:space="preserve">a fondo. </w:t>
      </w:r>
      <w:r w:rsidRPr="00582C40">
        <w:t>Además</w:t>
      </w:r>
      <w:r>
        <w:t>,</w:t>
      </w:r>
      <w:r w:rsidRPr="00582C40">
        <w:t xml:space="preserve"> todos los </w:t>
      </w:r>
      <w:r>
        <w:t>su</w:t>
      </w:r>
      <w:r w:rsidRPr="00582C40">
        <w:t xml:space="preserve">ministros son </w:t>
      </w:r>
      <w:r>
        <w:t>objeto de</w:t>
      </w:r>
      <w:r w:rsidRPr="00582C40">
        <w:t xml:space="preserve"> medidas extraordinarias de seguridad y los vehículos tienen un acceso limitado</w:t>
      </w:r>
      <w:r>
        <w:t xml:space="preserve">. </w:t>
      </w:r>
      <w:r w:rsidRPr="00582C40">
        <w:t>Se dispone de una información más detallada sobre las instrucciones, directrices y estadísticas relativas al sistema penitenciario, que se facilitarán al Comité más adelante.</w:t>
      </w:r>
    </w:p>
    <w:p w:rsidR="00797D91" w:rsidRPr="00582C40" w:rsidRDefault="00797D91" w:rsidP="00797D91">
      <w:pPr>
        <w:pStyle w:val="SingleTxtG"/>
        <w:suppressAutoHyphens/>
      </w:pPr>
      <w:r w:rsidRPr="00582C40">
        <w:t>25.</w:t>
      </w:r>
      <w:r w:rsidRPr="00582C40">
        <w:tab/>
        <w:t>El personal peni</w:t>
      </w:r>
      <w:r>
        <w:t xml:space="preserve">tenciario recibe una formación </w:t>
      </w:r>
      <w:r w:rsidRPr="00582C40">
        <w:t>en el marco de un programa de enseñanza de los derechos humanos, organizado en colaboración con el Centro de Preven</w:t>
      </w:r>
      <w:r>
        <w:t>ción</w:t>
      </w:r>
      <w:r w:rsidRPr="00582C40">
        <w:t>, Tratamiento y Rehabilitación de las Víctimas de Torturas y sus Familiares</w:t>
      </w:r>
      <w:r>
        <w:t xml:space="preserve">. </w:t>
      </w:r>
      <w:r w:rsidRPr="00582C40">
        <w:t>Los funcionarios penitenciarios están supervisados por la dirección de la cárcel, con arreglo a lo dispuesto en la Ley de justicia juvenil y seguridad penitenciaria; se ha encomendado a un inspector general la tarea de controlar la labor del personal penitenciario a nivel nacional.</w:t>
      </w:r>
    </w:p>
    <w:p w:rsidR="00797D91" w:rsidRPr="00582C40" w:rsidRDefault="00797D91" w:rsidP="00797D91">
      <w:pPr>
        <w:pStyle w:val="SingleTxtG"/>
        <w:suppressAutoHyphens/>
      </w:pPr>
      <w:r w:rsidRPr="00582C40">
        <w:t>26.</w:t>
      </w:r>
      <w:r w:rsidRPr="00582C40">
        <w:tab/>
        <w:t>En lo referente a la situación de las personas privadas de libertad y la incidencia de los casos de abuso, muerte</w:t>
      </w:r>
      <w:r>
        <w:t>s</w:t>
      </w:r>
      <w:r w:rsidRPr="00582C40">
        <w:t xml:space="preserve"> y hacinamiento en las cárceles, declara que</w:t>
      </w:r>
      <w:r>
        <w:t>,</w:t>
      </w:r>
      <w:r w:rsidRPr="00582C40">
        <w:t xml:space="preserve"> </w:t>
      </w:r>
      <w:r>
        <w:t xml:space="preserve">de hecho, </w:t>
      </w:r>
      <w:r w:rsidRPr="00582C40">
        <w:t>la población carcelaria ha disminuido, pasando de unos 13.000 internos en 2007 a menos de 11.000</w:t>
      </w:r>
      <w:r>
        <w:t xml:space="preserve">. </w:t>
      </w:r>
      <w:r w:rsidRPr="00582C40">
        <w:t>Se han establecido gradualmente una serie de mecanismos en coordinación con la Corte Suprema de Justicia y los tribunales ordinarios, a fin de reducir la posibilidad de abuso y de conflictos entre los internos</w:t>
      </w:r>
      <w:r>
        <w:t xml:space="preserve">. </w:t>
      </w:r>
      <w:r w:rsidRPr="00582C40">
        <w:t>Además, el Gobierno ha realizado esfuerzos considerables desde 2006 para aumentar la asignación presupuestaria destinada a cubrir las necesidades cotidianas de los presos.</w:t>
      </w:r>
    </w:p>
    <w:p w:rsidR="00797D91" w:rsidRPr="00582C40" w:rsidRDefault="00797D91" w:rsidP="00797D91">
      <w:pPr>
        <w:pStyle w:val="SingleTxtG"/>
        <w:suppressAutoHyphens/>
      </w:pPr>
      <w:r w:rsidRPr="00582C40">
        <w:t>27.</w:t>
      </w:r>
      <w:r w:rsidRPr="00582C40">
        <w:tab/>
        <w:t xml:space="preserve">Pasando a la prestación de asistencia </w:t>
      </w:r>
      <w:r>
        <w:t xml:space="preserve">a </w:t>
      </w:r>
      <w:r w:rsidRPr="00582C40">
        <w:t xml:space="preserve">los presos con enfermedades mentales, recuerda que el servicio penitenciario </w:t>
      </w:r>
      <w:r>
        <w:t xml:space="preserve">no prevé la posibilidad de </w:t>
      </w:r>
      <w:r w:rsidRPr="00582C40">
        <w:t>tratamientos psiquiátricos específicos</w:t>
      </w:r>
      <w:r>
        <w:t xml:space="preserve">. </w:t>
      </w:r>
      <w:r w:rsidRPr="00582C40">
        <w:t>Aunque las instalaciones para presos con enfermedades mentales son limitadas, no se escatima ningún esfuerzo</w:t>
      </w:r>
      <w:r>
        <w:t>,</w:t>
      </w:r>
      <w:r w:rsidRPr="00582C40">
        <w:t xml:space="preserve"> siempre que sea viable</w:t>
      </w:r>
      <w:r>
        <w:t>,</w:t>
      </w:r>
      <w:r w:rsidRPr="00582C40">
        <w:t xml:space="preserve"> para garantizar el internamiento o el tratamiento ambulatorio de esos pacientes en instituciones especializadas</w:t>
      </w:r>
      <w:r>
        <w:t xml:space="preserve">. </w:t>
      </w:r>
      <w:r w:rsidRPr="00582C40">
        <w:t>Desde marzo de 2009, una serie de órganos judiciales, departamentos del Gobierno y representantes de la sociedad civil están colaborando en una estrategia destinada a ampliar las prestaciones sociales y judiciales a los pacientes psiquiátricos.</w:t>
      </w:r>
    </w:p>
    <w:p w:rsidR="00797D91" w:rsidRPr="00582C40" w:rsidRDefault="00797D91" w:rsidP="00797D91">
      <w:pPr>
        <w:pStyle w:val="SingleTxtG"/>
        <w:suppressAutoHyphens/>
      </w:pPr>
      <w:r w:rsidRPr="00582C40">
        <w:t>28.</w:t>
      </w:r>
      <w:r w:rsidRPr="00582C40">
        <w:tab/>
        <w:t xml:space="preserve">La </w:t>
      </w:r>
      <w:r w:rsidRPr="00582C40">
        <w:rPr>
          <w:b/>
        </w:rPr>
        <w:t>Sra. Prudoth Bardales</w:t>
      </w:r>
      <w:r w:rsidRPr="00582C40">
        <w:t xml:space="preserve"> (Honduras) confirma que en 2008 hubo</w:t>
      </w:r>
      <w:r>
        <w:t xml:space="preserve"> </w:t>
      </w:r>
      <w:r w:rsidRPr="00582C40">
        <w:t>172.000</w:t>
      </w:r>
      <w:r>
        <w:t xml:space="preserve"> </w:t>
      </w:r>
      <w:r w:rsidRPr="00582C40">
        <w:t>nacimientos que no fueron registrados</w:t>
      </w:r>
      <w:r>
        <w:t xml:space="preserve">. </w:t>
      </w:r>
      <w:r w:rsidRPr="00582C40">
        <w:t xml:space="preserve">Se han puesto en marcha iniciativas, dentro del marco de un acuerdo entre el Instituto Hondureño de la Niñez y la Familia y el registro civil del país para acelerar la implantación de un sistema de registro exhaustivo de los nacimientos y se han </w:t>
      </w:r>
      <w:r>
        <w:t>creado</w:t>
      </w:r>
      <w:r w:rsidRPr="00582C40">
        <w:t xml:space="preserve"> varios registros móviles </w:t>
      </w:r>
      <w:r>
        <w:t>con objeto de</w:t>
      </w:r>
      <w:r w:rsidRPr="00582C40">
        <w:t xml:space="preserve"> llegar hasta las zonas más remotas, incluidas las habitadas por grupos indígenas.</w:t>
      </w:r>
    </w:p>
    <w:p w:rsidR="00797D91" w:rsidRPr="00582C40" w:rsidRDefault="00797D91" w:rsidP="00797D91">
      <w:pPr>
        <w:pStyle w:val="SingleTxtG"/>
        <w:suppressAutoHyphens/>
      </w:pPr>
      <w:r w:rsidRPr="00582C40">
        <w:t>29.</w:t>
      </w:r>
      <w:r w:rsidRPr="00582C40">
        <w:tab/>
        <w:t>Rechaza la denuncia relativa a la detención de menores por su aspecto físico, como los tatuajes corporales; en los centros de internamiento no hay en la actualidad ningún menor que responda a esas características</w:t>
      </w:r>
      <w:r>
        <w:t xml:space="preserve">. </w:t>
      </w:r>
      <w:r w:rsidRPr="00582C40">
        <w:t>El Instituto Hondureño de la Niñez y la Familia ha establecido programas sociales destinados a mejorar el estilo de vida y la</w:t>
      </w:r>
      <w:r>
        <w:t>s</w:t>
      </w:r>
      <w:r w:rsidRPr="00582C40">
        <w:t xml:space="preserve"> perspectiva</w:t>
      </w:r>
      <w:r>
        <w:t>s</w:t>
      </w:r>
      <w:r w:rsidRPr="00582C40">
        <w:t xml:space="preserve"> de los menores y los jóvenes en conflicto con la ley</w:t>
      </w:r>
      <w:r>
        <w:t xml:space="preserve">. </w:t>
      </w:r>
      <w:r w:rsidRPr="00582C40">
        <w:t>Se han creado cuatro centros educativos y una unidad móvil que prestan servicios para la eliminación voluntaria de los tatuajes en las comunidades vulnerables.</w:t>
      </w:r>
    </w:p>
    <w:p w:rsidR="00797D91" w:rsidRPr="00582C40" w:rsidRDefault="00797D91" w:rsidP="00797D91">
      <w:pPr>
        <w:pStyle w:val="SingleTxtG"/>
        <w:suppressAutoHyphens/>
      </w:pPr>
      <w:r w:rsidRPr="00582C40">
        <w:t>30.</w:t>
      </w:r>
      <w:r w:rsidRPr="00582C40">
        <w:tab/>
        <w:t xml:space="preserve">Un servicio especial de investigación está estudiando en la actualidad el número de muertes de menores en los centros de internamiento y la policía nacional y el ministerio público </w:t>
      </w:r>
      <w:r>
        <w:t>han</w:t>
      </w:r>
      <w:r w:rsidRPr="00582C40">
        <w:t xml:space="preserve"> recopilado una información más detallada y datos estadísticos.</w:t>
      </w:r>
    </w:p>
    <w:p w:rsidR="00797D91" w:rsidRPr="00582C40" w:rsidRDefault="00797D91" w:rsidP="00797D91">
      <w:pPr>
        <w:pStyle w:val="SingleTxtG"/>
        <w:suppressAutoHyphens/>
      </w:pPr>
      <w:r w:rsidRPr="00582C40">
        <w:t>31.</w:t>
      </w:r>
      <w:r w:rsidRPr="00582C40">
        <w:tab/>
        <w:t xml:space="preserve">En el centro de internamiento Renaciendo y en el complejo educativo El Carmen se están </w:t>
      </w:r>
      <w:r>
        <w:t xml:space="preserve">realizando </w:t>
      </w:r>
      <w:r w:rsidRPr="00582C40">
        <w:t>grandes progresos</w:t>
      </w:r>
      <w:r>
        <w:t xml:space="preserve">. </w:t>
      </w:r>
      <w:r w:rsidRPr="00582C40">
        <w:t>La sensibilización y la capacitación en materia de derechos humanos ha</w:t>
      </w:r>
      <w:r>
        <w:t>n</w:t>
      </w:r>
      <w:r w:rsidRPr="00582C40">
        <w:t xml:space="preserve"> contribuido en gran medida a la mejora de la calidad de la asistencia y de las condiciones de vida de los adolescentes entre los 12 y 17 años de edad en esas instituciones</w:t>
      </w:r>
      <w:r>
        <w:t xml:space="preserve">. </w:t>
      </w:r>
      <w:r w:rsidRPr="00582C40">
        <w:t>Recientemente, el 16 de abril de 20</w:t>
      </w:r>
      <w:r>
        <w:t>09, la Corte Suprema de Justicia</w:t>
      </w:r>
      <w:r w:rsidRPr="00582C40">
        <w:t xml:space="preserve"> otorg</w:t>
      </w:r>
      <w:r>
        <w:t>ó</w:t>
      </w:r>
      <w:r w:rsidRPr="00582C40">
        <w:t xml:space="preserve"> carácter ejecutorio a una decisión de enero de 2006 sobre las violaciones en los centros de internamiento</w:t>
      </w:r>
      <w:r>
        <w:t xml:space="preserve">. </w:t>
      </w:r>
      <w:r w:rsidRPr="00582C40">
        <w:t>En 2008 no se ha registrado ningún caso de muerte o de fuga de menores.</w:t>
      </w:r>
    </w:p>
    <w:p w:rsidR="00797D91" w:rsidRDefault="00797D91" w:rsidP="00797D91">
      <w:pPr>
        <w:pStyle w:val="SingleTxtG"/>
        <w:suppressAutoHyphens/>
      </w:pPr>
      <w:r w:rsidRPr="00582C40">
        <w:t>32.</w:t>
      </w:r>
      <w:r w:rsidRPr="00582C40">
        <w:tab/>
        <w:t xml:space="preserve">La </w:t>
      </w:r>
      <w:r w:rsidRPr="00582C40">
        <w:rPr>
          <w:b/>
        </w:rPr>
        <w:t>Sra. García Paredes</w:t>
      </w:r>
      <w:r w:rsidRPr="00582C40">
        <w:t xml:space="preserve"> (Honduras) describe una serie de medidas emprendidas por su Gobierno con </w:t>
      </w:r>
      <w:r>
        <w:t xml:space="preserve">objeto de </w:t>
      </w:r>
      <w:r w:rsidRPr="00582C40">
        <w:t>aplicar las recomendaciones del Comité para la Eliminación de la Discriminación contra la Mujer, incluida la promulgación de leyes específicas destinadas a impedir la trata de personas, tanto a nivel nacional como regional</w:t>
      </w:r>
      <w:r>
        <w:t xml:space="preserve">. </w:t>
      </w:r>
      <w:r w:rsidRPr="00582C40">
        <w:t xml:space="preserve">Le complace informar al Comité que el </w:t>
      </w:r>
      <w:r>
        <w:t xml:space="preserve">Presidente ha presentado al Congreso con miras a su aprobación el </w:t>
      </w:r>
      <w:r w:rsidRPr="00582C40">
        <w:t>Protocolo de Palermo para prevenir, reprimir y sancionar la trata de personas</w:t>
      </w:r>
      <w:r>
        <w:t>.</w:t>
      </w:r>
    </w:p>
    <w:p w:rsidR="00797D91" w:rsidRPr="00582C40" w:rsidRDefault="00797D91" w:rsidP="00797D91">
      <w:pPr>
        <w:pStyle w:val="SingleTxtG"/>
        <w:suppressAutoHyphens/>
      </w:pPr>
      <w:r w:rsidRPr="00582C40">
        <w:t>33.</w:t>
      </w:r>
      <w:r w:rsidRPr="00582C40">
        <w:tab/>
        <w:t xml:space="preserve">El Instituto Nacional de la Mujer se encarga de armonizar la legislación nacional con la internacional, junto con los órganos competentes del Estado, la sociedad civil y los movimientos </w:t>
      </w:r>
      <w:r>
        <w:t xml:space="preserve">de mujeres. </w:t>
      </w:r>
      <w:r w:rsidRPr="00582C40">
        <w:t>Ha hecho una amplia distribución del material relativo a la Convención sobre la eliminación de todas las formas de discriminación contra la mujer.</w:t>
      </w:r>
    </w:p>
    <w:p w:rsidR="00797D91" w:rsidRPr="00582C40" w:rsidRDefault="00797D91" w:rsidP="00797D91">
      <w:pPr>
        <w:pStyle w:val="SingleTxtG"/>
        <w:suppressAutoHyphens/>
      </w:pPr>
      <w:r w:rsidRPr="00582C40">
        <w:t>34.</w:t>
      </w:r>
      <w:r w:rsidRPr="00582C40">
        <w:tab/>
        <w:t>Su Gobierno está estableciendo un sistema nacional fiable de recopilación de datos con objeto de garantizar el cumplimiento pleno y eficaz de las obligaciones contraídas en virtud de tratados internacionales</w:t>
      </w:r>
      <w:r>
        <w:t xml:space="preserve">. </w:t>
      </w:r>
      <w:r w:rsidRPr="00582C40">
        <w:t xml:space="preserve">Además, se ha proyectado la creación de una unidad de género, en el marco del ministerio público, a fin de garantizar, entre otros objetivos, la aplicación de la Ley </w:t>
      </w:r>
      <w:r>
        <w:t>contra la</w:t>
      </w:r>
      <w:r w:rsidRPr="00582C40">
        <w:t xml:space="preserve"> violencia doméstica.</w:t>
      </w:r>
    </w:p>
    <w:p w:rsidR="00797D91" w:rsidRPr="00582C40" w:rsidRDefault="00797D91" w:rsidP="00797D91">
      <w:pPr>
        <w:pStyle w:val="SingleTxtG"/>
        <w:suppressAutoHyphens/>
      </w:pPr>
      <w:r w:rsidRPr="00582C40">
        <w:t>35.</w:t>
      </w:r>
      <w:r w:rsidRPr="00582C40">
        <w:tab/>
        <w:t xml:space="preserve">La </w:t>
      </w:r>
      <w:r w:rsidRPr="00582C40">
        <w:rPr>
          <w:b/>
        </w:rPr>
        <w:t>Sra. Sagrario Prudoth</w:t>
      </w:r>
      <w:r w:rsidRPr="00582C40">
        <w:t xml:space="preserve"> (Honduras) dice que su Gobierno se ha comprometido en firme a asignar recursos presupuestarios para seguir desarrollando los mecanismos nacionales de prevención, dentro de los límites de la economía nacional</w:t>
      </w:r>
      <w:r>
        <w:t xml:space="preserve">. </w:t>
      </w:r>
      <w:r w:rsidRPr="00582C40">
        <w:t xml:space="preserve">Explica que el proceso para elegir a los miembros del mecanismo </w:t>
      </w:r>
      <w:r>
        <w:t xml:space="preserve">nacional para la </w:t>
      </w:r>
      <w:r w:rsidRPr="00582C40">
        <w:t xml:space="preserve">prevención </w:t>
      </w:r>
      <w:r>
        <w:t xml:space="preserve">de la tortura </w:t>
      </w:r>
      <w:r w:rsidRPr="00582C40">
        <w:t>se rige por una ley específica que prescribe su composición y la</w:t>
      </w:r>
      <w:r>
        <w:t>s</w:t>
      </w:r>
      <w:r w:rsidRPr="00582C40">
        <w:t xml:space="preserve"> cualificaci</w:t>
      </w:r>
      <w:r>
        <w:t>ones</w:t>
      </w:r>
      <w:r w:rsidRPr="00582C40">
        <w:t xml:space="preserve"> personal</w:t>
      </w:r>
      <w:r>
        <w:t>es</w:t>
      </w:r>
      <w:r w:rsidRPr="00582C40">
        <w:t xml:space="preserve"> y profesional</w:t>
      </w:r>
      <w:r>
        <w:t>es</w:t>
      </w:r>
      <w:r w:rsidRPr="00582C40">
        <w:t xml:space="preserve"> necesaria</w:t>
      </w:r>
      <w:r>
        <w:t>s de estos</w:t>
      </w:r>
      <w:r w:rsidRPr="00582C40">
        <w:t>.</w:t>
      </w:r>
    </w:p>
    <w:p w:rsidR="00797D91" w:rsidRPr="00582C40" w:rsidRDefault="00797D91" w:rsidP="00797D91">
      <w:pPr>
        <w:pStyle w:val="SingleTxtG"/>
        <w:suppressAutoHyphens/>
      </w:pPr>
      <w:r w:rsidRPr="00582C40">
        <w:t>36.</w:t>
      </w:r>
      <w:r w:rsidRPr="00582C40">
        <w:tab/>
        <w:t xml:space="preserve">En la raíz del alto nivel de </w:t>
      </w:r>
      <w:r>
        <w:t>delincuencia</w:t>
      </w:r>
      <w:r w:rsidRPr="00582C40">
        <w:t xml:space="preserve">, </w:t>
      </w:r>
      <w:r>
        <w:t xml:space="preserve">se hallan </w:t>
      </w:r>
      <w:r w:rsidRPr="00582C40">
        <w:t>factores como la pobreza, el bajo nivel educativo, el desempleo, las desigualdades sociales, la exclusión y la delincuencia organizada.</w:t>
      </w:r>
    </w:p>
    <w:p w:rsidR="00797D91" w:rsidRPr="00582C40" w:rsidRDefault="00797D91" w:rsidP="00797D91">
      <w:pPr>
        <w:pStyle w:val="SingleTxtG"/>
        <w:suppressAutoHyphens/>
      </w:pPr>
      <w:r w:rsidRPr="00582C40">
        <w:t>37.</w:t>
      </w:r>
      <w:r w:rsidRPr="00582C40">
        <w:tab/>
        <w:t xml:space="preserve">La </w:t>
      </w:r>
      <w:r w:rsidRPr="00582C40">
        <w:rPr>
          <w:b/>
        </w:rPr>
        <w:t>Sra. Flores Murillo</w:t>
      </w:r>
      <w:r w:rsidRPr="00582C40">
        <w:t xml:space="preserve"> (Honduras), en referencia a la cuestión de la responsabilidad penal de las personas que han recibido la orden de un superior jerárquico de cometer </w:t>
      </w:r>
      <w:r>
        <w:t>un delito</w:t>
      </w:r>
      <w:r w:rsidRPr="00582C40">
        <w:t xml:space="preserve">, dice que el artículo 24 del Código Penal </w:t>
      </w:r>
      <w:r>
        <w:t xml:space="preserve">les exime </w:t>
      </w:r>
      <w:r w:rsidRPr="00582C40">
        <w:t xml:space="preserve">de esa responsabilidad si están </w:t>
      </w:r>
      <w:r>
        <w:t>obrando por obediencia debid</w:t>
      </w:r>
      <w:r w:rsidR="00260F37">
        <w:t>a</w:t>
      </w:r>
      <w:r>
        <w:t xml:space="preserve"> a una orden que tengan la obligación de cumplir. </w:t>
      </w:r>
      <w:r w:rsidRPr="00582C40">
        <w:t xml:space="preserve">Sin embargo, esa disposición está vinculada a ciertos criterios establecidos en el artículo 323 de la Constitución, en el que se afirma que ningún oficial, </w:t>
      </w:r>
      <w:r>
        <w:t xml:space="preserve">o empleado, </w:t>
      </w:r>
      <w:r w:rsidRPr="00582C40">
        <w:t xml:space="preserve">civil o militar, </w:t>
      </w:r>
      <w:r>
        <w:t xml:space="preserve">está </w:t>
      </w:r>
      <w:r w:rsidRPr="00582C40">
        <w:t xml:space="preserve">obligado a </w:t>
      </w:r>
      <w:r>
        <w:t xml:space="preserve">cumplir </w:t>
      </w:r>
      <w:r w:rsidRPr="00582C40">
        <w:t xml:space="preserve">órdenes que </w:t>
      </w:r>
      <w:r>
        <w:t xml:space="preserve">impliquen </w:t>
      </w:r>
      <w:r w:rsidRPr="00582C40">
        <w:t>la comisión de un delito</w:t>
      </w:r>
      <w:r>
        <w:t xml:space="preserve">. </w:t>
      </w:r>
      <w:r w:rsidRPr="00582C40">
        <w:t>Todos los miembros de las fuerzas armadas hondureñas, sea cual fuere su rango, actúan dentro de un marco jurídico muy estricto, basado en principios legales que atribuyen la máxima importancia al concepto del deber, el uso proporcionado de los métodos y recursos y el principio de que las acciones u omisiones no deben restringir nunca el ejercicio de los derechos y libertades consagrados en la legislación internacional y nacional.</w:t>
      </w:r>
    </w:p>
    <w:p w:rsidR="00797D91" w:rsidRPr="00582C40" w:rsidRDefault="00797D91" w:rsidP="00797D91">
      <w:pPr>
        <w:pStyle w:val="SingleTxtG"/>
        <w:suppressAutoHyphens/>
      </w:pPr>
      <w:r w:rsidRPr="00582C40">
        <w:t>38.</w:t>
      </w:r>
      <w:r w:rsidRPr="00582C40">
        <w:tab/>
        <w:t xml:space="preserve">El </w:t>
      </w:r>
      <w:r w:rsidRPr="00582C40">
        <w:rPr>
          <w:b/>
        </w:rPr>
        <w:t>Sr. Suazo Ortiz</w:t>
      </w:r>
      <w:r w:rsidRPr="00582C40">
        <w:t xml:space="preserve"> (Honduras) </w:t>
      </w:r>
      <w:r>
        <w:t>señala</w:t>
      </w:r>
      <w:r w:rsidRPr="00582C40">
        <w:t xml:space="preserve"> que los 13.000 miembros de la Policía Nacional han recibido una formación en materia de derechos humanos, con el apoyo activo de varias ONG y miembros de la sociedad civil.</w:t>
      </w:r>
    </w:p>
    <w:p w:rsidR="00797D91" w:rsidRPr="00582C40" w:rsidRDefault="00797D91" w:rsidP="00797D91">
      <w:pPr>
        <w:pStyle w:val="SingleTxtG"/>
        <w:suppressAutoHyphens/>
      </w:pPr>
      <w:r w:rsidRPr="00582C40">
        <w:t>39.</w:t>
      </w:r>
      <w:r w:rsidRPr="00582C40">
        <w:tab/>
        <w:t xml:space="preserve">Los defensores de los derechos humanos están protegidos por la Policía Nacional y por las disposiciones jurídicas </w:t>
      </w:r>
      <w:r>
        <w:t xml:space="preserve">al uso. </w:t>
      </w:r>
      <w:r w:rsidRPr="00582C40">
        <w:t>Además, existe un contacto constante con la jerarquía superior de la policía para garantizar su protección</w:t>
      </w:r>
      <w:r>
        <w:t xml:space="preserve">. </w:t>
      </w:r>
      <w:r w:rsidRPr="00582C40">
        <w:t>La función esencial de la Policía Nacional y de la Policía Preventiva consiste en defender el orden público e impedir la delincuencia; se sanciona a los miembros de esos efectivos que</w:t>
      </w:r>
      <w:r>
        <w:t>, tras las comprobaciones pertinentes,</w:t>
      </w:r>
      <w:r w:rsidRPr="00582C40">
        <w:t xml:space="preserve"> hayan realizado, acciones ilegales</w:t>
      </w:r>
      <w:r>
        <w:t xml:space="preserve">. </w:t>
      </w:r>
      <w:r w:rsidRPr="00582C40">
        <w:t xml:space="preserve">Se ha creado </w:t>
      </w:r>
      <w:r>
        <w:t>e</w:t>
      </w:r>
      <w:r w:rsidRPr="00582C40">
        <w:t>l Consejo Nacional de Seguridad Interior para asesorar y contribuir a la formulación de políticas de seguridad que engloben a la sociedad civil.</w:t>
      </w:r>
    </w:p>
    <w:p w:rsidR="00797D91" w:rsidRPr="00582C40" w:rsidRDefault="00797D91" w:rsidP="00797D91">
      <w:pPr>
        <w:pStyle w:val="SingleTxtG"/>
        <w:suppressAutoHyphens/>
      </w:pPr>
      <w:r w:rsidRPr="00582C40">
        <w:t>40.</w:t>
      </w:r>
      <w:r w:rsidRPr="00582C40">
        <w:tab/>
        <w:t xml:space="preserve">La Secretaría de Estado en </w:t>
      </w:r>
      <w:r>
        <w:t>los</w:t>
      </w:r>
      <w:r w:rsidRPr="00582C40">
        <w:t xml:space="preserve"> </w:t>
      </w:r>
      <w:r w:rsidR="00260F37">
        <w:t>d</w:t>
      </w:r>
      <w:r w:rsidRPr="00582C40">
        <w:t>espacho</w:t>
      </w:r>
      <w:r>
        <w:t>s</w:t>
      </w:r>
      <w:r w:rsidRPr="00582C40">
        <w:t xml:space="preserve"> de </w:t>
      </w:r>
      <w:r w:rsidR="00260F37">
        <w:t>s</w:t>
      </w:r>
      <w:r w:rsidRPr="00582C40">
        <w:t xml:space="preserve">eguridad ha establecido una unidad especial </w:t>
      </w:r>
      <w:r>
        <w:t xml:space="preserve">a fin de </w:t>
      </w:r>
      <w:r w:rsidRPr="00582C40">
        <w:t>supervisar a las empresas privadas de seguridad</w:t>
      </w:r>
      <w:r>
        <w:t>,</w:t>
      </w:r>
      <w:r w:rsidRPr="00582C40">
        <w:t xml:space="preserve"> habida cuenta de la posibilidad de corrupción y del hecho de que pueden </w:t>
      </w:r>
      <w:r>
        <w:t>emplearse</w:t>
      </w:r>
      <w:r w:rsidRPr="00582C40">
        <w:t xml:space="preserve"> para cometer asesinatos</w:t>
      </w:r>
      <w:r>
        <w:t xml:space="preserve">. </w:t>
      </w:r>
      <w:r w:rsidRPr="00582C40">
        <w:t>Todas esas empresas y su personal están sujetos a un control muy estricto, en especial cuando se utilizan para apoyar las actividades de la policía</w:t>
      </w:r>
      <w:r>
        <w:t xml:space="preserve">. </w:t>
      </w:r>
      <w:r w:rsidRPr="00582C40">
        <w:t xml:space="preserve">Antes de contratarlos, se </w:t>
      </w:r>
      <w:r>
        <w:t>verifican</w:t>
      </w:r>
      <w:r w:rsidRPr="00582C40">
        <w:t xml:space="preserve"> los antecedentes de los antiguos oficiales de policía y ex soldados que solicitan trabajo en esas empresas.</w:t>
      </w:r>
    </w:p>
    <w:p w:rsidR="00797D91" w:rsidRPr="00582C40" w:rsidRDefault="00797D91" w:rsidP="00797D91">
      <w:pPr>
        <w:pStyle w:val="SingleTxtG"/>
        <w:suppressAutoHyphens/>
      </w:pPr>
      <w:r w:rsidRPr="00582C40">
        <w:t>41.</w:t>
      </w:r>
      <w:r w:rsidRPr="00582C40">
        <w:tab/>
        <w:t xml:space="preserve">El </w:t>
      </w:r>
      <w:r w:rsidRPr="00582C40">
        <w:rPr>
          <w:b/>
        </w:rPr>
        <w:t>Presidente</w:t>
      </w:r>
      <w:r w:rsidRPr="00582C40">
        <w:t xml:space="preserve"> dice que desea subrayar la importancia del hecho de que el Estado parte no imponga la pena de muerte</w:t>
      </w:r>
      <w:r>
        <w:t xml:space="preserve">, </w:t>
      </w:r>
      <w:r w:rsidRPr="00582C40">
        <w:t xml:space="preserve">lo </w:t>
      </w:r>
      <w:r>
        <w:t xml:space="preserve">que </w:t>
      </w:r>
      <w:r w:rsidRPr="00582C40">
        <w:t>arroja una luz considerable sobre la</w:t>
      </w:r>
      <w:r>
        <w:t xml:space="preserve"> reforma</w:t>
      </w:r>
      <w:r w:rsidRPr="00582C40">
        <w:t xml:space="preserve"> de su</w:t>
      </w:r>
      <w:r>
        <w:t>s</w:t>
      </w:r>
      <w:r w:rsidRPr="00582C40">
        <w:t xml:space="preserve"> procedimiento</w:t>
      </w:r>
      <w:r>
        <w:t>s</w:t>
      </w:r>
      <w:r w:rsidRPr="00582C40">
        <w:t xml:space="preserve"> penal</w:t>
      </w:r>
      <w:r>
        <w:t>es</w:t>
      </w:r>
      <w:r w:rsidRPr="00582C40">
        <w:t xml:space="preserve"> y otras reformas </w:t>
      </w:r>
      <w:r>
        <w:t xml:space="preserve">de índole </w:t>
      </w:r>
      <w:r w:rsidRPr="00582C40">
        <w:t>legislativa, que, según se espera, desembocarán en una reducción del número de casos de detención preventiva</w:t>
      </w:r>
      <w:r>
        <w:t xml:space="preserve">. </w:t>
      </w:r>
      <w:r w:rsidRPr="00582C40">
        <w:t xml:space="preserve">Además, el Estado parte ha realizado esfuerzos para </w:t>
      </w:r>
      <w:r>
        <w:t>capacitar</w:t>
      </w:r>
      <w:r w:rsidRPr="00582C40">
        <w:t xml:space="preserve"> al personal en materia de la Convención contra la Tortura y otros instrumentos internacionales</w:t>
      </w:r>
      <w:r>
        <w:t xml:space="preserve">. </w:t>
      </w:r>
      <w:r w:rsidRPr="00582C40">
        <w:t xml:space="preserve">Por lo que respecta a la supervisión de la policía, la experiencia de la región indica que los ciudadanos necesitan </w:t>
      </w:r>
      <w:r>
        <w:t>contar con</w:t>
      </w:r>
      <w:r w:rsidRPr="00582C40">
        <w:t xml:space="preserve"> que las instituciones del Estado responderán a sus necesidades legítimas dentro del marco de la ley.</w:t>
      </w:r>
    </w:p>
    <w:p w:rsidR="00797D91" w:rsidRPr="00582C40" w:rsidRDefault="00797D91" w:rsidP="00797D91">
      <w:pPr>
        <w:pStyle w:val="SingleTxtG"/>
        <w:suppressAutoHyphens/>
      </w:pPr>
      <w:r w:rsidRPr="00582C40">
        <w:t>42.</w:t>
      </w:r>
      <w:r w:rsidRPr="00582C40">
        <w:tab/>
        <w:t xml:space="preserve">Los esfuerzos por combatir la impunidad siguen revistiendo una importancia decisiva, en especial </w:t>
      </w:r>
      <w:r>
        <w:t xml:space="preserve">los referentes a </w:t>
      </w:r>
      <w:r w:rsidRPr="00582C40">
        <w:t>las desapariciones que se han producido en el pasado</w:t>
      </w:r>
      <w:r>
        <w:t xml:space="preserve">. </w:t>
      </w:r>
      <w:r w:rsidRPr="00582C40">
        <w:t>El Estado parte no ha creado ninguna comisión de la verdad, ni ha determinado la responsabilidad de acciones cometidas en relación con las desapariciones y aún queda mucho por hacer en lo tocante a la indemnización de las víctimas</w:t>
      </w:r>
      <w:r>
        <w:t xml:space="preserve">. </w:t>
      </w:r>
      <w:r w:rsidRPr="00582C40">
        <w:t xml:space="preserve">Las ONG que se han reunido con el Comité están esperando que se tomen medidas significativas y concretas </w:t>
      </w:r>
      <w:r>
        <w:t xml:space="preserve">por lo que hace a </w:t>
      </w:r>
      <w:r w:rsidRPr="00582C40">
        <w:t>la investigación de las desapariciones.</w:t>
      </w:r>
    </w:p>
    <w:p w:rsidR="00797D91" w:rsidRPr="00582C40" w:rsidRDefault="00797D91" w:rsidP="00797D91">
      <w:pPr>
        <w:pStyle w:val="SingleTxtG"/>
        <w:suppressAutoHyphens/>
      </w:pPr>
      <w:r w:rsidRPr="00582C40">
        <w:t>43.</w:t>
      </w:r>
      <w:r w:rsidRPr="00582C40">
        <w:tab/>
        <w:t>Pasando a la cuestión de la impunidad, el Comité estudiará los resultados del</w:t>
      </w:r>
      <w:r>
        <w:t xml:space="preserve"> caso</w:t>
      </w:r>
      <w:r w:rsidRPr="00582C40">
        <w:t xml:space="preserve"> de las personas condenadas y encarceladas en relación con el asesinato de dos defensores del medio ambiente, que posteriormente han </w:t>
      </w:r>
      <w:r>
        <w:t>desaparecido</w:t>
      </w:r>
      <w:r w:rsidRPr="00582C40">
        <w:t xml:space="preserve"> de la cárcel</w:t>
      </w:r>
      <w:r>
        <w:t xml:space="preserve">. </w:t>
      </w:r>
      <w:r w:rsidRPr="00582C40">
        <w:t xml:space="preserve">Se necesitará una investigación y posiblemente </w:t>
      </w:r>
      <w:r>
        <w:t xml:space="preserve">de carácter </w:t>
      </w:r>
      <w:r w:rsidRPr="00582C40">
        <w:t xml:space="preserve">penal para determinar quién es el responsable de </w:t>
      </w:r>
      <w:r>
        <w:t>esa medida</w:t>
      </w:r>
      <w:r w:rsidRPr="00582C40">
        <w:t>.</w:t>
      </w:r>
    </w:p>
    <w:p w:rsidR="00797D91" w:rsidRPr="00582C40" w:rsidRDefault="00797D91" w:rsidP="00797D91">
      <w:pPr>
        <w:pStyle w:val="SingleTxtG"/>
        <w:suppressAutoHyphens/>
      </w:pPr>
      <w:r w:rsidRPr="00582C40">
        <w:t>44.</w:t>
      </w:r>
      <w:r w:rsidRPr="00582C40">
        <w:tab/>
        <w:t xml:space="preserve">El Comité estudiará las medidas adoptadas por el Estado parte con miras a incorporar a su legislación interna </w:t>
      </w:r>
      <w:r>
        <w:t>la tipificación d</w:t>
      </w:r>
      <w:r w:rsidRPr="00582C40">
        <w:t>el delito de tortura</w:t>
      </w:r>
      <w:r>
        <w:t xml:space="preserve">. </w:t>
      </w:r>
      <w:r w:rsidRPr="00582C40">
        <w:t>Uno de los obj</w:t>
      </w:r>
      <w:r>
        <w:t>etivos de la ley estriba en serv</w:t>
      </w:r>
      <w:r w:rsidRPr="00582C40">
        <w:t>ir de guía para la conducta; sin embargo, las disposiciones pertinentes están desperdigadas y resultan confusas, tanto para los ciudadanos como para el Comité</w:t>
      </w:r>
      <w:r>
        <w:t xml:space="preserve">. </w:t>
      </w:r>
      <w:r w:rsidRPr="00582C40">
        <w:t xml:space="preserve">El Estado parte deberá, por </w:t>
      </w:r>
      <w:r>
        <w:t>consiguiente</w:t>
      </w:r>
      <w:r w:rsidRPr="00582C40">
        <w:t>, seguir mejorando y aclarando las leyes nacionales.</w:t>
      </w:r>
    </w:p>
    <w:p w:rsidR="00797D91" w:rsidRPr="00582C40" w:rsidRDefault="00797D91" w:rsidP="00797D91">
      <w:pPr>
        <w:pStyle w:val="SingleTxtG"/>
        <w:suppressAutoHyphens/>
      </w:pPr>
      <w:r w:rsidRPr="00582C40">
        <w:t>45.</w:t>
      </w:r>
      <w:r w:rsidRPr="00582C40">
        <w:tab/>
        <w:t>Durante el diálogo, se ha suscitado la preocupación acerca del cumplimiento de las normas internacionales para el trat</w:t>
      </w:r>
      <w:r>
        <w:t>amient</w:t>
      </w:r>
      <w:r w:rsidRPr="00582C40">
        <w:t>o de los presos y los detenidos; el Estado parte necesita crear los órganos de supervisión pertinentes</w:t>
      </w:r>
      <w:r>
        <w:t xml:space="preserve">. </w:t>
      </w:r>
      <w:r w:rsidRPr="00582C40">
        <w:t>Una cuestión clave es que en el Estado parte no exista la pena de muerte para los delitos comunes o de otra índole</w:t>
      </w:r>
      <w:r>
        <w:t xml:space="preserve">. </w:t>
      </w:r>
      <w:r w:rsidRPr="00582C40">
        <w:t>Los informes al Comité deben destacar sistemáticamente los casos en que se ha abolido la pena de muerte.</w:t>
      </w:r>
    </w:p>
    <w:p w:rsidR="00797D91" w:rsidRPr="00582C40" w:rsidRDefault="00797D91" w:rsidP="00797D91">
      <w:pPr>
        <w:pStyle w:val="SingleTxtG"/>
        <w:suppressAutoHyphens/>
      </w:pPr>
      <w:r w:rsidRPr="00582C40">
        <w:t>46.</w:t>
      </w:r>
      <w:r w:rsidRPr="00582C40">
        <w:tab/>
        <w:t xml:space="preserve">La </w:t>
      </w:r>
      <w:r w:rsidRPr="00582C40">
        <w:rPr>
          <w:b/>
        </w:rPr>
        <w:t>Sra. Svea</w:t>
      </w:r>
      <w:r w:rsidR="00260F37">
        <w:rPr>
          <w:b/>
        </w:rPr>
        <w:t>a</w:t>
      </w:r>
      <w:r w:rsidRPr="00582C40">
        <w:rPr>
          <w:b/>
        </w:rPr>
        <w:t>ss</w:t>
      </w:r>
      <w:r w:rsidRPr="00582C40">
        <w:t>, Correlatora para el país, declara que, en vista de las observaciones recogidas en la prensa hondureña, se debe subrayar que el Comité no ha elaborado aún conclusiones sino que se ha limitado a formular preguntas sobre la base de la información recibida del Estado parte y de las ONG; a la etapa de conclusiones se llegará cuando el Comité haya tenido la oportunidad de examinar las respuestas y la información suplementaria que se le haya facilitad</w:t>
      </w:r>
      <w:r w:rsidR="00260F37">
        <w:t>o</w:t>
      </w:r>
      <w:r w:rsidRPr="00582C40">
        <w:t>.</w:t>
      </w:r>
    </w:p>
    <w:p w:rsidR="00797D91" w:rsidRPr="00582C40" w:rsidRDefault="00797D91" w:rsidP="00797D91">
      <w:pPr>
        <w:pStyle w:val="SingleTxtG"/>
        <w:suppressAutoHyphens/>
      </w:pPr>
      <w:r w:rsidRPr="00582C40">
        <w:t>47.</w:t>
      </w:r>
      <w:r w:rsidRPr="00582C40">
        <w:tab/>
        <w:t xml:space="preserve">Toma nota de que se han </w:t>
      </w:r>
      <w:r>
        <w:t>adoptado</w:t>
      </w:r>
      <w:r w:rsidRPr="00582C40">
        <w:t xml:space="preserve"> medidas para apoyar a los defensores de los derechos humanos y expresa la esperanza de que esas medidas se consideren urgentes</w:t>
      </w:r>
      <w:r>
        <w:t xml:space="preserve">. </w:t>
      </w:r>
      <w:r w:rsidRPr="00582C40">
        <w:t>Observa que el Centro de Prevención, Tratamiento y Rehabilitación de las Víctimas de Torturas y sus Familias es una institución importante que ha sido objeto recientemente de amenazas; el Estado parte debe garantizar que esté adecuadamente protegida de dicho hostigamiento.</w:t>
      </w:r>
    </w:p>
    <w:p w:rsidR="00797D91" w:rsidRPr="00582C40" w:rsidRDefault="00797D91" w:rsidP="00797D91">
      <w:pPr>
        <w:pStyle w:val="SingleTxtG"/>
        <w:suppressAutoHyphens/>
      </w:pPr>
      <w:r w:rsidRPr="00582C40">
        <w:t>48.</w:t>
      </w:r>
      <w:r w:rsidRPr="00582C40">
        <w:tab/>
        <w:t xml:space="preserve">El Estado parte es uno de los </w:t>
      </w:r>
      <w:r>
        <w:t xml:space="preserve">diez </w:t>
      </w:r>
      <w:r w:rsidRPr="00582C40">
        <w:t xml:space="preserve">únicos países que han ratificado la Convención Internacional para la protección de todas las personas contra las desapariciones forzadas y lo ha hecho en el año 2008; </w:t>
      </w:r>
      <w:r>
        <w:t>a pesar de q</w:t>
      </w:r>
      <w:r w:rsidRPr="00582C40">
        <w:t>ue la Convención aún no se está aplicando, el hecho de que haya sido ratificada es un paso importante y positivo</w:t>
      </w:r>
      <w:r>
        <w:t xml:space="preserve">. </w:t>
      </w:r>
      <w:r w:rsidRPr="00582C40">
        <w:t>Pregunta si se tipificará la desaparición forzada para que sus autores puedan ser identificados y puedan presentar</w:t>
      </w:r>
      <w:r>
        <w:t>se</w:t>
      </w:r>
      <w:r w:rsidRPr="00582C40">
        <w:t xml:space="preserve"> cargos contra ellos.</w:t>
      </w:r>
    </w:p>
    <w:p w:rsidR="00797D91" w:rsidRPr="00582C40" w:rsidRDefault="00797D91" w:rsidP="00797D91">
      <w:pPr>
        <w:pStyle w:val="SingleTxtG"/>
        <w:suppressAutoHyphens/>
      </w:pPr>
      <w:r w:rsidRPr="00582C40">
        <w:t>49.</w:t>
      </w:r>
      <w:r w:rsidRPr="00582C40">
        <w:tab/>
        <w:t xml:space="preserve">Los delitos cometidos en el pasado </w:t>
      </w:r>
      <w:r>
        <w:t xml:space="preserve">ensombrecen </w:t>
      </w:r>
      <w:r w:rsidRPr="00582C40">
        <w:t>el presente y el futuro</w:t>
      </w:r>
      <w:r>
        <w:t xml:space="preserve">. </w:t>
      </w:r>
      <w:r w:rsidRPr="00582C40">
        <w:t>Pregunta qué se ha hecho para investigar y pedir cuentas a los miembros activos del Batallón 316, una unidad famosa por las numerosas muertes y graves actos de tortura, y si algún miembro de esa unidad permanece en activo</w:t>
      </w:r>
      <w:r>
        <w:t xml:space="preserve">. </w:t>
      </w:r>
      <w:r w:rsidRPr="00582C40">
        <w:t>Desea también saber si los oficiales de policía que han violado la Convención son expulsados del cuerpo, como ocurre con el personal militar</w:t>
      </w:r>
      <w:r>
        <w:t>,</w:t>
      </w:r>
      <w:r w:rsidRPr="00582C40">
        <w:t xml:space="preserve"> y además</w:t>
      </w:r>
      <w:r>
        <w:t>,</w:t>
      </w:r>
      <w:r w:rsidRPr="00582C40">
        <w:t xml:space="preserve"> si las funciones policiales están militarizadas.</w:t>
      </w:r>
    </w:p>
    <w:p w:rsidR="00797D91" w:rsidRPr="00582C40" w:rsidRDefault="00797D91" w:rsidP="00797D91">
      <w:pPr>
        <w:pStyle w:val="SingleTxtG"/>
        <w:suppressAutoHyphens/>
      </w:pPr>
      <w:r w:rsidRPr="00582C40">
        <w:t>50.</w:t>
      </w:r>
      <w:r w:rsidRPr="00582C40">
        <w:tab/>
        <w:t>Quiere que se le aclare si las denuncias contra la policía son objeto de una investigación independiente o son tramitadas por la propia policía</w:t>
      </w:r>
      <w:r>
        <w:t xml:space="preserve">. </w:t>
      </w:r>
      <w:r w:rsidRPr="00582C40">
        <w:t xml:space="preserve">En relación con la trata de mujeres y la violencia </w:t>
      </w:r>
      <w:r>
        <w:t>que padecen</w:t>
      </w:r>
      <w:r w:rsidRPr="00582C40">
        <w:t xml:space="preserve">, pide a la delegación que señale las medidas adoptadas </w:t>
      </w:r>
      <w:r>
        <w:t xml:space="preserve">a fin de </w:t>
      </w:r>
      <w:r w:rsidRPr="00582C40">
        <w:t xml:space="preserve"> proporcionar a las mujeres y a las niñas una rehabilitación</w:t>
      </w:r>
      <w:r>
        <w:t xml:space="preserve"> como</w:t>
      </w:r>
      <w:r w:rsidRPr="00582C40">
        <w:t>, por ejemplo, la creación de refugios o de centros de rehabilitación.</w:t>
      </w:r>
    </w:p>
    <w:p w:rsidR="00797D91" w:rsidRPr="00582C40" w:rsidRDefault="00797D91" w:rsidP="00797D91">
      <w:pPr>
        <w:pStyle w:val="SingleTxtG"/>
        <w:suppressAutoHyphens/>
      </w:pPr>
      <w:r w:rsidRPr="00582C40">
        <w:t>51.</w:t>
      </w:r>
      <w:r w:rsidRPr="00582C40">
        <w:tab/>
        <w:t xml:space="preserve">El </w:t>
      </w:r>
      <w:r w:rsidRPr="00582C40">
        <w:rPr>
          <w:b/>
        </w:rPr>
        <w:t>Sr. Gaye</w:t>
      </w:r>
      <w:r w:rsidRPr="00582C40">
        <w:t xml:space="preserve"> </w:t>
      </w:r>
      <w:r>
        <w:t>indica</w:t>
      </w:r>
      <w:r w:rsidRPr="00582C40">
        <w:t xml:space="preserve"> que ha tomado nota de que la legislación interna del Estado parte establece una sanción mínima de 10 y máxima de 15 años de prisión por el delito de tortura</w:t>
      </w:r>
      <w:r>
        <w:t xml:space="preserve">. </w:t>
      </w:r>
      <w:r w:rsidRPr="00582C40">
        <w:t>Solicita a la delegación que aclare la distinción establecida entre las personas detenidas a los efectos de una investigación policial y l</w:t>
      </w:r>
      <w:r>
        <w:t>a</w:t>
      </w:r>
      <w:r w:rsidRPr="00582C40">
        <w:t>s detenid</w:t>
      </w:r>
      <w:r>
        <w:t>a</w:t>
      </w:r>
      <w:r w:rsidRPr="00582C40">
        <w:t>s en el contexto de investigaciones y procedimientos judiciales</w:t>
      </w:r>
      <w:r>
        <w:t xml:space="preserve">. </w:t>
      </w:r>
      <w:r w:rsidRPr="00582C40">
        <w:t xml:space="preserve">Desea saber de qué salvaguardias legales disponen para </w:t>
      </w:r>
      <w:r>
        <w:t>estar seguros de</w:t>
      </w:r>
      <w:r w:rsidRPr="00582C40">
        <w:t xml:space="preserve"> que se controlará el período de privación de libertad, si tienen acceso al hábeas corpus o a otros recursos y si disponen de las </w:t>
      </w:r>
      <w:r>
        <w:t>garantías</w:t>
      </w:r>
      <w:r w:rsidRPr="00582C40">
        <w:t xml:space="preserve"> normales, es decir</w:t>
      </w:r>
      <w:r>
        <w:t xml:space="preserve">, el derecho a mantener </w:t>
      </w:r>
      <w:r w:rsidRPr="00582C40">
        <w:t>contacto</w:t>
      </w:r>
      <w:r>
        <w:t>s</w:t>
      </w:r>
      <w:r w:rsidRPr="00582C40">
        <w:t xml:space="preserve"> con sus familiares y a tener acceso a la asistencia letrada y a los médicos.</w:t>
      </w:r>
    </w:p>
    <w:p w:rsidR="00797D91" w:rsidRPr="00582C40" w:rsidRDefault="00797D91" w:rsidP="00797D91">
      <w:pPr>
        <w:pStyle w:val="SingleTxtG"/>
        <w:suppressAutoHyphens/>
      </w:pPr>
      <w:r w:rsidRPr="00582C40">
        <w:t>52.</w:t>
      </w:r>
      <w:r w:rsidRPr="00582C40">
        <w:tab/>
        <w:t>Pide a la delegación que aclare un poco más los ámbitos específicos de competencia tanto de la Corte Suprema de Justicia como del Tribunal Supremo Electoral, en relación con las iniciativas legislativas.</w:t>
      </w:r>
    </w:p>
    <w:p w:rsidR="00797D91" w:rsidRPr="00582C40" w:rsidRDefault="00797D91" w:rsidP="00797D91">
      <w:pPr>
        <w:pStyle w:val="SingleTxtG"/>
        <w:suppressAutoHyphens/>
      </w:pPr>
      <w:r w:rsidRPr="00582C40">
        <w:t>53.</w:t>
      </w:r>
      <w:r w:rsidRPr="00582C40">
        <w:tab/>
        <w:t xml:space="preserve">La </w:t>
      </w:r>
      <w:r w:rsidRPr="00582C40">
        <w:rPr>
          <w:b/>
        </w:rPr>
        <w:t>Sra. Belmir</w:t>
      </w:r>
      <w:r w:rsidRPr="00582C40">
        <w:t xml:space="preserve"> indica que la delegación quizás desee subrayar la </w:t>
      </w:r>
      <w:r>
        <w:t xml:space="preserve">gran </w:t>
      </w:r>
      <w:r w:rsidRPr="00582C40">
        <w:t xml:space="preserve">importancia de la escasez de instituciones </w:t>
      </w:r>
      <w:r>
        <w:t xml:space="preserve">destinadas a </w:t>
      </w:r>
      <w:r w:rsidRPr="00582C40">
        <w:t xml:space="preserve">supervisar la independencia del poder judicial, ya que esas instituciones son fundamentales para </w:t>
      </w:r>
      <w:r>
        <w:t>el ejercicio de</w:t>
      </w:r>
      <w:r w:rsidRPr="00582C40">
        <w:t xml:space="preserve"> los derechos</w:t>
      </w:r>
      <w:r>
        <w:t xml:space="preserve">. </w:t>
      </w:r>
      <w:r w:rsidRPr="00582C40">
        <w:t>Aunque el Estado parte ha ratificado tanto la Convención Internacional para la protección de todas las personas contra las desapariciones forzadas como la Convención Interamericana sobre la desaparición forzada de personas, estos casos siguen produciéndose con impunidad</w:t>
      </w:r>
      <w:r>
        <w:t xml:space="preserve">. </w:t>
      </w:r>
      <w:r w:rsidRPr="00582C40">
        <w:t>Solicita información adicional en relación con la ejecución extrajudicial de menores.</w:t>
      </w:r>
    </w:p>
    <w:p w:rsidR="00797D91" w:rsidRPr="00582C40" w:rsidRDefault="00797D91" w:rsidP="00797D91">
      <w:pPr>
        <w:pStyle w:val="SingleTxtG"/>
        <w:suppressAutoHyphens/>
      </w:pPr>
      <w:r w:rsidRPr="00582C40">
        <w:t>54.</w:t>
      </w:r>
      <w:r w:rsidRPr="00582C40">
        <w:tab/>
        <w:t xml:space="preserve">El objeto de la Convención contra la Tortura radica en prohibir cualquier </w:t>
      </w:r>
      <w:r>
        <w:t>atentado contra</w:t>
      </w:r>
      <w:r w:rsidRPr="00582C40">
        <w:t xml:space="preserve"> la dignidad humana, </w:t>
      </w:r>
      <w:r>
        <w:t xml:space="preserve">la intimidad y </w:t>
      </w:r>
      <w:r w:rsidRPr="00582C40">
        <w:t>la integridad física</w:t>
      </w:r>
      <w:r>
        <w:t xml:space="preserve">. </w:t>
      </w:r>
      <w:r w:rsidRPr="00582C40">
        <w:t>Sin embargo, los registros corporales practicados a las mujeres constituyen una infracción de hecho de la Convención</w:t>
      </w:r>
      <w:r>
        <w:t xml:space="preserve">. </w:t>
      </w:r>
      <w:r w:rsidRPr="00582C40">
        <w:t>Es</w:t>
      </w:r>
      <w:r>
        <w:t xml:space="preserve"> </w:t>
      </w:r>
      <w:r w:rsidRPr="00582C40">
        <w:t xml:space="preserve">responsabilidad del Estado parte </w:t>
      </w:r>
      <w:r>
        <w:t>buscar</w:t>
      </w:r>
      <w:r w:rsidRPr="00582C40">
        <w:t xml:space="preserve"> otros medios de obtener pruebas, por ejemplo, utilizando técnicas modernas de vigilancia.</w:t>
      </w:r>
    </w:p>
    <w:p w:rsidR="00797D91" w:rsidRPr="00582C40" w:rsidRDefault="00797D91" w:rsidP="00797D91">
      <w:pPr>
        <w:pStyle w:val="SingleTxtG"/>
        <w:suppressAutoHyphens/>
      </w:pPr>
      <w:r w:rsidRPr="00582C40">
        <w:t>55.</w:t>
      </w:r>
      <w:r w:rsidRPr="00582C40">
        <w:tab/>
        <w:t>En cuanto a la detención preventiva, es necesario establecer una diferencia entre los procedimientos previos y los procedimientos posteriores a la condena; aunque la detención preventiva puede ampliarse por un período concreto, es un procedimiento diferente y sumamente específico, por lo que los órganos de tratados no escatiman esfuerzos para garantizar que se utilice con prudencia</w:t>
      </w:r>
      <w:r>
        <w:t xml:space="preserve">. </w:t>
      </w:r>
      <w:r w:rsidRPr="00582C40">
        <w:t>Los Estados tienen la responsabilidad de pres</w:t>
      </w:r>
      <w:r>
        <w:t>entar pruebas de los delitos; a pesar de que</w:t>
      </w:r>
      <w:r w:rsidRPr="00582C40">
        <w:t xml:space="preserve"> quepa ampliar hasta seis meses el período de tiempo de que disponen para hacerlo en los casos en que las pruebas sean difíciles de obtener, esa responsabilidad no debe recaer sobre las personas detenidas</w:t>
      </w:r>
      <w:r>
        <w:t>,</w:t>
      </w:r>
      <w:r w:rsidRPr="00582C40">
        <w:t xml:space="preserve"> ya que eso equivale a una denegación de justicia</w:t>
      </w:r>
      <w:r>
        <w:t xml:space="preserve">. </w:t>
      </w:r>
      <w:r w:rsidRPr="00582C40">
        <w:t>Insta</w:t>
      </w:r>
      <w:r>
        <w:t>,</w:t>
      </w:r>
      <w:r w:rsidRPr="00582C40">
        <w:t xml:space="preserve"> por tanto</w:t>
      </w:r>
      <w:r w:rsidR="00260F37">
        <w:t>,</w:t>
      </w:r>
      <w:r w:rsidRPr="00582C40">
        <w:t xml:space="preserve"> al Estado p</w:t>
      </w:r>
      <w:r>
        <w:t>arte a revisar sus dis</w:t>
      </w:r>
      <w:r w:rsidRPr="00582C40">
        <w:t>posiciones sobre la detención preventiva, ya que no se pueden relegar al olvido principios como el de las debidas garantías procesales.</w:t>
      </w:r>
    </w:p>
    <w:p w:rsidR="00797D91" w:rsidRPr="00582C40" w:rsidRDefault="00797D91" w:rsidP="00797D91">
      <w:pPr>
        <w:pStyle w:val="SingleTxtG"/>
        <w:suppressAutoHyphens/>
      </w:pPr>
      <w:r w:rsidRPr="00582C40">
        <w:t>56.</w:t>
      </w:r>
      <w:r w:rsidRPr="00582C40">
        <w:tab/>
        <w:t xml:space="preserve">La </w:t>
      </w:r>
      <w:r w:rsidRPr="00582C40">
        <w:rPr>
          <w:b/>
        </w:rPr>
        <w:t xml:space="preserve">Sra. Kleopas </w:t>
      </w:r>
      <w:r w:rsidRPr="00582C40">
        <w:t>afirma que, en virtud de los artículos 12 y 13 de la Convención, los Estados partes velarán para que las autoridades competentes procedan a una investigación pronta e imparcial de las denuncias de tortura y malos tratos</w:t>
      </w:r>
      <w:r>
        <w:t xml:space="preserve">. </w:t>
      </w:r>
      <w:r w:rsidRPr="00582C40">
        <w:t xml:space="preserve">Pregunta si las denuncias </w:t>
      </w:r>
      <w:r>
        <w:t>interpuestas</w:t>
      </w:r>
      <w:r w:rsidRPr="00582C40">
        <w:t xml:space="preserve"> contra la policía son investigadas por la propia policía y cuántos oficiales de ese cuerpo han sido investigados, enjuiciados y condenados por torturas o malos tratos.</w:t>
      </w:r>
    </w:p>
    <w:p w:rsidR="00797D91" w:rsidRPr="00582C40" w:rsidRDefault="00797D91" w:rsidP="00797D91">
      <w:pPr>
        <w:pStyle w:val="SingleTxtG"/>
        <w:suppressAutoHyphens/>
      </w:pPr>
      <w:r w:rsidRPr="00582C40">
        <w:t>57.</w:t>
      </w:r>
      <w:r w:rsidRPr="00582C40">
        <w:tab/>
        <w:t xml:space="preserve">El </w:t>
      </w:r>
      <w:r w:rsidRPr="00582C40">
        <w:rPr>
          <w:b/>
        </w:rPr>
        <w:t>Sr. Mariño Menénde</w:t>
      </w:r>
      <w:r w:rsidR="00260F37">
        <w:rPr>
          <w:b/>
        </w:rPr>
        <w:t>z</w:t>
      </w:r>
      <w:r w:rsidRPr="00582C40">
        <w:rPr>
          <w:b/>
        </w:rPr>
        <w:t xml:space="preserve"> </w:t>
      </w:r>
      <w:r w:rsidRPr="00582C40">
        <w:t>pide a la delegación que facilite información más detallada sobre los procedimientos seguidos en el caso de extranjeros que no cumplen las leyes hondureñas de migración</w:t>
      </w:r>
      <w:r>
        <w:t xml:space="preserve">. </w:t>
      </w:r>
      <w:r w:rsidRPr="00582C40">
        <w:t xml:space="preserve">Según el informe (párr. 78), son dos </w:t>
      </w:r>
      <w:r>
        <w:t xml:space="preserve">aparentemente </w:t>
      </w:r>
      <w:r w:rsidRPr="00582C40">
        <w:t>las opciones</w:t>
      </w:r>
      <w:r>
        <w:t xml:space="preserve">. </w:t>
      </w:r>
      <w:r w:rsidRPr="00582C40">
        <w:t>La primera implica una amnistía migratoria, que parece referirse a un perdón concedido por la Secretaría de Gobernación y Justicia una vez que el extranjero ha sido expulsado o deportado del país, mientras que l</w:t>
      </w:r>
      <w:r>
        <w:t>a</w:t>
      </w:r>
      <w:r w:rsidRPr="00582C40">
        <w:t xml:space="preserve"> segund</w:t>
      </w:r>
      <w:r>
        <w:t>a</w:t>
      </w:r>
      <w:r w:rsidRPr="00582C40">
        <w:t xml:space="preserve"> </w:t>
      </w:r>
      <w:r>
        <w:t>conllev</w:t>
      </w:r>
      <w:r w:rsidRPr="00582C40">
        <w:t>a el establecimiento de plazos extraordinarios para regular las situaciones migratorias</w:t>
      </w:r>
      <w:r>
        <w:t xml:space="preserve">. </w:t>
      </w:r>
      <w:r w:rsidRPr="00582C40">
        <w:t>Pregunta si ambos procedimientos están vigentes, si en el primer caso el perdón puede ser concedido también mientras el extranjero a</w:t>
      </w:r>
      <w:r w:rsidR="00EF50E6">
        <w:t>ú</w:t>
      </w:r>
      <w:r w:rsidRPr="00582C40">
        <w:t>n permanece en el país y si el Gobierno tiene acceso al segundo</w:t>
      </w:r>
      <w:r>
        <w:t xml:space="preserve">. </w:t>
      </w:r>
      <w:r w:rsidRPr="00582C40">
        <w:t xml:space="preserve">Cree entender que es </w:t>
      </w:r>
      <w:r>
        <w:t>el órgano legislativo el</w:t>
      </w:r>
      <w:r w:rsidRPr="00582C40">
        <w:t xml:space="preserve"> que amplía los plazos, pero ello significa que tendrá que legislar cada cierto período de tiempo.</w:t>
      </w:r>
    </w:p>
    <w:p w:rsidR="00797D91" w:rsidRPr="00582C40" w:rsidRDefault="00797D91" w:rsidP="00797D91">
      <w:pPr>
        <w:pStyle w:val="SingleTxtG"/>
        <w:suppressAutoHyphens/>
      </w:pPr>
      <w:r w:rsidRPr="00582C40">
        <w:t>58.</w:t>
      </w:r>
      <w:r w:rsidRPr="00582C40">
        <w:tab/>
        <w:t xml:space="preserve">La </w:t>
      </w:r>
      <w:r w:rsidRPr="00582C40">
        <w:rPr>
          <w:b/>
        </w:rPr>
        <w:t xml:space="preserve">Sra. García Paredes </w:t>
      </w:r>
      <w:r w:rsidRPr="00582C40">
        <w:t>(Honduras) dice que el Instituto Nacional de la Mujer, en coordinación con otras organizaciones del Estado y la sociedad civil, está tomando medi</w:t>
      </w:r>
      <w:r>
        <w:t>d</w:t>
      </w:r>
      <w:r w:rsidRPr="00582C40">
        <w:t xml:space="preserve">as para </w:t>
      </w:r>
      <w:r>
        <w:t>determinar</w:t>
      </w:r>
      <w:r w:rsidRPr="00582C40">
        <w:t xml:space="preserve"> los mecanismos adecuados a fin de proteger los derechos de las mujeres </w:t>
      </w:r>
      <w:r>
        <w:t xml:space="preserve">objeto de </w:t>
      </w:r>
      <w:r w:rsidRPr="00582C40">
        <w:t>cualquier tipo de violencia</w:t>
      </w:r>
      <w:r>
        <w:t xml:space="preserve">. </w:t>
      </w:r>
      <w:r w:rsidRPr="00582C40">
        <w:t xml:space="preserve">El Instituto ha </w:t>
      </w:r>
      <w:r>
        <w:t>creado</w:t>
      </w:r>
      <w:r w:rsidRPr="00582C40">
        <w:t xml:space="preserve"> refugios en diferentes partes del país y está proporcionando asistencia técnica y financiera a dos ONG que trabajan específicamente con mujeres víctima</w:t>
      </w:r>
      <w:r>
        <w:t>s</w:t>
      </w:r>
      <w:r w:rsidRPr="00582C40">
        <w:t xml:space="preserve"> de </w:t>
      </w:r>
      <w:r>
        <w:t xml:space="preserve">la </w:t>
      </w:r>
      <w:r w:rsidRPr="00582C40">
        <w:t>violencia.</w:t>
      </w:r>
    </w:p>
    <w:p w:rsidR="00797D91" w:rsidRPr="00582C40" w:rsidRDefault="00797D91" w:rsidP="00797D91">
      <w:pPr>
        <w:pStyle w:val="SingleTxtG"/>
        <w:suppressAutoHyphens/>
      </w:pPr>
      <w:r w:rsidRPr="00582C40">
        <w:t>59.</w:t>
      </w:r>
      <w:r w:rsidRPr="00582C40">
        <w:tab/>
        <w:t xml:space="preserve">El presupuesto del Instituto se ha incrementado de manera significativa hace poco tiempo y, tras reconocer que la educación es un factor clave en el desarrollo y eliminación de la violencia, está centrando </w:t>
      </w:r>
      <w:r>
        <w:t xml:space="preserve">sus </w:t>
      </w:r>
      <w:r w:rsidRPr="00582C40">
        <w:t xml:space="preserve">esfuerzos </w:t>
      </w:r>
      <w:r>
        <w:t xml:space="preserve">en la </w:t>
      </w:r>
      <w:r w:rsidRPr="00582C40">
        <w:t>revis</w:t>
      </w:r>
      <w:r>
        <w:t>ión</w:t>
      </w:r>
      <w:r w:rsidRPr="00582C40">
        <w:t xml:space="preserve"> </w:t>
      </w:r>
      <w:r>
        <w:t xml:space="preserve">de </w:t>
      </w:r>
      <w:r w:rsidRPr="00582C40">
        <w:t>los planes de estudio escolares, con objeto de garantizar que los niños recib</w:t>
      </w:r>
      <w:r>
        <w:t>a</w:t>
      </w:r>
      <w:r w:rsidRPr="00582C40">
        <w:t>n una educación basada en el respeto de los derechos humanos fundamentales.</w:t>
      </w:r>
    </w:p>
    <w:p w:rsidR="00797D91" w:rsidRPr="00582C40" w:rsidRDefault="00797D91" w:rsidP="00797D91">
      <w:pPr>
        <w:pStyle w:val="SingleTxtG"/>
        <w:suppressAutoHyphens/>
      </w:pPr>
      <w:r w:rsidRPr="00582C40">
        <w:t>60.</w:t>
      </w:r>
      <w:r w:rsidRPr="00582C40">
        <w:tab/>
        <w:t xml:space="preserve">El </w:t>
      </w:r>
      <w:r w:rsidRPr="00582C40">
        <w:rPr>
          <w:b/>
        </w:rPr>
        <w:t xml:space="preserve">Sr. Urbizo </w:t>
      </w:r>
      <w:r w:rsidRPr="00582C40">
        <w:t xml:space="preserve">(Honduras) </w:t>
      </w:r>
      <w:r>
        <w:t>indica</w:t>
      </w:r>
      <w:r w:rsidRPr="00582C40">
        <w:t xml:space="preserve"> que su país ha </w:t>
      </w:r>
      <w:r>
        <w:t>abrazado de nuevo</w:t>
      </w:r>
      <w:r w:rsidRPr="00582C40">
        <w:t xml:space="preserve"> la democracia y </w:t>
      </w:r>
      <w:r>
        <w:t>e</w:t>
      </w:r>
      <w:r w:rsidRPr="00582C40">
        <w:t>l imperio de la ley</w:t>
      </w:r>
      <w:r>
        <w:t xml:space="preserve">. </w:t>
      </w:r>
      <w:r w:rsidRPr="00582C40">
        <w:t xml:space="preserve">Las autoridades militares están sometidas ahora a las autoridades civiles y se ha abolido la primacía del poder ejecutivo sobre los demás poderes porque se ha creado una </w:t>
      </w:r>
      <w:r>
        <w:t>asamblea legislativa</w:t>
      </w:r>
      <w:r w:rsidRPr="00582C40">
        <w:t xml:space="preserve"> y una judicatura fuertes e independientes</w:t>
      </w:r>
      <w:r>
        <w:t xml:space="preserve">. </w:t>
      </w:r>
      <w:r w:rsidRPr="00582C40">
        <w:t>El siglo XXI es el siglo de los derechos humanos e inculcar el respeto por los derechos humanos en Honduras ha sido una tarea ardua; desea, por tanto, aprovechar la oportunidad para rendir homenaje al Sr. Ramón Custodio López, el Comisionado Nacional de los Derechos Humanos, que ha representado un papel tan decisivo en ese aspecto.</w:t>
      </w:r>
    </w:p>
    <w:p w:rsidR="00797D91" w:rsidRPr="00E83B73" w:rsidRDefault="00797D91" w:rsidP="00797D91">
      <w:pPr>
        <w:pStyle w:val="SingleTxtG"/>
        <w:suppressAutoHyphens/>
        <w:jc w:val="left"/>
        <w:rPr>
          <w:i/>
        </w:rPr>
      </w:pPr>
      <w:r w:rsidRPr="00E83B73">
        <w:rPr>
          <w:i/>
        </w:rPr>
        <w:t>Se levanta la parte pública de la sesión a las 12.15 horas.</w:t>
      </w:r>
    </w:p>
    <w:p w:rsidR="00260F37" w:rsidRPr="00260F37" w:rsidRDefault="00797D91" w:rsidP="00260F37">
      <w:pPr>
        <w:pStyle w:val="SingleTxtG"/>
        <w:suppressAutoHyphens/>
        <w:spacing w:before="120"/>
        <w:jc w:val="center"/>
        <w:rPr>
          <w:u w:val="single"/>
        </w:rPr>
      </w:pPr>
      <w:r w:rsidRPr="00260F37">
        <w:rPr>
          <w:u w:val="single"/>
        </w:rPr>
        <w:tab/>
      </w:r>
      <w:r w:rsidRPr="00260F37">
        <w:rPr>
          <w:u w:val="single"/>
        </w:rPr>
        <w:tab/>
      </w:r>
      <w:r w:rsidRPr="00260F37">
        <w:rPr>
          <w:u w:val="single"/>
        </w:rPr>
        <w:tab/>
      </w:r>
    </w:p>
    <w:sectPr w:rsidR="00260F37" w:rsidRPr="00260F37" w:rsidSect="00797D9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016" w:rsidRDefault="00E47016">
      <w:r>
        <w:separator/>
      </w:r>
    </w:p>
  </w:endnote>
  <w:endnote w:type="continuationSeparator" w:id="0">
    <w:p w:rsidR="00E47016" w:rsidRDefault="00E47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D91" w:rsidRPr="00797D91" w:rsidRDefault="00797D91" w:rsidP="00797D91">
    <w:pPr>
      <w:pStyle w:val="Footer"/>
      <w:tabs>
        <w:tab w:val="right" w:pos="9598"/>
      </w:tabs>
    </w:pPr>
    <w:r w:rsidRPr="00797D91">
      <w:rPr>
        <w:b/>
        <w:sz w:val="18"/>
      </w:rPr>
      <w:fldChar w:fldCharType="begin"/>
    </w:r>
    <w:r w:rsidRPr="00797D91">
      <w:rPr>
        <w:b/>
        <w:sz w:val="18"/>
      </w:rPr>
      <w:instrText xml:space="preserve"> PAGE  \* MERGEFORMAT </w:instrText>
    </w:r>
    <w:r w:rsidRPr="00797D91">
      <w:rPr>
        <w:b/>
        <w:sz w:val="18"/>
      </w:rPr>
      <w:fldChar w:fldCharType="separate"/>
    </w:r>
    <w:r w:rsidR="00A928FF">
      <w:rPr>
        <w:b/>
        <w:noProof/>
        <w:sz w:val="18"/>
      </w:rPr>
      <w:t>10</w:t>
    </w:r>
    <w:r w:rsidRPr="00797D91">
      <w:rPr>
        <w:b/>
        <w:sz w:val="18"/>
      </w:rPr>
      <w:fldChar w:fldCharType="end"/>
    </w:r>
    <w:r>
      <w:rPr>
        <w:b/>
        <w:sz w:val="18"/>
      </w:rPr>
      <w:tab/>
    </w:r>
    <w:r>
      <w:t>GE.09-42222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D91" w:rsidRPr="00797D91" w:rsidRDefault="00797D91" w:rsidP="00797D91">
    <w:pPr>
      <w:pStyle w:val="Footer"/>
      <w:tabs>
        <w:tab w:val="right" w:pos="9598"/>
      </w:tabs>
      <w:rPr>
        <w:b/>
        <w:sz w:val="18"/>
      </w:rPr>
    </w:pPr>
    <w:r>
      <w:t>GE.09-42222</w:t>
    </w:r>
    <w:r>
      <w:tab/>
    </w:r>
    <w:r w:rsidRPr="00797D91">
      <w:rPr>
        <w:b/>
        <w:sz w:val="18"/>
      </w:rPr>
      <w:fldChar w:fldCharType="begin"/>
    </w:r>
    <w:r w:rsidRPr="00797D91">
      <w:rPr>
        <w:b/>
        <w:sz w:val="18"/>
      </w:rPr>
      <w:instrText xml:space="preserve"> PAGE  \* MERGEFORMAT </w:instrText>
    </w:r>
    <w:r w:rsidRPr="00797D91">
      <w:rPr>
        <w:b/>
        <w:sz w:val="18"/>
      </w:rPr>
      <w:fldChar w:fldCharType="separate"/>
    </w:r>
    <w:r w:rsidR="00A928FF">
      <w:rPr>
        <w:b/>
        <w:noProof/>
        <w:sz w:val="18"/>
      </w:rPr>
      <w:t>9</w:t>
    </w:r>
    <w:r w:rsidRPr="00797D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296" w:rsidRDefault="00797D91">
    <w:pPr>
      <w:pStyle w:val="Footer"/>
    </w:pPr>
    <w:r>
      <w:rPr>
        <w:sz w:val="20"/>
      </w:rPr>
      <w:t>GE.09-42222</w:t>
    </w:r>
    <w:r w:rsidR="00C2629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9124B5">
      <w:rPr>
        <w:sz w:val="20"/>
      </w:rPr>
      <w:t xml:space="preserve">    280909    161009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016" w:rsidRPr="001075E9" w:rsidRDefault="00E47016" w:rsidP="001075E9">
      <w:pPr>
        <w:tabs>
          <w:tab w:val="right" w:pos="2155"/>
        </w:tabs>
        <w:spacing w:after="80" w:line="240" w:lineRule="auto"/>
        <w:ind w:left="680"/>
        <w:rPr>
          <w:u w:val="single"/>
        </w:rPr>
      </w:pPr>
      <w:r>
        <w:rPr>
          <w:u w:val="single"/>
        </w:rPr>
        <w:tab/>
      </w:r>
    </w:p>
  </w:footnote>
  <w:footnote w:type="continuationSeparator" w:id="0">
    <w:p w:rsidR="00E47016" w:rsidRDefault="00E47016" w:rsidP="00407B78">
      <w:pPr>
        <w:tabs>
          <w:tab w:val="right" w:pos="2155"/>
        </w:tabs>
        <w:spacing w:after="80"/>
        <w:ind w:left="680"/>
        <w:rPr>
          <w:u w:val="single"/>
        </w:rPr>
      </w:pPr>
      <w:r>
        <w:rPr>
          <w:u w:val="single"/>
        </w:rPr>
        <w:tab/>
      </w:r>
    </w:p>
  </w:footnote>
  <w:footnote w:id="1">
    <w:p w:rsidR="00797D91" w:rsidRDefault="00797D91" w:rsidP="00EF50E6">
      <w:pPr>
        <w:pStyle w:val="FootnoteText"/>
      </w:pPr>
      <w:r>
        <w:tab/>
      </w:r>
      <w:r w:rsidRPr="009E7507">
        <w:rPr>
          <w:rStyle w:val="FootnoteReference"/>
          <w:sz w:val="20"/>
          <w:vertAlign w:val="baseline"/>
        </w:rPr>
        <w:t>*</w:t>
      </w:r>
      <w:r w:rsidRPr="009E7507">
        <w:tab/>
      </w:r>
      <w:r>
        <w:t>El acta resumida de la segunda parte (privada) de la sesión lleva la signatura CAT/C/SR.882/Add.1.</w:t>
      </w:r>
    </w:p>
    <w:p w:rsidR="00F63DE2" w:rsidRDefault="00F63DE2" w:rsidP="00F63DE2">
      <w:pPr>
        <w:pStyle w:val="Footer"/>
        <w:pBdr>
          <w:bottom w:val="single" w:sz="4" w:space="1" w:color="auto"/>
        </w:pBdr>
      </w:pPr>
    </w:p>
    <w:p w:rsidR="00797D91" w:rsidRDefault="00797D91" w:rsidP="00EF50E6">
      <w:pPr>
        <w:pStyle w:val="FootnoteText"/>
        <w:spacing w:after="120"/>
      </w:pPr>
      <w:r>
        <w:tab/>
      </w:r>
      <w:r>
        <w:tab/>
        <w:t xml:space="preserve">La presente acta </w:t>
      </w:r>
      <w:r w:rsidRPr="00EF50E6">
        <w:rPr>
          <w:lang w:val="es-ES_tradnl"/>
        </w:rPr>
        <w:t>podrá</w:t>
      </w:r>
      <w:r>
        <w:t xml:space="preserve"> ser objeto de correcciones.</w:t>
      </w:r>
    </w:p>
    <w:p w:rsidR="00797D91" w:rsidRDefault="00797D91" w:rsidP="00EF50E6">
      <w:pPr>
        <w:pStyle w:val="FootnoteText"/>
        <w:spacing w:after="120"/>
      </w:pPr>
      <w:r>
        <w:tab/>
      </w:r>
      <w:r>
        <w:tab/>
        <w:t xml:space="preserve">Las correcciones deberán </w:t>
      </w:r>
      <w:r w:rsidRPr="00EF50E6">
        <w:rPr>
          <w:lang w:val="es-ES_tradnl"/>
        </w:rPr>
        <w:t>redactarse</w:t>
      </w:r>
      <w:r>
        <w:t xml:space="preserve"> en uno de los idiomas de trabajo. Deberán presentarse en forma de memorando, incorporarse en un ejemplar del acta y enviarse, </w:t>
      </w:r>
      <w:r w:rsidRPr="00265794">
        <w:rPr>
          <w:i/>
        </w:rPr>
        <w:t>dentro del plazo de una semana a partir de la fecha del presente documento</w:t>
      </w:r>
      <w:r>
        <w:t>, a la Dependencia de Edición, Oficina E.4108, Palacio de las Naciones, Ginebra.</w:t>
      </w:r>
    </w:p>
    <w:p w:rsidR="00797D91" w:rsidRPr="009E7507" w:rsidRDefault="00797D91" w:rsidP="00EF50E6">
      <w:pPr>
        <w:pStyle w:val="FootnoteText"/>
        <w:spacing w:after="120"/>
      </w:pPr>
      <w:r>
        <w:tab/>
      </w:r>
      <w: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D91" w:rsidRPr="00797D91" w:rsidRDefault="00797D91" w:rsidP="00797D91">
    <w:pPr>
      <w:pStyle w:val="Header"/>
    </w:pPr>
    <w:r w:rsidRPr="00797D91">
      <w:t>CAT/C/SR.882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D91" w:rsidRPr="00797D91" w:rsidRDefault="00797D91" w:rsidP="00797D91">
    <w:pPr>
      <w:pStyle w:val="Header"/>
      <w:jc w:val="right"/>
    </w:pPr>
    <w:r w:rsidRPr="00797D91">
      <w:t>CAT/C/SR.882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6296"/>
    <w:rsid w:val="00033EE1"/>
    <w:rsid w:val="00042B72"/>
    <w:rsid w:val="000558BD"/>
    <w:rsid w:val="000B57E7"/>
    <w:rsid w:val="000F09DF"/>
    <w:rsid w:val="000F61B2"/>
    <w:rsid w:val="001075E9"/>
    <w:rsid w:val="00180183"/>
    <w:rsid w:val="0018649F"/>
    <w:rsid w:val="00196389"/>
    <w:rsid w:val="001B3EF6"/>
    <w:rsid w:val="001C2D8E"/>
    <w:rsid w:val="001C7A89"/>
    <w:rsid w:val="00260F37"/>
    <w:rsid w:val="002A2EFC"/>
    <w:rsid w:val="002C0E18"/>
    <w:rsid w:val="002D5AAC"/>
    <w:rsid w:val="00301299"/>
    <w:rsid w:val="00307FB6"/>
    <w:rsid w:val="00317339"/>
    <w:rsid w:val="00322004"/>
    <w:rsid w:val="003402C2"/>
    <w:rsid w:val="00381C24"/>
    <w:rsid w:val="003958D0"/>
    <w:rsid w:val="003B00E5"/>
    <w:rsid w:val="00407B78"/>
    <w:rsid w:val="00454E07"/>
    <w:rsid w:val="0050108D"/>
    <w:rsid w:val="00517901"/>
    <w:rsid w:val="005225A9"/>
    <w:rsid w:val="00526683"/>
    <w:rsid w:val="005709E0"/>
    <w:rsid w:val="00572E19"/>
    <w:rsid w:val="005903BF"/>
    <w:rsid w:val="005961C8"/>
    <w:rsid w:val="005D7914"/>
    <w:rsid w:val="005F0B42"/>
    <w:rsid w:val="00681A10"/>
    <w:rsid w:val="006C2031"/>
    <w:rsid w:val="006D461A"/>
    <w:rsid w:val="006E7247"/>
    <w:rsid w:val="006F35EE"/>
    <w:rsid w:val="007021FF"/>
    <w:rsid w:val="00757357"/>
    <w:rsid w:val="00797D91"/>
    <w:rsid w:val="00825F8D"/>
    <w:rsid w:val="00834B71"/>
    <w:rsid w:val="0086445C"/>
    <w:rsid w:val="00894693"/>
    <w:rsid w:val="008A08D7"/>
    <w:rsid w:val="008B6909"/>
    <w:rsid w:val="00906890"/>
    <w:rsid w:val="00911BE4"/>
    <w:rsid w:val="009124B5"/>
    <w:rsid w:val="00951972"/>
    <w:rsid w:val="00A84021"/>
    <w:rsid w:val="00A917B3"/>
    <w:rsid w:val="00A928FF"/>
    <w:rsid w:val="00AB4B51"/>
    <w:rsid w:val="00B10CC7"/>
    <w:rsid w:val="00B539E7"/>
    <w:rsid w:val="00B62458"/>
    <w:rsid w:val="00BD33EE"/>
    <w:rsid w:val="00C26296"/>
    <w:rsid w:val="00C60F0C"/>
    <w:rsid w:val="00C805C9"/>
    <w:rsid w:val="00C92939"/>
    <w:rsid w:val="00CA1679"/>
    <w:rsid w:val="00CE5A1A"/>
    <w:rsid w:val="00CF55F6"/>
    <w:rsid w:val="00D33D63"/>
    <w:rsid w:val="00D90138"/>
    <w:rsid w:val="00DA64FC"/>
    <w:rsid w:val="00E47016"/>
    <w:rsid w:val="00E73F76"/>
    <w:rsid w:val="00EF1360"/>
    <w:rsid w:val="00EF3220"/>
    <w:rsid w:val="00EF50E6"/>
    <w:rsid w:val="00F63DE2"/>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797D91"/>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autoRedefine/>
    <w:rsid w:val="00EF50E6"/>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5065</Words>
  <Characters>27860</Characters>
  <Application>Microsoft Office Word</Application>
  <DocSecurity>4</DocSecurity>
  <Lines>232</Lines>
  <Paragraphs>65</Paragraphs>
  <ScaleCrop>false</ScaleCrop>
  <HeadingPairs>
    <vt:vector size="2" baseType="variant">
      <vt:variant>
        <vt:lpstr>Título</vt:lpstr>
      </vt:variant>
      <vt:variant>
        <vt:i4>1</vt:i4>
      </vt:variant>
    </vt:vector>
  </HeadingPairs>
  <TitlesOfParts>
    <vt:vector size="1" baseType="lpstr">
      <vt:lpstr>CAT/C/SR.882</vt:lpstr>
    </vt:vector>
  </TitlesOfParts>
  <Company/>
  <LinksUpToDate>false</LinksUpToDate>
  <CharactersWithSpaces>32860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CAT/C/SR.882</dc:title>
  <dc:subject>Final</dc:subject>
  <dc:creator>C. Bragunde</dc:creator>
  <cp:keywords/>
  <dc:description/>
  <cp:lastModifiedBy>Admieng</cp:lastModifiedBy>
  <cp:revision>2</cp:revision>
  <cp:lastPrinted>2008-01-15T07:58:00Z</cp:lastPrinted>
  <dcterms:created xsi:type="dcterms:W3CDTF">2009-10-16T15:37:00Z</dcterms:created>
  <dcterms:modified xsi:type="dcterms:W3CDTF">2009-10-16T15:37:00Z</dcterms:modified>
</cp:coreProperties>
</file>