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18F22DC" w14:textId="77777777" w:rsidTr="005E08DF">
        <w:trPr>
          <w:cantSplit/>
          <w:trHeight w:hRule="exact" w:val="851"/>
        </w:trPr>
        <w:tc>
          <w:tcPr>
            <w:tcW w:w="1276" w:type="dxa"/>
            <w:tcBorders>
              <w:bottom w:val="single" w:sz="4" w:space="0" w:color="auto"/>
            </w:tcBorders>
            <w:vAlign w:val="bottom"/>
          </w:tcPr>
          <w:p w14:paraId="48B001E3" w14:textId="77777777" w:rsidR="00C9007B" w:rsidRDefault="00C9007B" w:rsidP="005E08DF">
            <w:pPr>
              <w:spacing w:after="80"/>
            </w:pPr>
          </w:p>
        </w:tc>
        <w:tc>
          <w:tcPr>
            <w:tcW w:w="2268" w:type="dxa"/>
            <w:tcBorders>
              <w:bottom w:val="single" w:sz="4" w:space="0" w:color="auto"/>
            </w:tcBorders>
            <w:vAlign w:val="bottom"/>
          </w:tcPr>
          <w:p w14:paraId="23453084"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06303A2" w14:textId="77777777" w:rsidR="00C9007B" w:rsidRDefault="007F0928" w:rsidP="007F0928">
            <w:pPr>
              <w:suppressAutoHyphens w:val="0"/>
              <w:spacing w:after="20"/>
              <w:jc w:val="right"/>
            </w:pPr>
            <w:r w:rsidRPr="007F0928">
              <w:rPr>
                <w:sz w:val="40"/>
              </w:rPr>
              <w:t>CRPD</w:t>
            </w:r>
            <w:r>
              <w:t>/C/28/2</w:t>
            </w:r>
          </w:p>
        </w:tc>
      </w:tr>
      <w:tr w:rsidR="00C9007B" w14:paraId="040345B0" w14:textId="77777777" w:rsidTr="005E08DF">
        <w:trPr>
          <w:cantSplit/>
          <w:trHeight w:hRule="exact" w:val="2835"/>
        </w:trPr>
        <w:tc>
          <w:tcPr>
            <w:tcW w:w="1276" w:type="dxa"/>
            <w:tcBorders>
              <w:top w:val="single" w:sz="4" w:space="0" w:color="auto"/>
              <w:bottom w:val="single" w:sz="12" w:space="0" w:color="auto"/>
            </w:tcBorders>
          </w:tcPr>
          <w:p w14:paraId="4B3936ED" w14:textId="77777777" w:rsidR="00C9007B" w:rsidRDefault="00C9007B" w:rsidP="005E08DF">
            <w:pPr>
              <w:spacing w:before="120"/>
              <w:jc w:val="center"/>
            </w:pPr>
            <w:r>
              <w:rPr>
                <w:noProof/>
                <w:lang w:val="fr-CH" w:eastAsia="fr-CH"/>
              </w:rPr>
              <w:drawing>
                <wp:inline distT="0" distB="0" distL="0" distR="0" wp14:anchorId="4EBCFE09" wp14:editId="436A7E9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7F81B0" w14:textId="48982EB4" w:rsidR="00C9007B" w:rsidRDefault="00C9007B" w:rsidP="00932DC8">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199F1CC6" w14:textId="77777777" w:rsidR="00C9007B" w:rsidRDefault="007F0928" w:rsidP="007F0928">
            <w:pPr>
              <w:spacing w:before="240"/>
            </w:pPr>
            <w:r>
              <w:t>Distr.: General</w:t>
            </w:r>
          </w:p>
          <w:p w14:paraId="081F979F" w14:textId="77777777" w:rsidR="007F0928" w:rsidRDefault="007F0928" w:rsidP="007F0928">
            <w:pPr>
              <w:suppressAutoHyphens w:val="0"/>
            </w:pPr>
            <w:r>
              <w:t>26 April 2023</w:t>
            </w:r>
          </w:p>
          <w:p w14:paraId="3F087160" w14:textId="77777777" w:rsidR="007F0928" w:rsidRDefault="007F0928" w:rsidP="007F0928">
            <w:pPr>
              <w:suppressAutoHyphens w:val="0"/>
            </w:pPr>
          </w:p>
          <w:p w14:paraId="41F235B5" w14:textId="77777777" w:rsidR="007F0928" w:rsidRDefault="007F0928" w:rsidP="007F0928">
            <w:pPr>
              <w:suppressAutoHyphens w:val="0"/>
            </w:pPr>
            <w:r>
              <w:t>Original: English</w:t>
            </w:r>
          </w:p>
        </w:tc>
      </w:tr>
    </w:tbl>
    <w:p w14:paraId="6F89ADD6" w14:textId="77777777" w:rsidR="00257AC6" w:rsidRPr="00026C34" w:rsidRDefault="00257AC6" w:rsidP="00257AC6">
      <w:pPr>
        <w:spacing w:before="120"/>
        <w:rPr>
          <w:b/>
          <w:sz w:val="24"/>
          <w:szCs w:val="24"/>
        </w:rPr>
      </w:pPr>
      <w:r w:rsidRPr="00026C34">
        <w:rPr>
          <w:b/>
          <w:sz w:val="24"/>
          <w:szCs w:val="24"/>
        </w:rPr>
        <w:t>Committee on the Rights of Persons with Disabilities</w:t>
      </w:r>
    </w:p>
    <w:p w14:paraId="0FDED73E" w14:textId="77777777" w:rsidR="00257AC6" w:rsidRPr="001461C4" w:rsidRDefault="00257AC6" w:rsidP="00B92E9C">
      <w:pPr>
        <w:pStyle w:val="HChG"/>
      </w:pPr>
      <w:r w:rsidRPr="001461C4">
        <w:tab/>
      </w:r>
      <w:r w:rsidRPr="001461C4">
        <w:tab/>
        <w:t>Report of the Committee on the Rights of Persons with Disabilities on its twenty-</w:t>
      </w:r>
      <w:r>
        <w:t>eighth</w:t>
      </w:r>
      <w:r w:rsidRPr="001461C4">
        <w:t xml:space="preserve"> session (</w:t>
      </w:r>
      <w:r>
        <w:t>6–24 March 2023</w:t>
      </w:r>
      <w:r w:rsidRPr="001461C4">
        <w:t>)</w:t>
      </w:r>
    </w:p>
    <w:p w14:paraId="72F41999" w14:textId="77777777" w:rsidR="00257AC6" w:rsidRPr="001461C4" w:rsidRDefault="00257AC6" w:rsidP="00257AC6">
      <w:pPr>
        <w:pStyle w:val="HChG"/>
      </w:pPr>
      <w:r w:rsidRPr="001461C4">
        <w:tab/>
        <w:t>I.</w:t>
      </w:r>
      <w:r w:rsidRPr="001461C4">
        <w:tab/>
        <w:t>States parties to the Convention and the Optional Protocol thereto</w:t>
      </w:r>
    </w:p>
    <w:p w14:paraId="1986E5A4" w14:textId="73EED5A6" w:rsidR="00257AC6" w:rsidRPr="001461C4" w:rsidRDefault="002D5B06" w:rsidP="002D5B06">
      <w:pPr>
        <w:pStyle w:val="SingleTxtG"/>
      </w:pPr>
      <w:r w:rsidRPr="001461C4">
        <w:t>1.</w:t>
      </w:r>
      <w:r w:rsidRPr="001461C4">
        <w:tab/>
      </w:r>
      <w:r w:rsidR="00257AC6" w:rsidRPr="001461C4">
        <w:t xml:space="preserve">As </w:t>
      </w:r>
      <w:r w:rsidR="00257AC6">
        <w:t>at</w:t>
      </w:r>
      <w:r w:rsidR="00257AC6" w:rsidRPr="001461C4">
        <w:t xml:space="preserve"> </w:t>
      </w:r>
      <w:r w:rsidR="00257AC6">
        <w:t>24 March 2023</w:t>
      </w:r>
      <w:r w:rsidR="00257AC6" w:rsidRPr="001461C4">
        <w:t xml:space="preserve">, the date on which the </w:t>
      </w:r>
      <w:r w:rsidR="00257AC6" w:rsidRPr="00880D48">
        <w:t>twenty-</w:t>
      </w:r>
      <w:r w:rsidR="00257AC6">
        <w:t xml:space="preserve">eighth </w:t>
      </w:r>
      <w:r w:rsidR="00257AC6" w:rsidRPr="001461C4">
        <w:t>session closed, there were 18</w:t>
      </w:r>
      <w:r w:rsidR="00257AC6">
        <w:t>6</w:t>
      </w:r>
      <w:r w:rsidR="00257AC6" w:rsidRPr="001461C4">
        <w:t xml:space="preserve"> States parties to the Convention on the Rights of Persons with Disabilities and </w:t>
      </w:r>
      <w:r w:rsidR="00257AC6">
        <w:t>104</w:t>
      </w:r>
      <w:r w:rsidR="00257AC6" w:rsidRPr="001461C4">
        <w:t xml:space="preserve"> States parties to the Optional Protocol thereto. The lists of States parties to these instruments are available on the website of the Office of Legal Affairs of the Secretariat.</w:t>
      </w:r>
    </w:p>
    <w:p w14:paraId="67247D26" w14:textId="77777777" w:rsidR="00257AC6" w:rsidRPr="001461C4" w:rsidRDefault="00257AC6" w:rsidP="00257AC6">
      <w:pPr>
        <w:pStyle w:val="HChG"/>
      </w:pPr>
      <w:r w:rsidRPr="001461C4">
        <w:tab/>
        <w:t>II.</w:t>
      </w:r>
      <w:r w:rsidRPr="001461C4">
        <w:tab/>
        <w:t>Opening of the twenty-</w:t>
      </w:r>
      <w:r>
        <w:t>eighth</w:t>
      </w:r>
      <w:r w:rsidRPr="001461C4">
        <w:t xml:space="preserve"> session of the Committee</w:t>
      </w:r>
    </w:p>
    <w:p w14:paraId="7DE1F9F6" w14:textId="15658D6A" w:rsidR="00257AC6" w:rsidRPr="001461C4" w:rsidRDefault="002D5B06" w:rsidP="002D5B06">
      <w:pPr>
        <w:pStyle w:val="SingleTxtG"/>
        <w:rPr>
          <w:rFonts w:eastAsia="Times New Roman"/>
          <w:color w:val="000000"/>
          <w:u w:color="000000"/>
          <w:bdr w:val="nil"/>
          <w:lang w:eastAsia="en-GB"/>
        </w:rPr>
      </w:pPr>
      <w:r w:rsidRPr="001461C4">
        <w:rPr>
          <w:rFonts w:eastAsia="Times New Roman"/>
          <w:color w:val="000000"/>
          <w:u w:color="000000"/>
          <w:bdr w:val="nil"/>
          <w:lang w:eastAsia="en-GB"/>
        </w:rPr>
        <w:t>2.</w:t>
      </w:r>
      <w:r w:rsidRPr="001461C4">
        <w:rPr>
          <w:rFonts w:eastAsia="Times New Roman"/>
          <w:color w:val="000000"/>
          <w:u w:color="000000"/>
          <w:bdr w:val="nil"/>
          <w:lang w:eastAsia="en-GB"/>
        </w:rPr>
        <w:tab/>
      </w:r>
      <w:r w:rsidR="00257AC6" w:rsidRPr="001461C4">
        <w:t>The</w:t>
      </w:r>
      <w:r w:rsidR="00257AC6" w:rsidRPr="001461C4">
        <w:rPr>
          <w:rFonts w:eastAsia="Times New Roman"/>
          <w:color w:val="000000"/>
          <w:u w:color="000000"/>
          <w:bdr w:val="nil"/>
          <w:lang w:eastAsia="en-GB"/>
        </w:rPr>
        <w:t xml:space="preserve"> twenty-</w:t>
      </w:r>
      <w:r w:rsidR="00257AC6">
        <w:rPr>
          <w:rFonts w:eastAsia="Times New Roman"/>
          <w:color w:val="000000"/>
          <w:u w:color="000000"/>
          <w:bdr w:val="nil"/>
          <w:lang w:eastAsia="en-GB"/>
        </w:rPr>
        <w:t>eighth</w:t>
      </w:r>
      <w:r w:rsidR="00257AC6" w:rsidRPr="001461C4">
        <w:rPr>
          <w:rFonts w:eastAsia="Times New Roman"/>
          <w:color w:val="000000"/>
          <w:u w:color="000000"/>
          <w:bdr w:val="nil"/>
          <w:lang w:eastAsia="en-GB"/>
        </w:rPr>
        <w:t xml:space="preserve"> session opened in a public meeting with welcoming remarks by the Chie</w:t>
      </w:r>
      <w:r w:rsidR="00257AC6">
        <w:rPr>
          <w:rFonts w:eastAsia="Times New Roman"/>
          <w:color w:val="000000"/>
          <w:u w:color="000000"/>
          <w:bdr w:val="nil"/>
          <w:lang w:eastAsia="en-GB"/>
        </w:rPr>
        <w:t xml:space="preserve">f of the </w:t>
      </w:r>
      <w:r w:rsidR="00257AC6" w:rsidRPr="00A07AB4">
        <w:t>Civil, Political, Economic, Social and Cultural Rights Section</w:t>
      </w:r>
      <w:r w:rsidR="00257AC6" w:rsidRPr="00F15A43">
        <w:rPr>
          <w:rFonts w:eastAsia="Times New Roman"/>
          <w:color w:val="000000"/>
          <w:u w:color="000000"/>
          <w:bdr w:val="nil"/>
          <w:lang w:eastAsia="en-GB"/>
        </w:rPr>
        <w:t>,</w:t>
      </w:r>
      <w:r w:rsidR="00257AC6">
        <w:rPr>
          <w:rFonts w:eastAsia="Times New Roman"/>
          <w:color w:val="000000"/>
          <w:u w:color="000000"/>
          <w:bdr w:val="nil"/>
          <w:lang w:eastAsia="en-GB"/>
        </w:rPr>
        <w:t xml:space="preserve"> Human Rights Treaty Branch, </w:t>
      </w:r>
      <w:r w:rsidR="00257AC6" w:rsidRPr="001461C4">
        <w:rPr>
          <w:rFonts w:eastAsia="Times New Roman"/>
          <w:color w:val="000000"/>
          <w:u w:color="000000"/>
          <w:bdr w:val="nil"/>
          <w:lang w:eastAsia="en-GB"/>
        </w:rPr>
        <w:t xml:space="preserve">Human Rights Council and Treaty Mechanisms </w:t>
      </w:r>
      <w:r w:rsidR="00257AC6" w:rsidRPr="001461C4">
        <w:t>Division</w:t>
      </w:r>
      <w:r w:rsidR="00257AC6">
        <w:t>,</w:t>
      </w:r>
      <w:r w:rsidR="00257AC6" w:rsidRPr="001461C4">
        <w:rPr>
          <w:rFonts w:eastAsia="Times New Roman"/>
          <w:color w:val="000000"/>
          <w:u w:color="000000"/>
          <w:bdr w:val="nil"/>
          <w:lang w:eastAsia="en-GB"/>
        </w:rPr>
        <w:t xml:space="preserve"> </w:t>
      </w:r>
      <w:r w:rsidR="00257AC6">
        <w:rPr>
          <w:rFonts w:eastAsia="Times New Roman"/>
          <w:color w:val="000000"/>
          <w:u w:color="000000"/>
          <w:bdr w:val="nil"/>
          <w:lang w:eastAsia="en-GB"/>
        </w:rPr>
        <w:t xml:space="preserve">Office </w:t>
      </w:r>
      <w:r w:rsidR="00257AC6" w:rsidRPr="001461C4">
        <w:rPr>
          <w:rFonts w:eastAsia="Times New Roman"/>
          <w:color w:val="000000"/>
          <w:u w:color="000000"/>
          <w:bdr w:val="nil"/>
          <w:lang w:eastAsia="en-GB"/>
        </w:rPr>
        <w:t>of the United Nations High Commissioner for Human Rights.</w:t>
      </w:r>
      <w:r w:rsidR="00257AC6" w:rsidRPr="001461C4">
        <w:rPr>
          <w:rFonts w:eastAsia="Times New Roman"/>
          <w:color w:val="000000"/>
          <w:spacing w:val="-5"/>
          <w:u w:color="000000"/>
          <w:bdr w:val="nil"/>
          <w:lang w:eastAsia="en-GB"/>
        </w:rPr>
        <w:t xml:space="preserve"> </w:t>
      </w:r>
      <w:r w:rsidR="00257AC6" w:rsidRPr="001461C4">
        <w:rPr>
          <w:rFonts w:eastAsia="Times New Roman"/>
          <w:color w:val="000000"/>
          <w:u w:color="000000"/>
          <w:bdr w:val="nil"/>
          <w:lang w:eastAsia="en-GB"/>
        </w:rPr>
        <w:t>The</w:t>
      </w:r>
      <w:r w:rsidR="00257AC6" w:rsidRPr="001461C4">
        <w:rPr>
          <w:rFonts w:eastAsia="Times New Roman"/>
          <w:color w:val="000000"/>
          <w:spacing w:val="-1"/>
          <w:u w:color="000000"/>
          <w:bdr w:val="nil"/>
          <w:lang w:eastAsia="en-GB"/>
        </w:rPr>
        <w:t xml:space="preserve"> </w:t>
      </w:r>
      <w:r w:rsidR="00257AC6" w:rsidRPr="001461C4">
        <w:rPr>
          <w:rFonts w:eastAsia="Times New Roman"/>
          <w:color w:val="000000"/>
          <w:u w:color="000000"/>
          <w:bdr w:val="nil"/>
          <w:lang w:eastAsia="en-GB"/>
        </w:rPr>
        <w:t>welcoming remarks are available on the</w:t>
      </w:r>
      <w:r w:rsidR="00257AC6" w:rsidRPr="001461C4">
        <w:rPr>
          <w:rFonts w:eastAsia="Times New Roman"/>
          <w:color w:val="000000"/>
          <w:spacing w:val="-1"/>
          <w:u w:color="000000"/>
          <w:bdr w:val="nil"/>
          <w:lang w:eastAsia="en-GB"/>
        </w:rPr>
        <w:t xml:space="preserve"> </w:t>
      </w:r>
      <w:r w:rsidR="00257AC6" w:rsidRPr="001461C4">
        <w:rPr>
          <w:rFonts w:eastAsia="Times New Roman"/>
          <w:color w:val="000000"/>
          <w:u w:color="000000"/>
          <w:bdr w:val="nil"/>
          <w:lang w:eastAsia="en-GB"/>
        </w:rPr>
        <w:t>Committee</w:t>
      </w:r>
      <w:r w:rsidR="003B68C1">
        <w:rPr>
          <w:rFonts w:eastAsia="Times New Roman"/>
          <w:color w:val="000000"/>
          <w:u w:color="000000"/>
          <w:bdr w:val="nil"/>
          <w:lang w:eastAsia="en-GB"/>
        </w:rPr>
        <w:t>’</w:t>
      </w:r>
      <w:r w:rsidR="00257AC6" w:rsidRPr="001461C4">
        <w:rPr>
          <w:rFonts w:eastAsia="Times New Roman"/>
          <w:color w:val="000000"/>
          <w:u w:color="000000"/>
          <w:bdr w:val="nil"/>
          <w:lang w:eastAsia="en-GB"/>
        </w:rPr>
        <w:t>s website.</w:t>
      </w:r>
    </w:p>
    <w:p w14:paraId="613F466E" w14:textId="05AB3D91" w:rsidR="00257AC6" w:rsidRPr="001461C4" w:rsidRDefault="002D5B06" w:rsidP="002D5B06">
      <w:pPr>
        <w:pStyle w:val="SingleTxtG"/>
        <w:rPr>
          <w:rFonts w:eastAsia="Times New Roman"/>
          <w:color w:val="000000"/>
          <w:u w:color="000000"/>
          <w:bdr w:val="nil"/>
          <w:lang w:eastAsia="en-GB"/>
        </w:rPr>
      </w:pPr>
      <w:r w:rsidRPr="001461C4">
        <w:rPr>
          <w:rFonts w:eastAsia="Times New Roman"/>
          <w:color w:val="000000"/>
          <w:u w:color="000000"/>
          <w:bdr w:val="nil"/>
          <w:lang w:eastAsia="en-GB"/>
        </w:rPr>
        <w:t>3.</w:t>
      </w:r>
      <w:r w:rsidRPr="001461C4">
        <w:rPr>
          <w:rFonts w:eastAsia="Times New Roman"/>
          <w:color w:val="000000"/>
          <w:u w:color="000000"/>
          <w:bdr w:val="nil"/>
          <w:lang w:eastAsia="en-GB"/>
        </w:rPr>
        <w:tab/>
      </w:r>
      <w:r w:rsidR="00257AC6" w:rsidRPr="001461C4">
        <w:rPr>
          <w:rFonts w:eastAsia="Times New Roman"/>
          <w:color w:val="000000"/>
          <w:u w:color="000000"/>
          <w:bdr w:val="nil"/>
          <w:lang w:eastAsia="en-GB"/>
        </w:rPr>
        <w:t>The Committee reviewed and adopted the provisional agenda</w:t>
      </w:r>
      <w:r w:rsidR="00257AC6" w:rsidRPr="003B68C1">
        <w:rPr>
          <w:rStyle w:val="FootnoteReference"/>
        </w:rPr>
        <w:footnoteReference w:id="1"/>
      </w:r>
      <w:r w:rsidR="00257AC6" w:rsidRPr="003B68C1">
        <w:rPr>
          <w:rStyle w:val="FootnoteReference"/>
        </w:rPr>
        <w:t xml:space="preserve"> </w:t>
      </w:r>
      <w:r w:rsidR="00257AC6" w:rsidRPr="001461C4">
        <w:rPr>
          <w:rFonts w:eastAsia="Times New Roman"/>
          <w:color w:val="000000"/>
          <w:u w:color="000000"/>
          <w:bdr w:val="nil"/>
          <w:lang w:eastAsia="en-GB"/>
        </w:rPr>
        <w:t>and programme of work for the twenty-</w:t>
      </w:r>
      <w:r w:rsidR="00257AC6">
        <w:rPr>
          <w:rFonts w:eastAsia="Times New Roman"/>
          <w:color w:val="000000"/>
          <w:u w:color="000000"/>
          <w:bdr w:val="nil"/>
          <w:lang w:eastAsia="en-GB"/>
        </w:rPr>
        <w:t>eighth</w:t>
      </w:r>
      <w:r w:rsidR="00257AC6" w:rsidRPr="001461C4">
        <w:rPr>
          <w:rFonts w:eastAsia="Times New Roman"/>
          <w:color w:val="000000"/>
          <w:u w:color="000000"/>
          <w:bdr w:val="nil"/>
          <w:lang w:eastAsia="en-GB"/>
        </w:rPr>
        <w:t xml:space="preserve"> session.</w:t>
      </w:r>
      <w:r w:rsidR="00257AC6" w:rsidRPr="00CB6ECF">
        <w:rPr>
          <w:rStyle w:val="FootnoteReference"/>
        </w:rPr>
        <w:t xml:space="preserve"> </w:t>
      </w:r>
    </w:p>
    <w:p w14:paraId="537DD1BC" w14:textId="77777777" w:rsidR="00257AC6" w:rsidRPr="001461C4" w:rsidRDefault="00257AC6" w:rsidP="00257AC6">
      <w:pPr>
        <w:pStyle w:val="HChG"/>
      </w:pPr>
      <w:r w:rsidRPr="001461C4">
        <w:tab/>
        <w:t>III.</w:t>
      </w:r>
      <w:r w:rsidRPr="001461C4">
        <w:tab/>
        <w:t>Membership of the Committee</w:t>
      </w:r>
    </w:p>
    <w:p w14:paraId="1CE40918" w14:textId="03D46173" w:rsidR="00257AC6" w:rsidRDefault="002D5B06" w:rsidP="002D5B06">
      <w:pPr>
        <w:pStyle w:val="SingleTxtG"/>
        <w:rPr>
          <w:rFonts w:eastAsia="Times New Roman"/>
          <w:color w:val="000000"/>
          <w:u w:color="000000"/>
          <w:bdr w:val="nil"/>
          <w:lang w:eastAsia="en-GB"/>
        </w:rPr>
      </w:pPr>
      <w:r>
        <w:rPr>
          <w:rFonts w:eastAsia="Times New Roman"/>
          <w:color w:val="000000"/>
          <w:u w:color="000000"/>
          <w:bdr w:val="nil"/>
          <w:lang w:eastAsia="en-GB"/>
        </w:rPr>
        <w:t>4.</w:t>
      </w:r>
      <w:r>
        <w:rPr>
          <w:rFonts w:eastAsia="Times New Roman"/>
          <w:color w:val="000000"/>
          <w:u w:color="000000"/>
          <w:bdr w:val="nil"/>
          <w:lang w:eastAsia="en-GB"/>
        </w:rPr>
        <w:tab/>
      </w:r>
      <w:r w:rsidR="00257AC6" w:rsidRPr="001461C4">
        <w:rPr>
          <w:rFonts w:eastAsia="Times New Roman"/>
          <w:color w:val="000000"/>
          <w:u w:color="000000"/>
          <w:bdr w:val="nil"/>
          <w:lang w:eastAsia="en-GB"/>
        </w:rPr>
        <w:t xml:space="preserve">The list of members of the Committee as </w:t>
      </w:r>
      <w:r w:rsidR="00257AC6">
        <w:rPr>
          <w:rFonts w:eastAsia="Times New Roman"/>
          <w:color w:val="000000"/>
          <w:u w:color="000000"/>
          <w:bdr w:val="nil"/>
          <w:lang w:eastAsia="en-GB"/>
        </w:rPr>
        <w:t>at</w:t>
      </w:r>
      <w:r w:rsidR="00257AC6" w:rsidRPr="001461C4">
        <w:rPr>
          <w:rFonts w:eastAsia="Times New Roman"/>
          <w:color w:val="000000"/>
          <w:u w:color="000000"/>
          <w:bdr w:val="nil"/>
          <w:lang w:eastAsia="en-GB"/>
        </w:rPr>
        <w:t xml:space="preserve"> </w:t>
      </w:r>
      <w:r w:rsidR="00257AC6">
        <w:rPr>
          <w:rFonts w:eastAsia="Times New Roman"/>
          <w:color w:val="000000"/>
          <w:u w:color="000000"/>
          <w:bdr w:val="nil"/>
          <w:lang w:eastAsia="en-GB"/>
        </w:rPr>
        <w:t>24 March 2023</w:t>
      </w:r>
      <w:r w:rsidR="00257AC6" w:rsidRPr="001461C4">
        <w:rPr>
          <w:rFonts w:eastAsia="Times New Roman"/>
          <w:color w:val="000000"/>
          <w:u w:color="000000"/>
          <w:bdr w:val="nil"/>
          <w:lang w:eastAsia="en-GB"/>
        </w:rPr>
        <w:t>, indicating the duration of their terms of office, is available on the</w:t>
      </w:r>
      <w:r w:rsidR="00257AC6" w:rsidRPr="001461C4">
        <w:rPr>
          <w:rFonts w:eastAsia="Times New Roman"/>
          <w:color w:val="000000"/>
          <w:spacing w:val="-1"/>
          <w:u w:color="000000"/>
          <w:bdr w:val="nil"/>
          <w:lang w:eastAsia="en-GB"/>
        </w:rPr>
        <w:t xml:space="preserve"> </w:t>
      </w:r>
      <w:r w:rsidR="00257AC6" w:rsidRPr="001461C4">
        <w:rPr>
          <w:rFonts w:eastAsia="Times New Roman"/>
          <w:color w:val="000000"/>
          <w:u w:color="000000"/>
          <w:bdr w:val="nil"/>
          <w:lang w:eastAsia="en-GB"/>
        </w:rPr>
        <w:t>Committee</w:t>
      </w:r>
      <w:r w:rsidR="003B68C1">
        <w:rPr>
          <w:rFonts w:eastAsia="Times New Roman"/>
          <w:color w:val="000000"/>
          <w:u w:color="000000"/>
          <w:bdr w:val="nil"/>
          <w:lang w:eastAsia="en-GB"/>
        </w:rPr>
        <w:t>’</w:t>
      </w:r>
      <w:r w:rsidR="00257AC6" w:rsidRPr="001461C4">
        <w:rPr>
          <w:rFonts w:eastAsia="Times New Roman"/>
          <w:color w:val="000000"/>
          <w:u w:color="000000"/>
          <w:bdr w:val="nil"/>
          <w:lang w:eastAsia="en-GB"/>
        </w:rPr>
        <w:t>s website.</w:t>
      </w:r>
    </w:p>
    <w:p w14:paraId="733D917E" w14:textId="77777777" w:rsidR="00257AC6" w:rsidRPr="00F94E4F" w:rsidRDefault="00257AC6" w:rsidP="00257AC6">
      <w:pPr>
        <w:pStyle w:val="HChG"/>
      </w:pPr>
      <w:r>
        <w:tab/>
        <w:t>IV.</w:t>
      </w:r>
      <w:r>
        <w:tab/>
      </w:r>
      <w:r w:rsidRPr="00F94E4F">
        <w:t xml:space="preserve">Election of the Bureau </w:t>
      </w:r>
    </w:p>
    <w:p w14:paraId="1C037C52" w14:textId="2AF493BC" w:rsidR="00257AC6" w:rsidRPr="00F94E4F" w:rsidRDefault="002D5B06" w:rsidP="002D5B06">
      <w:pPr>
        <w:pStyle w:val="SingleTxtG"/>
      </w:pPr>
      <w:r w:rsidRPr="00F94E4F">
        <w:t>5.</w:t>
      </w:r>
      <w:r w:rsidRPr="00F94E4F">
        <w:tab/>
      </w:r>
      <w:r w:rsidR="00257AC6" w:rsidRPr="00F94E4F">
        <w:t xml:space="preserve">The election of the Bureau was led by the </w:t>
      </w:r>
      <w:r w:rsidR="00257AC6" w:rsidRPr="00F15A43">
        <w:t xml:space="preserve">Chief of </w:t>
      </w:r>
      <w:r w:rsidR="00257AC6" w:rsidRPr="00A07AB4">
        <w:t>the</w:t>
      </w:r>
      <w:r w:rsidR="00257AC6" w:rsidRPr="00F15A43">
        <w:t xml:space="preserve"> Civil, Political, Economic, Social and Cultural Rights</w:t>
      </w:r>
      <w:r w:rsidR="00257AC6" w:rsidRPr="00A07AB4">
        <w:t xml:space="preserve"> Section</w:t>
      </w:r>
      <w:r w:rsidR="00257AC6" w:rsidRPr="00F15A43">
        <w:t>.</w:t>
      </w:r>
      <w:r w:rsidR="00257AC6" w:rsidRPr="00F94E4F">
        <w:t xml:space="preserve"> The following members were elected for a term of two years, in accordance with rules 15, 16 and 17 of the Committee</w:t>
      </w:r>
      <w:r w:rsidR="003B68C1">
        <w:t>’</w:t>
      </w:r>
      <w:r w:rsidR="00257AC6" w:rsidRPr="00F94E4F">
        <w:t>s rules of procedure:</w:t>
      </w:r>
    </w:p>
    <w:p w14:paraId="4CC51ED8" w14:textId="77777777" w:rsidR="00257AC6" w:rsidRPr="00F94E4F" w:rsidRDefault="00257AC6" w:rsidP="00257AC6">
      <w:pPr>
        <w:pStyle w:val="SingleTxtG"/>
        <w:tabs>
          <w:tab w:val="clear" w:pos="2268"/>
          <w:tab w:val="left" w:pos="3402"/>
        </w:tabs>
      </w:pPr>
      <w:r>
        <w:tab/>
      </w:r>
      <w:r w:rsidRPr="000A6F96">
        <w:rPr>
          <w:i/>
          <w:iCs/>
        </w:rPr>
        <w:t>Chair:</w:t>
      </w:r>
      <w:r>
        <w:tab/>
      </w:r>
      <w:r w:rsidRPr="00F94E4F">
        <w:tab/>
      </w:r>
      <w:r>
        <w:t>Gertrude Oforiwa Fefoame</w:t>
      </w:r>
    </w:p>
    <w:p w14:paraId="413D2221" w14:textId="77777777" w:rsidR="00257AC6" w:rsidRPr="00F94E4F" w:rsidRDefault="00257AC6" w:rsidP="00257AC6">
      <w:pPr>
        <w:pStyle w:val="SingleTxtG"/>
        <w:tabs>
          <w:tab w:val="clear" w:pos="2268"/>
          <w:tab w:val="left" w:pos="3402"/>
        </w:tabs>
        <w:spacing w:after="0"/>
      </w:pPr>
      <w:r>
        <w:tab/>
      </w:r>
      <w:r w:rsidRPr="000A6F96">
        <w:rPr>
          <w:i/>
          <w:iCs/>
        </w:rPr>
        <w:t>Vice-Chairs:</w:t>
      </w:r>
      <w:r>
        <w:tab/>
      </w:r>
      <w:r w:rsidRPr="00F94E4F">
        <w:tab/>
        <w:t>Amalia Eva Gamio Ríos</w:t>
      </w:r>
    </w:p>
    <w:p w14:paraId="615327C6" w14:textId="77777777" w:rsidR="00257AC6" w:rsidRPr="00A07AB4" w:rsidRDefault="00257AC6" w:rsidP="00257AC6">
      <w:pPr>
        <w:pStyle w:val="SingleTxtG"/>
        <w:tabs>
          <w:tab w:val="clear" w:pos="2268"/>
          <w:tab w:val="left" w:pos="3402"/>
        </w:tabs>
        <w:spacing w:after="0"/>
        <w:rPr>
          <w:lang w:val="en-US"/>
        </w:rPr>
      </w:pPr>
      <w:r w:rsidRPr="009275B8">
        <w:tab/>
      </w:r>
      <w:r w:rsidRPr="009275B8">
        <w:tab/>
      </w:r>
      <w:r w:rsidRPr="00A07AB4">
        <w:rPr>
          <w:lang w:val="en-US"/>
        </w:rPr>
        <w:t>Odelia Fituoussi</w:t>
      </w:r>
    </w:p>
    <w:p w14:paraId="4E29C453" w14:textId="77777777" w:rsidR="00257AC6" w:rsidRPr="00A07AB4" w:rsidRDefault="00257AC6" w:rsidP="00257AC6">
      <w:pPr>
        <w:pStyle w:val="SingleTxtG"/>
        <w:tabs>
          <w:tab w:val="clear" w:pos="2268"/>
          <w:tab w:val="left" w:pos="3402"/>
        </w:tabs>
        <w:rPr>
          <w:lang w:val="en-US"/>
        </w:rPr>
      </w:pPr>
      <w:r w:rsidRPr="00A07AB4">
        <w:rPr>
          <w:lang w:val="en-US"/>
        </w:rPr>
        <w:tab/>
      </w:r>
      <w:r w:rsidRPr="00A07AB4">
        <w:rPr>
          <w:lang w:val="en-US"/>
        </w:rPr>
        <w:tab/>
        <w:t>Rosemary Kayess</w:t>
      </w:r>
    </w:p>
    <w:p w14:paraId="335D857C" w14:textId="77777777" w:rsidR="00257AC6" w:rsidRPr="00A07AB4" w:rsidRDefault="00257AC6" w:rsidP="00257AC6">
      <w:pPr>
        <w:pStyle w:val="SingleTxtG"/>
        <w:tabs>
          <w:tab w:val="clear" w:pos="2268"/>
          <w:tab w:val="left" w:pos="3402"/>
        </w:tabs>
        <w:rPr>
          <w:lang w:val="en-US"/>
        </w:rPr>
      </w:pPr>
      <w:r w:rsidRPr="00A07AB4">
        <w:rPr>
          <w:lang w:val="en-US"/>
        </w:rPr>
        <w:tab/>
      </w:r>
      <w:r w:rsidRPr="00A07AB4">
        <w:rPr>
          <w:i/>
          <w:iCs/>
          <w:lang w:val="en-US"/>
        </w:rPr>
        <w:t>Rapporteur:</w:t>
      </w:r>
      <w:r w:rsidRPr="00A07AB4">
        <w:rPr>
          <w:lang w:val="en-US"/>
        </w:rPr>
        <w:tab/>
      </w:r>
      <w:r w:rsidRPr="00A07AB4">
        <w:rPr>
          <w:lang w:val="en-US"/>
        </w:rPr>
        <w:tab/>
        <w:t>Vivian Fern</w:t>
      </w:r>
      <w:r w:rsidRPr="00D32B3D">
        <w:rPr>
          <w:lang w:val="en-US"/>
        </w:rPr>
        <w:t>á</w:t>
      </w:r>
      <w:r w:rsidRPr="00A07AB4">
        <w:rPr>
          <w:lang w:val="en-US"/>
        </w:rPr>
        <w:t>ndez de Torrijos</w:t>
      </w:r>
    </w:p>
    <w:p w14:paraId="25D6BE04" w14:textId="27518404" w:rsidR="00257AC6" w:rsidRPr="001461C4" w:rsidRDefault="00257AC6" w:rsidP="00257AC6">
      <w:pPr>
        <w:pStyle w:val="HChG"/>
      </w:pPr>
      <w:r w:rsidRPr="00A07AB4">
        <w:rPr>
          <w:lang w:val="en-US"/>
        </w:rPr>
        <w:lastRenderedPageBreak/>
        <w:tab/>
      </w:r>
      <w:r w:rsidRPr="001461C4">
        <w:t>V.</w:t>
      </w:r>
      <w:r w:rsidRPr="001461C4">
        <w:tab/>
        <w:t>Working methods</w:t>
      </w:r>
    </w:p>
    <w:p w14:paraId="3A445C5F" w14:textId="70D15D48" w:rsidR="00257AC6" w:rsidRPr="001461C4" w:rsidRDefault="002D5B06" w:rsidP="002D5B06">
      <w:pPr>
        <w:pStyle w:val="SingleTxtG"/>
      </w:pPr>
      <w:r w:rsidRPr="001461C4">
        <w:t>6.</w:t>
      </w:r>
      <w:r w:rsidRPr="001461C4">
        <w:tab/>
      </w:r>
      <w:r w:rsidR="00257AC6" w:rsidRPr="001461C4">
        <w:rPr>
          <w:rFonts w:eastAsia="Times New Roman"/>
          <w:color w:val="000000"/>
          <w:u w:color="000000"/>
          <w:bdr w:val="nil"/>
          <w:lang w:eastAsia="en-GB"/>
        </w:rPr>
        <w:t>The</w:t>
      </w:r>
      <w:r w:rsidR="00257AC6" w:rsidRPr="001461C4">
        <w:t xml:space="preserve"> Committee discussed various issues related to its working methods and decided to continue updating and streamlining its working methods during the intersessional period.</w:t>
      </w:r>
    </w:p>
    <w:p w14:paraId="6B9875D6" w14:textId="7D424AAB" w:rsidR="00257AC6" w:rsidRPr="001461C4" w:rsidRDefault="00257AC6" w:rsidP="00257AC6">
      <w:pPr>
        <w:pStyle w:val="HChG"/>
      </w:pPr>
      <w:r w:rsidRPr="001461C4">
        <w:tab/>
        <w:t>V</w:t>
      </w:r>
      <w:r w:rsidR="00CD6A9C">
        <w:t>I</w:t>
      </w:r>
      <w:r w:rsidRPr="001461C4">
        <w:t>.</w:t>
      </w:r>
      <w:r w:rsidRPr="001461C4">
        <w:tab/>
        <w:t>Activities related to general comments</w:t>
      </w:r>
    </w:p>
    <w:p w14:paraId="52ED7DF7" w14:textId="606A8085" w:rsidR="00257AC6" w:rsidRPr="001461C4" w:rsidRDefault="002D5B06" w:rsidP="002D5B06">
      <w:pPr>
        <w:pStyle w:val="SingleTxtG"/>
        <w:rPr>
          <w:u w:color="000000"/>
          <w:bdr w:val="nil"/>
        </w:rPr>
      </w:pPr>
      <w:r w:rsidRPr="001461C4">
        <w:rPr>
          <w:u w:color="000000"/>
          <w:bdr w:val="nil"/>
        </w:rPr>
        <w:t>7.</w:t>
      </w:r>
      <w:r w:rsidRPr="001461C4">
        <w:rPr>
          <w:u w:color="000000"/>
          <w:bdr w:val="nil"/>
        </w:rPr>
        <w:tab/>
      </w:r>
      <w:r w:rsidR="00257AC6" w:rsidRPr="001461C4">
        <w:rPr>
          <w:u w:color="000000"/>
          <w:bdr w:val="nil"/>
        </w:rPr>
        <w:t xml:space="preserve">The Committee </w:t>
      </w:r>
      <w:r w:rsidR="00257AC6">
        <w:rPr>
          <w:u w:color="000000"/>
          <w:bdr w:val="nil"/>
        </w:rPr>
        <w:t xml:space="preserve">held a day of general discussion on persons with disabilities in situations of risk </w:t>
      </w:r>
      <w:r w:rsidR="00257AC6" w:rsidRPr="00D32B3D">
        <w:rPr>
          <w:u w:color="000000"/>
          <w:bdr w:val="nil"/>
        </w:rPr>
        <w:t>and humanitarian emergencies.</w:t>
      </w:r>
      <w:r w:rsidR="00257AC6">
        <w:rPr>
          <w:u w:color="000000"/>
          <w:bdr w:val="nil"/>
        </w:rPr>
        <w:t xml:space="preserve"> It also held several private briefings with partners with specific expertise on matters related to article 11 of the Convention on the Rights of Persons with Disabilities</w:t>
      </w:r>
      <w:r w:rsidR="008F7ED1">
        <w:rPr>
          <w:u w:color="000000"/>
          <w:bdr w:val="nil"/>
        </w:rPr>
        <w:t>.</w:t>
      </w:r>
    </w:p>
    <w:p w14:paraId="7C0643DE" w14:textId="73376B51" w:rsidR="00257AC6" w:rsidRPr="001461C4" w:rsidRDefault="00257AC6" w:rsidP="00257AC6">
      <w:pPr>
        <w:pStyle w:val="HChG"/>
      </w:pPr>
      <w:r w:rsidRPr="001461C4">
        <w:tab/>
        <w:t>V</w:t>
      </w:r>
      <w:r w:rsidR="00CD6A9C">
        <w:t>I</w:t>
      </w:r>
      <w:r w:rsidRPr="001461C4">
        <w:t>I.</w:t>
      </w:r>
      <w:r w:rsidRPr="001461C4">
        <w:tab/>
        <w:t>Activities related to the Optional Protocol</w:t>
      </w:r>
    </w:p>
    <w:p w14:paraId="1766A55F" w14:textId="5981B786" w:rsidR="00257AC6" w:rsidRDefault="002D5B06" w:rsidP="002D5B06">
      <w:pPr>
        <w:pStyle w:val="SingleTxtG"/>
      </w:pPr>
      <w:r>
        <w:t>8.</w:t>
      </w:r>
      <w:r>
        <w:tab/>
      </w:r>
      <w:r w:rsidR="00257AC6" w:rsidRPr="001461C4">
        <w:t xml:space="preserve">The Committee examined </w:t>
      </w:r>
      <w:r w:rsidR="00257AC6">
        <w:t xml:space="preserve">three </w:t>
      </w:r>
      <w:r w:rsidR="00257AC6" w:rsidRPr="001461C4">
        <w:t xml:space="preserve">communications. It found violations of the Convention in two of them: </w:t>
      </w:r>
      <w:r w:rsidR="00257AC6" w:rsidRPr="005A5228">
        <w:rPr>
          <w:i/>
          <w:iCs/>
        </w:rPr>
        <w:t xml:space="preserve">Mangisto and al-Sayed </w:t>
      </w:r>
      <w:r w:rsidR="00257AC6">
        <w:rPr>
          <w:i/>
          <w:iCs/>
        </w:rPr>
        <w:t>v. State of Palestine</w:t>
      </w:r>
      <w:r w:rsidR="00257AC6">
        <w:t>,</w:t>
      </w:r>
      <w:r w:rsidR="00257AC6" w:rsidRPr="003B68C1">
        <w:rPr>
          <w:rStyle w:val="FootnoteReference"/>
        </w:rPr>
        <w:footnoteReference w:id="2"/>
      </w:r>
      <w:bookmarkStart w:id="0" w:name="_bookmark4"/>
      <w:bookmarkEnd w:id="0"/>
      <w:r w:rsidR="002C18F8">
        <w:rPr>
          <w:color w:val="0000FF" w:themeColor="hyperlink"/>
          <w:lang w:eastAsia="en-US"/>
        </w:rPr>
        <w:fldChar w:fldCharType="begin"/>
      </w:r>
      <w:r w:rsidR="002C18F8">
        <w:rPr>
          <w:color w:val="0000FF" w:themeColor="hyperlink"/>
          <w:lang w:eastAsia="en-US"/>
        </w:rPr>
        <w:instrText xml:space="preserve"> HYPERLINK "C:\\Users\\araya\\Downloads\\27th Session Report (AB) (1).docx" \l "bookmark8" </w:instrText>
      </w:r>
      <w:r w:rsidR="002C18F8">
        <w:rPr>
          <w:color w:val="0000FF" w:themeColor="hyperlink"/>
          <w:lang w:eastAsia="en-US"/>
        </w:rPr>
        <w:fldChar w:fldCharType="separate"/>
      </w:r>
      <w:r w:rsidR="002C18F8">
        <w:rPr>
          <w:rStyle w:val="Hyperlink"/>
          <w:lang w:eastAsia="en-US"/>
        </w:rPr>
        <w:t xml:space="preserve"> </w:t>
      </w:r>
      <w:r w:rsidR="002C18F8">
        <w:rPr>
          <w:color w:val="0000FF" w:themeColor="hyperlink"/>
          <w:lang w:eastAsia="en-US"/>
        </w:rPr>
        <w:fldChar w:fldCharType="end"/>
      </w:r>
      <w:r w:rsidR="00257AC6" w:rsidRPr="001461C4">
        <w:t xml:space="preserve">regarding </w:t>
      </w:r>
      <w:r w:rsidR="00257AC6">
        <w:t>the disappearance and arbitrary detention of two persons with disabilities;</w:t>
      </w:r>
      <w:r w:rsidR="00257AC6" w:rsidRPr="001461C4">
        <w:t xml:space="preserve"> and </w:t>
      </w:r>
      <w:r w:rsidR="00257AC6" w:rsidRPr="005A5228">
        <w:rPr>
          <w:i/>
          <w:iCs/>
        </w:rPr>
        <w:t>García Vara</w:t>
      </w:r>
      <w:r w:rsidR="00257AC6">
        <w:rPr>
          <w:i/>
          <w:iCs/>
        </w:rPr>
        <w:t xml:space="preserve"> v. Mexico</w:t>
      </w:r>
      <w:r w:rsidR="00257AC6" w:rsidRPr="002F2D89">
        <w:t>,</w:t>
      </w:r>
      <w:r w:rsidR="00F47C2D">
        <w:t xml:space="preserve"> </w:t>
      </w:r>
      <w:r w:rsidR="00257AC6" w:rsidRPr="001461C4">
        <w:t xml:space="preserve">concerning the </w:t>
      </w:r>
      <w:r w:rsidR="00257AC6">
        <w:t>failure to provide</w:t>
      </w:r>
      <w:r w:rsidR="00257AC6" w:rsidRPr="001461C4">
        <w:t xml:space="preserve"> </w:t>
      </w:r>
      <w:r w:rsidR="00257AC6">
        <w:t>reasonable accommodation and accessibility with regard to the tertiary education system</w:t>
      </w:r>
      <w:r w:rsidR="00257AC6" w:rsidRPr="001461C4">
        <w:t xml:space="preserve">. </w:t>
      </w:r>
      <w:r w:rsidR="00257AC6">
        <w:t>In the third case,</w:t>
      </w:r>
      <w:r w:rsidR="00257AC6" w:rsidRPr="001461C4">
        <w:t xml:space="preserve"> </w:t>
      </w:r>
      <w:r w:rsidR="00257AC6">
        <w:rPr>
          <w:i/>
          <w:iCs/>
        </w:rPr>
        <w:t>P.L. et al.</w:t>
      </w:r>
      <w:r w:rsidR="00257AC6" w:rsidRPr="0086779F">
        <w:rPr>
          <w:i/>
          <w:iCs/>
        </w:rPr>
        <w:t xml:space="preserve"> </w:t>
      </w:r>
      <w:r w:rsidR="00257AC6">
        <w:rPr>
          <w:i/>
          <w:iCs/>
        </w:rPr>
        <w:t>v. France</w:t>
      </w:r>
      <w:r w:rsidR="00257AC6" w:rsidRPr="005F62C7">
        <w:t>,</w:t>
      </w:r>
      <w:r w:rsidR="00257AC6" w:rsidRPr="003B68C1">
        <w:rPr>
          <w:rStyle w:val="FootnoteReference"/>
        </w:rPr>
        <w:footnoteReference w:id="3"/>
      </w:r>
      <w:hyperlink r:id="rId9" w:anchor="bookmark10" w:history="1">
        <w:bookmarkStart w:id="1" w:name="_bookmark6"/>
        <w:bookmarkEnd w:id="1"/>
        <w:r w:rsidR="00257AC6" w:rsidRPr="005F62C7">
          <w:rPr>
            <w:color w:val="0000FF" w:themeColor="hyperlink"/>
          </w:rPr>
          <w:t xml:space="preserve"> </w:t>
        </w:r>
      </w:hyperlink>
      <w:r w:rsidR="00257AC6" w:rsidRPr="001461C4">
        <w:t xml:space="preserve">concerning withdrawal of life support </w:t>
      </w:r>
      <w:r w:rsidR="00257AC6">
        <w:t>from</w:t>
      </w:r>
      <w:r w:rsidR="00257AC6" w:rsidRPr="001461C4">
        <w:t xml:space="preserve"> a person with disabilities, </w:t>
      </w:r>
      <w:r w:rsidR="00257AC6">
        <w:t>t</w:t>
      </w:r>
      <w:r w:rsidR="00257AC6" w:rsidRPr="001461C4">
        <w:t xml:space="preserve">he Committee declared </w:t>
      </w:r>
      <w:r w:rsidR="00257AC6">
        <w:t>the</w:t>
      </w:r>
      <w:r w:rsidR="00257AC6" w:rsidRPr="001461C4">
        <w:t xml:space="preserve"> </w:t>
      </w:r>
      <w:r w:rsidR="00257AC6">
        <w:t>communication</w:t>
      </w:r>
      <w:r w:rsidR="00257AC6" w:rsidRPr="001461C4">
        <w:t xml:space="preserve"> inadmissible</w:t>
      </w:r>
      <w:r w:rsidR="00257AC6">
        <w:t xml:space="preserve">, </w:t>
      </w:r>
      <w:r w:rsidR="00257AC6" w:rsidRPr="001461C4">
        <w:t xml:space="preserve">as it </w:t>
      </w:r>
      <w:r w:rsidR="00257AC6">
        <w:t>concluded</w:t>
      </w:r>
      <w:r w:rsidR="00257AC6" w:rsidRPr="001461C4">
        <w:t xml:space="preserve"> that the </w:t>
      </w:r>
      <w:r w:rsidR="00257AC6">
        <w:t>authors of the communication lacked standing to act on behalf of the alleged victim</w:t>
      </w:r>
      <w:r w:rsidR="00257AC6" w:rsidRPr="001461C4">
        <w:t xml:space="preserve">. </w:t>
      </w:r>
    </w:p>
    <w:p w14:paraId="57E2DB97" w14:textId="35E2D13C" w:rsidR="00257AC6" w:rsidRPr="001461C4" w:rsidRDefault="002D5B06" w:rsidP="002D5B06">
      <w:pPr>
        <w:pStyle w:val="SingleTxtG"/>
      </w:pPr>
      <w:r w:rsidRPr="001461C4">
        <w:t>9.</w:t>
      </w:r>
      <w:r w:rsidRPr="001461C4">
        <w:tab/>
      </w:r>
      <w:r w:rsidR="00257AC6">
        <w:t>The Committee also adopted a follow-up progress report on individual communications. That report sets out information received</w:t>
      </w:r>
      <w:r w:rsidR="00257AC6" w:rsidRPr="0091161E">
        <w:t xml:space="preserve"> </w:t>
      </w:r>
      <w:r w:rsidR="00257AC6" w:rsidRPr="00197FD8">
        <w:t>by the Special Rapporteur for follow-up on Views between the twenty-third and twenty-eighth sessions pursuant to the Committee</w:t>
      </w:r>
      <w:r w:rsidR="003B68C1">
        <w:t>’</w:t>
      </w:r>
      <w:r w:rsidR="00257AC6" w:rsidRPr="00197FD8">
        <w:t>s rules of procedure</w:t>
      </w:r>
      <w:r w:rsidR="00257AC6">
        <w:t>, as well as the Committee</w:t>
      </w:r>
      <w:r w:rsidR="003B68C1">
        <w:t>’</w:t>
      </w:r>
      <w:r w:rsidR="00257AC6">
        <w:t>s assessments and decisions concerning the follow-up.</w:t>
      </w:r>
    </w:p>
    <w:p w14:paraId="350F24E5" w14:textId="6FAC3BF1" w:rsidR="00257AC6" w:rsidRPr="001461C4" w:rsidRDefault="002D5B06" w:rsidP="002D5B06">
      <w:pPr>
        <w:pStyle w:val="SingleTxtG"/>
      </w:pPr>
      <w:bookmarkStart w:id="2" w:name="_Hlk116475822"/>
      <w:r w:rsidRPr="001461C4">
        <w:t>10.</w:t>
      </w:r>
      <w:r w:rsidRPr="001461C4">
        <w:tab/>
      </w:r>
      <w:r w:rsidR="00257AC6" w:rsidRPr="001461C4">
        <w:t>The Views and decisions adopted by the Committee regarding the communications will be made available on</w:t>
      </w:r>
      <w:r w:rsidR="00257AC6">
        <w:t xml:space="preserve"> the Official Document System</w:t>
      </w:r>
      <w:r w:rsidR="00257AC6" w:rsidRPr="003B68C1">
        <w:rPr>
          <w:rStyle w:val="FootnoteReference"/>
        </w:rPr>
        <w:footnoteReference w:id="4"/>
      </w:r>
      <w:r w:rsidR="00257AC6" w:rsidRPr="003B68C1">
        <w:rPr>
          <w:rStyle w:val="FootnoteReference"/>
        </w:rPr>
        <w:t xml:space="preserve"> </w:t>
      </w:r>
      <w:r w:rsidR="00257AC6">
        <w:t>and</w:t>
      </w:r>
      <w:r w:rsidR="00257AC6" w:rsidRPr="001461C4">
        <w:t xml:space="preserve"> the Committee</w:t>
      </w:r>
      <w:r w:rsidR="003B68C1">
        <w:t>’</w:t>
      </w:r>
      <w:r w:rsidR="00257AC6" w:rsidRPr="001461C4">
        <w:t xml:space="preserve">s website. </w:t>
      </w:r>
      <w:r w:rsidR="00257AC6">
        <w:t xml:space="preserve">A </w:t>
      </w:r>
      <w:r w:rsidR="00257AC6" w:rsidRPr="003E44C7">
        <w:t xml:space="preserve">summary </w:t>
      </w:r>
      <w:r w:rsidR="00257AC6">
        <w:t xml:space="preserve">of the </w:t>
      </w:r>
      <w:r w:rsidR="00257AC6" w:rsidRPr="003E44C7">
        <w:t xml:space="preserve">Views and decisions </w:t>
      </w:r>
      <w:r w:rsidR="00257AC6">
        <w:t xml:space="preserve">adopted at the twenty-eighth session </w:t>
      </w:r>
      <w:r w:rsidR="00257AC6" w:rsidRPr="003E44C7">
        <w:t>may be found in annex III</w:t>
      </w:r>
      <w:r w:rsidR="00257AC6">
        <w:t xml:space="preserve"> </w:t>
      </w:r>
      <w:bookmarkStart w:id="3" w:name="_Hlk116476029"/>
      <w:r w:rsidR="00257AC6">
        <w:t>to the present report</w:t>
      </w:r>
      <w:bookmarkEnd w:id="3"/>
      <w:r w:rsidR="00257AC6" w:rsidRPr="003E44C7">
        <w:t>.</w:t>
      </w:r>
    </w:p>
    <w:bookmarkEnd w:id="2"/>
    <w:p w14:paraId="21073465" w14:textId="49E4F588" w:rsidR="00257AC6" w:rsidRPr="001461C4" w:rsidRDefault="002D5B06" w:rsidP="002D5B06">
      <w:pPr>
        <w:pStyle w:val="SingleTxtG"/>
      </w:pPr>
      <w:r w:rsidRPr="001461C4">
        <w:t>11.</w:t>
      </w:r>
      <w:r w:rsidRPr="001461C4">
        <w:tab/>
      </w:r>
      <w:r w:rsidR="00257AC6" w:rsidRPr="001461C4">
        <w:t>The Committee considered matters related to inquir</w:t>
      </w:r>
      <w:r w:rsidR="00257AC6">
        <w:t>y proceedings</w:t>
      </w:r>
      <w:r w:rsidR="00257AC6" w:rsidRPr="001461C4">
        <w:t xml:space="preserve"> </w:t>
      </w:r>
      <w:r w:rsidR="00257AC6">
        <w:t>pursuant to articles 6 and 7 of</w:t>
      </w:r>
      <w:r w:rsidR="00257AC6" w:rsidRPr="001461C4">
        <w:t xml:space="preserve"> the Optional Protocol.</w:t>
      </w:r>
    </w:p>
    <w:p w14:paraId="2C71B9F2" w14:textId="301D0387" w:rsidR="00257AC6" w:rsidRPr="001461C4" w:rsidRDefault="00257AC6" w:rsidP="00257AC6">
      <w:pPr>
        <w:pStyle w:val="HChG"/>
      </w:pPr>
      <w:r w:rsidRPr="001461C4">
        <w:tab/>
        <w:t>VI</w:t>
      </w:r>
      <w:r w:rsidR="00CD6A9C">
        <w:t>I</w:t>
      </w:r>
      <w:r w:rsidRPr="001461C4">
        <w:t>I.</w:t>
      </w:r>
      <w:r w:rsidRPr="001461C4">
        <w:tab/>
        <w:t>Future sessions</w:t>
      </w:r>
    </w:p>
    <w:p w14:paraId="21F735AF" w14:textId="74EBE9B9" w:rsidR="00257AC6" w:rsidRPr="001461C4" w:rsidRDefault="002D5B06" w:rsidP="002D5B06">
      <w:pPr>
        <w:pStyle w:val="SingleTxtG"/>
      </w:pPr>
      <w:bookmarkStart w:id="4" w:name="_Hlk113219885"/>
      <w:r w:rsidRPr="001461C4">
        <w:t>12.</w:t>
      </w:r>
      <w:r w:rsidRPr="001461C4">
        <w:tab/>
      </w:r>
      <w:r w:rsidR="00257AC6" w:rsidRPr="001461C4">
        <w:t>The</w:t>
      </w:r>
      <w:r w:rsidR="00257AC6" w:rsidRPr="001461C4">
        <w:rPr>
          <w:rFonts w:eastAsia="Times New Roman"/>
          <w:color w:val="000000"/>
          <w:spacing w:val="13"/>
          <w:szCs w:val="22"/>
          <w:u w:color="000000"/>
          <w:bdr w:val="nil"/>
          <w:lang w:eastAsia="en-GB"/>
        </w:rPr>
        <w:t xml:space="preserve"> </w:t>
      </w:r>
      <w:r w:rsidR="00257AC6" w:rsidRPr="001461C4">
        <w:rPr>
          <w:rFonts w:eastAsia="Times New Roman"/>
          <w:color w:val="000000"/>
          <w:szCs w:val="22"/>
          <w:u w:color="000000"/>
          <w:bdr w:val="nil"/>
          <w:lang w:eastAsia="en-GB"/>
        </w:rPr>
        <w:t>twenty-</w:t>
      </w:r>
      <w:r w:rsidR="00257AC6">
        <w:rPr>
          <w:rFonts w:eastAsia="Times New Roman"/>
          <w:color w:val="000000"/>
          <w:szCs w:val="22"/>
          <w:u w:color="000000"/>
          <w:bdr w:val="nil"/>
          <w:lang w:eastAsia="en-GB"/>
        </w:rPr>
        <w:t>ninth</w:t>
      </w:r>
      <w:r w:rsidR="00257AC6" w:rsidRPr="001461C4">
        <w:rPr>
          <w:rFonts w:eastAsia="Times New Roman"/>
          <w:color w:val="000000"/>
          <w:spacing w:val="13"/>
          <w:szCs w:val="22"/>
          <w:u w:color="000000"/>
          <w:bdr w:val="nil"/>
          <w:lang w:eastAsia="en-GB"/>
        </w:rPr>
        <w:t xml:space="preserve"> </w:t>
      </w:r>
      <w:r w:rsidR="00257AC6" w:rsidRPr="001461C4">
        <w:rPr>
          <w:rFonts w:eastAsia="Times New Roman"/>
          <w:color w:val="000000"/>
          <w:szCs w:val="22"/>
          <w:u w:color="000000"/>
          <w:bdr w:val="nil"/>
          <w:lang w:eastAsia="en-GB"/>
        </w:rPr>
        <w:t>session</w:t>
      </w:r>
      <w:r w:rsidR="00257AC6" w:rsidRPr="001461C4">
        <w:rPr>
          <w:rFonts w:eastAsia="Times New Roman"/>
          <w:color w:val="000000"/>
          <w:spacing w:val="13"/>
          <w:szCs w:val="22"/>
          <w:u w:color="000000"/>
          <w:bdr w:val="nil"/>
          <w:lang w:eastAsia="en-GB"/>
        </w:rPr>
        <w:t xml:space="preserve"> </w:t>
      </w:r>
      <w:r w:rsidR="00257AC6" w:rsidRPr="001461C4">
        <w:rPr>
          <w:rFonts w:eastAsia="Times New Roman"/>
          <w:color w:val="000000"/>
          <w:szCs w:val="22"/>
          <w:u w:color="000000"/>
          <w:bdr w:val="nil"/>
          <w:lang w:eastAsia="en-GB"/>
        </w:rPr>
        <w:t>of</w:t>
      </w:r>
      <w:r w:rsidR="00257AC6" w:rsidRPr="001461C4">
        <w:rPr>
          <w:rFonts w:eastAsia="Times New Roman"/>
          <w:color w:val="000000"/>
          <w:spacing w:val="13"/>
          <w:szCs w:val="22"/>
          <w:u w:color="000000"/>
          <w:bdr w:val="nil"/>
          <w:lang w:eastAsia="en-GB"/>
        </w:rPr>
        <w:t xml:space="preserve"> </w:t>
      </w:r>
      <w:r w:rsidR="00257AC6" w:rsidRPr="001461C4">
        <w:rPr>
          <w:rFonts w:eastAsia="Times New Roman"/>
          <w:color w:val="000000"/>
          <w:szCs w:val="22"/>
          <w:u w:color="000000"/>
          <w:bdr w:val="nil"/>
          <w:lang w:eastAsia="en-GB"/>
        </w:rPr>
        <w:t>the</w:t>
      </w:r>
      <w:r w:rsidR="00257AC6" w:rsidRPr="001461C4">
        <w:rPr>
          <w:rFonts w:eastAsia="Times New Roman"/>
          <w:color w:val="000000"/>
          <w:spacing w:val="14"/>
          <w:szCs w:val="22"/>
          <w:u w:color="000000"/>
          <w:bdr w:val="nil"/>
          <w:lang w:eastAsia="en-GB"/>
        </w:rPr>
        <w:t xml:space="preserve"> </w:t>
      </w:r>
      <w:r w:rsidR="00257AC6" w:rsidRPr="001461C4">
        <w:rPr>
          <w:rFonts w:eastAsia="Times New Roman"/>
          <w:color w:val="000000"/>
          <w:szCs w:val="22"/>
          <w:u w:color="000000"/>
          <w:bdr w:val="nil"/>
          <w:lang w:eastAsia="en-GB"/>
        </w:rPr>
        <w:t>Committee</w:t>
      </w:r>
      <w:r w:rsidR="00257AC6" w:rsidRPr="001461C4">
        <w:rPr>
          <w:rFonts w:eastAsia="Times New Roman"/>
          <w:color w:val="000000"/>
          <w:spacing w:val="13"/>
          <w:szCs w:val="22"/>
          <w:u w:color="000000"/>
          <w:bdr w:val="nil"/>
          <w:lang w:eastAsia="en-GB"/>
        </w:rPr>
        <w:t xml:space="preserve"> </w:t>
      </w:r>
      <w:r w:rsidR="00257AC6" w:rsidRPr="001461C4">
        <w:rPr>
          <w:rFonts w:eastAsia="Times New Roman"/>
          <w:color w:val="000000"/>
          <w:szCs w:val="22"/>
          <w:u w:color="000000"/>
          <w:bdr w:val="nil"/>
          <w:lang w:eastAsia="en-GB"/>
        </w:rPr>
        <w:t>is</w:t>
      </w:r>
      <w:r w:rsidR="00257AC6" w:rsidRPr="001461C4">
        <w:rPr>
          <w:rFonts w:eastAsia="Times New Roman"/>
          <w:color w:val="000000"/>
          <w:spacing w:val="13"/>
          <w:szCs w:val="22"/>
          <w:u w:color="000000"/>
          <w:bdr w:val="nil"/>
          <w:lang w:eastAsia="en-GB"/>
        </w:rPr>
        <w:t xml:space="preserve"> </w:t>
      </w:r>
      <w:r w:rsidR="00257AC6" w:rsidRPr="001461C4">
        <w:rPr>
          <w:rFonts w:eastAsia="Times New Roman"/>
          <w:color w:val="000000"/>
          <w:szCs w:val="22"/>
          <w:u w:color="000000"/>
          <w:bdr w:val="nil"/>
          <w:lang w:eastAsia="en-GB"/>
        </w:rPr>
        <w:t>provisionally</w:t>
      </w:r>
      <w:r w:rsidR="00257AC6" w:rsidRPr="001461C4">
        <w:rPr>
          <w:rFonts w:eastAsia="Times New Roman"/>
          <w:color w:val="000000"/>
          <w:spacing w:val="13"/>
          <w:szCs w:val="22"/>
          <w:u w:color="000000"/>
          <w:bdr w:val="nil"/>
          <w:lang w:eastAsia="en-GB"/>
        </w:rPr>
        <w:t xml:space="preserve"> </w:t>
      </w:r>
      <w:r w:rsidR="00257AC6" w:rsidRPr="001461C4">
        <w:rPr>
          <w:rFonts w:eastAsia="Times New Roman"/>
          <w:color w:val="000000"/>
          <w:szCs w:val="22"/>
          <w:u w:color="000000"/>
          <w:bdr w:val="nil"/>
          <w:lang w:eastAsia="en-GB"/>
        </w:rPr>
        <w:t>scheduled</w:t>
      </w:r>
      <w:r w:rsidR="00257AC6" w:rsidRPr="001461C4">
        <w:rPr>
          <w:rFonts w:eastAsia="Times New Roman"/>
          <w:color w:val="000000"/>
          <w:spacing w:val="13"/>
          <w:szCs w:val="22"/>
          <w:u w:color="000000"/>
          <w:bdr w:val="nil"/>
          <w:lang w:eastAsia="en-GB"/>
        </w:rPr>
        <w:t xml:space="preserve"> </w:t>
      </w:r>
      <w:r w:rsidR="00257AC6" w:rsidRPr="001461C4">
        <w:rPr>
          <w:rFonts w:eastAsia="Times New Roman"/>
          <w:color w:val="000000"/>
          <w:szCs w:val="22"/>
          <w:u w:color="000000"/>
          <w:bdr w:val="nil"/>
          <w:lang w:eastAsia="en-GB"/>
        </w:rPr>
        <w:t>to</w:t>
      </w:r>
      <w:r w:rsidR="00257AC6" w:rsidRPr="001461C4">
        <w:rPr>
          <w:rFonts w:eastAsia="Times New Roman"/>
          <w:color w:val="000000"/>
          <w:spacing w:val="14"/>
          <w:szCs w:val="22"/>
          <w:u w:color="000000"/>
          <w:bdr w:val="nil"/>
          <w:lang w:eastAsia="en-GB"/>
        </w:rPr>
        <w:t xml:space="preserve"> </w:t>
      </w:r>
      <w:r w:rsidR="00257AC6" w:rsidRPr="001461C4">
        <w:rPr>
          <w:rFonts w:eastAsia="Times New Roman"/>
          <w:color w:val="000000"/>
          <w:szCs w:val="22"/>
          <w:u w:color="000000"/>
          <w:bdr w:val="nil"/>
          <w:lang w:eastAsia="en-GB"/>
        </w:rPr>
        <w:t>be</w:t>
      </w:r>
      <w:r w:rsidR="00257AC6" w:rsidRPr="001461C4">
        <w:rPr>
          <w:rFonts w:eastAsia="Times New Roman"/>
          <w:color w:val="000000"/>
          <w:spacing w:val="13"/>
          <w:szCs w:val="22"/>
          <w:u w:color="000000"/>
          <w:bdr w:val="nil"/>
          <w:lang w:eastAsia="en-GB"/>
        </w:rPr>
        <w:t xml:space="preserve"> </w:t>
      </w:r>
      <w:r w:rsidR="00257AC6" w:rsidRPr="001461C4">
        <w:rPr>
          <w:rFonts w:eastAsia="Times New Roman"/>
          <w:color w:val="000000"/>
          <w:szCs w:val="22"/>
          <w:u w:color="000000"/>
          <w:bdr w:val="nil"/>
          <w:lang w:eastAsia="en-GB"/>
        </w:rPr>
        <w:t xml:space="preserve">held in Geneva from </w:t>
      </w:r>
      <w:r w:rsidR="00257AC6">
        <w:rPr>
          <w:rFonts w:eastAsia="Times New Roman"/>
          <w:color w:val="000000"/>
          <w:szCs w:val="22"/>
          <w:u w:color="000000"/>
          <w:bdr w:val="nil"/>
          <w:lang w:eastAsia="en-GB"/>
        </w:rPr>
        <w:t>14 August to 9 September 2023,</w:t>
      </w:r>
      <w:r w:rsidR="00257AC6" w:rsidRPr="001461C4">
        <w:rPr>
          <w:rFonts w:eastAsia="Times New Roman"/>
          <w:color w:val="000000"/>
          <w:szCs w:val="22"/>
          <w:u w:color="000000"/>
          <w:bdr w:val="nil"/>
          <w:lang w:eastAsia="en-GB"/>
        </w:rPr>
        <w:t xml:space="preserve"> and will be followed by the </w:t>
      </w:r>
      <w:r w:rsidR="00257AC6">
        <w:rPr>
          <w:rFonts w:eastAsia="Times New Roman"/>
          <w:color w:val="000000"/>
          <w:szCs w:val="22"/>
          <w:u w:color="000000"/>
          <w:bdr w:val="nil"/>
          <w:lang w:eastAsia="en-GB"/>
        </w:rPr>
        <w:t xml:space="preserve">eighteenth </w:t>
      </w:r>
      <w:r w:rsidR="00257AC6" w:rsidRPr="001461C4">
        <w:rPr>
          <w:rFonts w:eastAsia="Times New Roman"/>
          <w:color w:val="000000"/>
          <w:szCs w:val="22"/>
          <w:u w:color="000000"/>
          <w:bdr w:val="nil"/>
          <w:lang w:eastAsia="en-GB"/>
        </w:rPr>
        <w:t xml:space="preserve">meeting of the pre-sessional working group, from </w:t>
      </w:r>
      <w:r w:rsidR="00257AC6">
        <w:rPr>
          <w:rFonts w:eastAsia="Times New Roman"/>
          <w:color w:val="000000"/>
          <w:szCs w:val="22"/>
          <w:u w:color="000000"/>
          <w:bdr w:val="nil"/>
          <w:lang w:eastAsia="en-GB"/>
        </w:rPr>
        <w:t>11</w:t>
      </w:r>
      <w:r w:rsidR="00257AC6" w:rsidRPr="001461C4">
        <w:rPr>
          <w:rFonts w:eastAsia="Times New Roman"/>
          <w:color w:val="000000"/>
          <w:szCs w:val="22"/>
          <w:u w:color="000000"/>
          <w:bdr w:val="nil"/>
          <w:lang w:eastAsia="en-GB"/>
        </w:rPr>
        <w:t xml:space="preserve"> to </w:t>
      </w:r>
      <w:r w:rsidR="00257AC6">
        <w:rPr>
          <w:rFonts w:eastAsia="Times New Roman"/>
          <w:color w:val="000000"/>
          <w:szCs w:val="22"/>
          <w:u w:color="000000"/>
          <w:bdr w:val="nil"/>
          <w:lang w:eastAsia="en-GB"/>
        </w:rPr>
        <w:t>14</w:t>
      </w:r>
      <w:r w:rsidR="00257AC6" w:rsidRPr="001461C4">
        <w:rPr>
          <w:rFonts w:eastAsia="Times New Roman"/>
          <w:color w:val="000000"/>
          <w:szCs w:val="22"/>
          <w:u w:color="000000"/>
          <w:bdr w:val="nil"/>
          <w:lang w:eastAsia="en-GB"/>
        </w:rPr>
        <w:t xml:space="preserve"> </w:t>
      </w:r>
      <w:r w:rsidR="00257AC6">
        <w:rPr>
          <w:rFonts w:eastAsia="Times New Roman"/>
          <w:color w:val="000000"/>
          <w:szCs w:val="22"/>
          <w:u w:color="000000"/>
          <w:bdr w:val="nil"/>
          <w:lang w:eastAsia="en-GB"/>
        </w:rPr>
        <w:t xml:space="preserve">September </w:t>
      </w:r>
      <w:r w:rsidR="00257AC6" w:rsidRPr="001461C4">
        <w:rPr>
          <w:rFonts w:eastAsia="Times New Roman"/>
          <w:color w:val="000000"/>
          <w:szCs w:val="22"/>
          <w:u w:color="000000"/>
          <w:bdr w:val="nil"/>
          <w:lang w:eastAsia="en-GB"/>
        </w:rPr>
        <w:t>2023</w:t>
      </w:r>
      <w:bookmarkEnd w:id="4"/>
      <w:r w:rsidR="00257AC6" w:rsidRPr="001461C4">
        <w:rPr>
          <w:rFonts w:eastAsia="Times New Roman"/>
          <w:color w:val="000000"/>
          <w:szCs w:val="22"/>
          <w:u w:color="000000"/>
          <w:bdr w:val="nil"/>
          <w:lang w:eastAsia="en-GB"/>
        </w:rPr>
        <w:t>.</w:t>
      </w:r>
    </w:p>
    <w:p w14:paraId="23D339F7" w14:textId="3D593D12" w:rsidR="00257AC6" w:rsidRPr="001461C4" w:rsidRDefault="00257AC6" w:rsidP="00257AC6">
      <w:pPr>
        <w:pStyle w:val="HChG"/>
      </w:pPr>
      <w:r w:rsidRPr="001461C4">
        <w:tab/>
      </w:r>
      <w:r w:rsidR="00CD6A9C">
        <w:t>IX</w:t>
      </w:r>
      <w:r w:rsidRPr="001461C4">
        <w:t>.</w:t>
      </w:r>
      <w:r w:rsidRPr="001461C4">
        <w:tab/>
        <w:t>Accessibility of the Committee</w:t>
      </w:r>
      <w:r w:rsidR="003B68C1">
        <w:t>’</w:t>
      </w:r>
      <w:r w:rsidRPr="001461C4">
        <w:t>s meetings</w:t>
      </w:r>
    </w:p>
    <w:p w14:paraId="796385D4" w14:textId="56C594D7" w:rsidR="00257AC6" w:rsidRPr="001461C4" w:rsidRDefault="002D5B06" w:rsidP="002D5B06">
      <w:pPr>
        <w:pStyle w:val="SingleTxtG"/>
        <w:rPr>
          <w:rFonts w:eastAsia="Times New Roman"/>
          <w:color w:val="000000"/>
          <w:szCs w:val="22"/>
          <w:u w:color="000000"/>
          <w:bdr w:val="nil"/>
          <w:lang w:eastAsia="en-GB"/>
        </w:rPr>
      </w:pPr>
      <w:r w:rsidRPr="001461C4">
        <w:rPr>
          <w:rFonts w:eastAsia="Times New Roman"/>
          <w:color w:val="000000"/>
          <w:u w:color="000000"/>
          <w:bdr w:val="nil"/>
          <w:lang w:eastAsia="en-GB"/>
        </w:rPr>
        <w:t>13.</w:t>
      </w:r>
      <w:r w:rsidRPr="001461C4">
        <w:rPr>
          <w:rFonts w:eastAsia="Times New Roman"/>
          <w:color w:val="000000"/>
          <w:u w:color="000000"/>
          <w:bdr w:val="nil"/>
          <w:lang w:eastAsia="en-GB"/>
        </w:rPr>
        <w:tab/>
      </w:r>
      <w:r w:rsidR="00257AC6" w:rsidRPr="001461C4">
        <w:rPr>
          <w:rFonts w:eastAsia="Times New Roman"/>
          <w:color w:val="000000"/>
          <w:szCs w:val="22"/>
          <w:u w:color="000000"/>
          <w:bdr w:val="nil"/>
          <w:lang w:eastAsia="en-GB"/>
        </w:rPr>
        <w:t>The twenty-</w:t>
      </w:r>
      <w:r w:rsidR="00257AC6">
        <w:rPr>
          <w:rFonts w:eastAsia="Times New Roman"/>
          <w:color w:val="000000"/>
          <w:szCs w:val="22"/>
          <w:u w:color="000000"/>
          <w:bdr w:val="nil"/>
          <w:lang w:eastAsia="en-GB"/>
        </w:rPr>
        <w:t>eighth</w:t>
      </w:r>
      <w:r w:rsidR="00257AC6" w:rsidRPr="001461C4">
        <w:rPr>
          <w:rFonts w:eastAsia="Times New Roman"/>
          <w:color w:val="000000"/>
          <w:szCs w:val="22"/>
          <w:u w:color="000000"/>
          <w:bdr w:val="nil"/>
          <w:lang w:eastAsia="en-GB"/>
        </w:rPr>
        <w:t xml:space="preserve"> session of the Committee was held in</w:t>
      </w:r>
      <w:r w:rsidR="00257AC6">
        <w:rPr>
          <w:rFonts w:eastAsia="Times New Roman"/>
          <w:color w:val="000000"/>
          <w:szCs w:val="22"/>
          <w:u w:color="000000"/>
          <w:bdr w:val="nil"/>
          <w:lang w:eastAsia="en-GB"/>
        </w:rPr>
        <w:t xml:space="preserve"> a </w:t>
      </w:r>
      <w:r w:rsidR="00257AC6" w:rsidRPr="001461C4">
        <w:rPr>
          <w:rFonts w:eastAsia="Times New Roman"/>
          <w:color w:val="000000"/>
          <w:szCs w:val="22"/>
          <w:u w:color="000000"/>
          <w:bdr w:val="nil"/>
          <w:lang w:eastAsia="en-GB"/>
        </w:rPr>
        <w:t>hybrid format</w:t>
      </w:r>
      <w:r w:rsidR="00257AC6">
        <w:rPr>
          <w:rFonts w:eastAsia="Times New Roman"/>
          <w:color w:val="000000"/>
          <w:szCs w:val="22"/>
          <w:u w:color="000000"/>
          <w:bdr w:val="nil"/>
          <w:lang w:eastAsia="en-GB"/>
        </w:rPr>
        <w:t>,</w:t>
      </w:r>
      <w:r w:rsidR="00257AC6" w:rsidRPr="001461C4">
        <w:rPr>
          <w:rFonts w:eastAsia="Times New Roman"/>
          <w:color w:val="000000"/>
          <w:szCs w:val="22"/>
          <w:u w:color="000000"/>
          <w:bdr w:val="nil"/>
          <w:lang w:eastAsia="en-GB"/>
        </w:rPr>
        <w:t xml:space="preserve"> with Committee members participating in person in Geneva</w:t>
      </w:r>
      <w:r w:rsidR="00257AC6">
        <w:rPr>
          <w:rFonts w:eastAsia="Times New Roman"/>
          <w:color w:val="000000"/>
          <w:szCs w:val="22"/>
          <w:u w:color="000000"/>
          <w:bdr w:val="nil"/>
          <w:lang w:eastAsia="en-GB"/>
        </w:rPr>
        <w:t>, most</w:t>
      </w:r>
      <w:r w:rsidR="00257AC6" w:rsidRPr="001461C4">
        <w:rPr>
          <w:rFonts w:eastAsia="Times New Roman"/>
          <w:color w:val="000000"/>
          <w:szCs w:val="22"/>
          <w:u w:color="000000"/>
          <w:bdr w:val="nil"/>
          <w:lang w:eastAsia="en-GB"/>
        </w:rPr>
        <w:t xml:space="preserve"> delegations of States parties</w:t>
      </w:r>
      <w:r w:rsidR="00257AC6">
        <w:rPr>
          <w:rFonts w:eastAsia="Times New Roman"/>
          <w:color w:val="000000"/>
          <w:szCs w:val="22"/>
          <w:u w:color="000000"/>
          <w:bdr w:val="nil"/>
          <w:lang w:eastAsia="en-GB"/>
        </w:rPr>
        <w:t xml:space="preserve"> participating in person</w:t>
      </w:r>
      <w:r w:rsidR="00257AC6" w:rsidRPr="001461C4">
        <w:rPr>
          <w:rFonts w:eastAsia="Times New Roman"/>
          <w:color w:val="000000"/>
          <w:szCs w:val="22"/>
          <w:u w:color="000000"/>
          <w:bdr w:val="nil"/>
          <w:lang w:eastAsia="en-GB"/>
        </w:rPr>
        <w:t xml:space="preserve"> and</w:t>
      </w:r>
      <w:r w:rsidR="00257AC6">
        <w:rPr>
          <w:rFonts w:eastAsia="Times New Roman"/>
          <w:color w:val="000000"/>
          <w:szCs w:val="22"/>
          <w:u w:color="000000"/>
          <w:bdr w:val="nil"/>
          <w:lang w:eastAsia="en-GB"/>
        </w:rPr>
        <w:t xml:space="preserve"> some delegations participating </w:t>
      </w:r>
      <w:r w:rsidR="00257AC6" w:rsidRPr="001461C4">
        <w:rPr>
          <w:rFonts w:eastAsia="Times New Roman"/>
          <w:color w:val="000000"/>
          <w:szCs w:val="22"/>
          <w:u w:color="000000"/>
          <w:bdr w:val="nil"/>
          <w:lang w:eastAsia="en-GB"/>
        </w:rPr>
        <w:t>remotely online. Stakeholders, including organizations of persons with disabilities, civil society organizations, national human</w:t>
      </w:r>
      <w:r w:rsidR="00257AC6" w:rsidRPr="001461C4">
        <w:rPr>
          <w:rFonts w:eastAsia="Times New Roman"/>
          <w:color w:val="000000"/>
          <w:spacing w:val="51"/>
          <w:szCs w:val="22"/>
          <w:u w:color="000000"/>
          <w:bdr w:val="nil"/>
          <w:lang w:eastAsia="en-GB"/>
        </w:rPr>
        <w:t xml:space="preserve"> </w:t>
      </w:r>
      <w:r w:rsidR="00257AC6" w:rsidRPr="001461C4">
        <w:rPr>
          <w:rFonts w:eastAsia="Times New Roman"/>
          <w:color w:val="000000"/>
          <w:szCs w:val="22"/>
          <w:u w:color="000000"/>
          <w:bdr w:val="nil"/>
          <w:lang w:eastAsia="en-GB"/>
        </w:rPr>
        <w:t>rights</w:t>
      </w:r>
      <w:r w:rsidR="00257AC6">
        <w:rPr>
          <w:rFonts w:eastAsia="Times New Roman"/>
          <w:color w:val="000000"/>
          <w:szCs w:val="22"/>
          <w:u w:color="000000"/>
          <w:bdr w:val="nil"/>
          <w:lang w:eastAsia="en-GB"/>
        </w:rPr>
        <w:t xml:space="preserve"> </w:t>
      </w:r>
      <w:r w:rsidR="00257AC6" w:rsidRPr="001461C4">
        <w:rPr>
          <w:rFonts w:eastAsia="Times New Roman"/>
          <w:color w:val="000000"/>
          <w:szCs w:val="22"/>
          <w:u w:color="000000"/>
          <w:bdr w:val="nil"/>
          <w:lang w:eastAsia="en-GB"/>
        </w:rPr>
        <w:t>institutions</w:t>
      </w:r>
      <w:r w:rsidR="00257AC6">
        <w:rPr>
          <w:rFonts w:eastAsia="Times New Roman"/>
          <w:color w:val="000000"/>
          <w:szCs w:val="22"/>
          <w:u w:color="000000"/>
          <w:bdr w:val="nil"/>
          <w:lang w:eastAsia="en-GB"/>
        </w:rPr>
        <w:t>,</w:t>
      </w:r>
      <w:r w:rsidR="00257AC6" w:rsidRPr="001461C4">
        <w:rPr>
          <w:rFonts w:eastAsia="Times New Roman"/>
          <w:color w:val="000000"/>
          <w:szCs w:val="22"/>
          <w:u w:color="000000"/>
          <w:bdr w:val="nil"/>
          <w:lang w:eastAsia="en-GB"/>
        </w:rPr>
        <w:t xml:space="preserve"> and specialized agencies and other United Nations bodies, participated in</w:t>
      </w:r>
      <w:r w:rsidR="00257AC6">
        <w:rPr>
          <w:rFonts w:eastAsia="Times New Roman"/>
          <w:color w:val="000000"/>
          <w:szCs w:val="22"/>
          <w:u w:color="000000"/>
          <w:bdr w:val="nil"/>
          <w:lang w:eastAsia="en-GB"/>
        </w:rPr>
        <w:t xml:space="preserve"> person</w:t>
      </w:r>
      <w:r w:rsidR="00257AC6" w:rsidRPr="001461C4">
        <w:rPr>
          <w:rFonts w:eastAsia="Times New Roman"/>
          <w:color w:val="000000"/>
          <w:szCs w:val="22"/>
          <w:u w:color="000000"/>
          <w:bdr w:val="nil"/>
          <w:lang w:eastAsia="en-GB"/>
        </w:rPr>
        <w:t xml:space="preserve"> </w:t>
      </w:r>
      <w:r w:rsidR="00257AC6">
        <w:rPr>
          <w:rFonts w:eastAsia="Times New Roman"/>
          <w:color w:val="000000"/>
          <w:szCs w:val="22"/>
          <w:u w:color="000000"/>
          <w:bdr w:val="nil"/>
          <w:lang w:eastAsia="en-GB"/>
        </w:rPr>
        <w:t>or</w:t>
      </w:r>
      <w:r w:rsidR="00257AC6" w:rsidRPr="001461C4">
        <w:rPr>
          <w:rFonts w:eastAsia="Times New Roman"/>
          <w:color w:val="000000"/>
          <w:szCs w:val="22"/>
          <w:u w:color="000000"/>
          <w:bdr w:val="nil"/>
          <w:lang w:eastAsia="en-GB"/>
        </w:rPr>
        <w:t xml:space="preserve"> virtually. International Sign interpretation, </w:t>
      </w:r>
      <w:r w:rsidR="00257AC6">
        <w:rPr>
          <w:rFonts w:eastAsia="Times New Roman"/>
          <w:color w:val="000000"/>
          <w:szCs w:val="22"/>
          <w:u w:color="000000"/>
          <w:bdr w:val="nil"/>
          <w:lang w:eastAsia="en-GB"/>
        </w:rPr>
        <w:t>n</w:t>
      </w:r>
      <w:r w:rsidR="00257AC6" w:rsidRPr="001461C4">
        <w:rPr>
          <w:rFonts w:eastAsia="Times New Roman"/>
          <w:color w:val="000000"/>
          <w:szCs w:val="22"/>
          <w:u w:color="000000"/>
          <w:bdr w:val="nil"/>
          <w:lang w:eastAsia="en-GB"/>
        </w:rPr>
        <w:t xml:space="preserve">ational </w:t>
      </w:r>
      <w:r w:rsidR="00257AC6">
        <w:rPr>
          <w:rFonts w:eastAsia="Times New Roman"/>
          <w:color w:val="000000"/>
          <w:szCs w:val="22"/>
          <w:u w:color="000000"/>
          <w:bdr w:val="nil"/>
          <w:lang w:eastAsia="en-GB"/>
        </w:rPr>
        <w:t>s</w:t>
      </w:r>
      <w:r w:rsidR="00257AC6" w:rsidRPr="001461C4">
        <w:rPr>
          <w:rFonts w:eastAsia="Times New Roman"/>
          <w:color w:val="000000"/>
          <w:szCs w:val="22"/>
          <w:u w:color="000000"/>
          <w:bdr w:val="nil"/>
          <w:lang w:eastAsia="en-GB"/>
        </w:rPr>
        <w:t xml:space="preserve">ign </w:t>
      </w:r>
      <w:r w:rsidR="00257AC6">
        <w:rPr>
          <w:rFonts w:eastAsia="Times New Roman"/>
          <w:color w:val="000000"/>
          <w:szCs w:val="22"/>
          <w:u w:color="000000"/>
          <w:bdr w:val="nil"/>
          <w:lang w:eastAsia="en-GB"/>
        </w:rPr>
        <w:t>l</w:t>
      </w:r>
      <w:r w:rsidR="00257AC6" w:rsidRPr="001461C4">
        <w:rPr>
          <w:rFonts w:eastAsia="Times New Roman"/>
          <w:color w:val="000000"/>
          <w:szCs w:val="22"/>
          <w:u w:color="000000"/>
          <w:bdr w:val="nil"/>
          <w:lang w:eastAsia="en-GB"/>
        </w:rPr>
        <w:t xml:space="preserve">anguage interpretation and remote captioning were available. Public meetings were webcast. No plain language or Easy Read versions of documents were available during the session. The </w:t>
      </w:r>
      <w:r w:rsidR="00257AC6" w:rsidRPr="001461C4">
        <w:rPr>
          <w:rFonts w:eastAsia="Times New Roman"/>
          <w:color w:val="000000"/>
          <w:szCs w:val="22"/>
          <w:u w:color="000000"/>
          <w:bdr w:val="nil"/>
          <w:lang w:eastAsia="en-GB"/>
        </w:rPr>
        <w:lastRenderedPageBreak/>
        <w:t xml:space="preserve">software </w:t>
      </w:r>
      <w:r w:rsidR="00257AC6">
        <w:rPr>
          <w:rFonts w:eastAsia="Times New Roman"/>
          <w:color w:val="000000"/>
          <w:szCs w:val="22"/>
          <w:u w:color="000000"/>
          <w:bdr w:val="nil"/>
          <w:lang w:eastAsia="en-GB"/>
        </w:rPr>
        <w:t xml:space="preserve">used </w:t>
      </w:r>
      <w:r w:rsidR="00257AC6" w:rsidRPr="001461C4">
        <w:rPr>
          <w:rFonts w:eastAsia="Times New Roman"/>
          <w:color w:val="000000"/>
          <w:szCs w:val="22"/>
          <w:u w:color="000000"/>
          <w:bdr w:val="nil"/>
          <w:lang w:eastAsia="en-GB"/>
        </w:rPr>
        <w:t xml:space="preserve">for </w:t>
      </w:r>
      <w:r w:rsidR="00257AC6">
        <w:rPr>
          <w:rFonts w:eastAsia="Times New Roman"/>
          <w:color w:val="000000"/>
          <w:szCs w:val="22"/>
          <w:u w:color="000000"/>
          <w:bdr w:val="nil"/>
          <w:lang w:eastAsia="en-GB"/>
        </w:rPr>
        <w:t xml:space="preserve">the </w:t>
      </w:r>
      <w:r w:rsidR="00257AC6" w:rsidRPr="001461C4">
        <w:rPr>
          <w:rFonts w:eastAsia="Times New Roman"/>
          <w:color w:val="000000"/>
          <w:szCs w:val="22"/>
          <w:u w:color="000000"/>
          <w:bdr w:val="nil"/>
          <w:lang w:eastAsia="en-GB"/>
        </w:rPr>
        <w:t xml:space="preserve">registration of participants </w:t>
      </w:r>
      <w:r w:rsidR="00257AC6">
        <w:rPr>
          <w:rFonts w:eastAsia="Times New Roman"/>
          <w:color w:val="000000"/>
          <w:szCs w:val="22"/>
          <w:u w:color="000000"/>
          <w:bdr w:val="nil"/>
          <w:lang w:eastAsia="en-GB"/>
        </w:rPr>
        <w:t>for</w:t>
      </w:r>
      <w:r w:rsidR="00257AC6" w:rsidRPr="001461C4">
        <w:rPr>
          <w:rFonts w:eastAsia="Times New Roman"/>
          <w:color w:val="000000"/>
          <w:szCs w:val="22"/>
          <w:u w:color="000000"/>
          <w:bdr w:val="nil"/>
          <w:lang w:eastAsia="en-GB"/>
        </w:rPr>
        <w:t xml:space="preserve"> the meeting </w:t>
      </w:r>
      <w:r w:rsidR="00257AC6">
        <w:rPr>
          <w:rFonts w:eastAsia="Times New Roman"/>
          <w:color w:val="000000"/>
          <w:szCs w:val="22"/>
          <w:u w:color="000000"/>
          <w:bdr w:val="nil"/>
          <w:lang w:eastAsia="en-GB"/>
        </w:rPr>
        <w:t>was</w:t>
      </w:r>
      <w:r w:rsidR="00257AC6" w:rsidRPr="001461C4">
        <w:rPr>
          <w:rFonts w:eastAsia="Times New Roman"/>
          <w:color w:val="000000"/>
          <w:szCs w:val="22"/>
          <w:u w:color="000000"/>
          <w:bdr w:val="nil"/>
          <w:lang w:eastAsia="en-GB"/>
        </w:rPr>
        <w:t xml:space="preserve"> not accessible for </w:t>
      </w:r>
      <w:r w:rsidR="00257AC6">
        <w:rPr>
          <w:rFonts w:eastAsia="Times New Roman"/>
          <w:color w:val="000000"/>
          <w:szCs w:val="22"/>
          <w:u w:color="000000"/>
          <w:bdr w:val="nil"/>
          <w:lang w:eastAsia="en-GB"/>
        </w:rPr>
        <w:t xml:space="preserve">blind </w:t>
      </w:r>
      <w:r w:rsidR="00257AC6" w:rsidRPr="001461C4">
        <w:rPr>
          <w:rFonts w:eastAsia="Times New Roman"/>
          <w:color w:val="000000"/>
          <w:szCs w:val="22"/>
          <w:u w:color="000000"/>
          <w:bdr w:val="nil"/>
          <w:lang w:eastAsia="en-GB"/>
        </w:rPr>
        <w:t xml:space="preserve">participants or </w:t>
      </w:r>
      <w:r w:rsidR="00257AC6">
        <w:rPr>
          <w:rFonts w:eastAsia="Times New Roman"/>
          <w:color w:val="000000"/>
          <w:szCs w:val="22"/>
          <w:u w:color="000000"/>
          <w:bdr w:val="nil"/>
          <w:lang w:eastAsia="en-GB"/>
        </w:rPr>
        <w:t xml:space="preserve">those with </w:t>
      </w:r>
      <w:r w:rsidR="00257AC6" w:rsidRPr="001461C4">
        <w:rPr>
          <w:rFonts w:eastAsia="Times New Roman"/>
          <w:color w:val="000000"/>
          <w:szCs w:val="22"/>
          <w:u w:color="000000"/>
          <w:bdr w:val="nil"/>
          <w:lang w:eastAsia="en-GB"/>
        </w:rPr>
        <w:t xml:space="preserve">visual impairments. Current protocols for vehicles entering </w:t>
      </w:r>
      <w:r w:rsidR="00257AC6">
        <w:rPr>
          <w:rFonts w:eastAsia="Times New Roman"/>
          <w:color w:val="000000"/>
          <w:szCs w:val="22"/>
          <w:u w:color="000000"/>
          <w:bdr w:val="nil"/>
          <w:lang w:eastAsia="en-GB"/>
        </w:rPr>
        <w:t xml:space="preserve">the </w:t>
      </w:r>
      <w:r w:rsidR="00257AC6" w:rsidRPr="001461C4">
        <w:rPr>
          <w:rFonts w:eastAsia="Times New Roman"/>
          <w:color w:val="000000"/>
          <w:szCs w:val="22"/>
          <w:u w:color="000000"/>
          <w:bdr w:val="nil"/>
          <w:lang w:eastAsia="en-GB"/>
        </w:rPr>
        <w:t>Palais des Nations still pose</w:t>
      </w:r>
      <w:r w:rsidR="00257AC6">
        <w:rPr>
          <w:rFonts w:eastAsia="Times New Roman"/>
          <w:color w:val="000000"/>
          <w:szCs w:val="22"/>
          <w:u w:color="000000"/>
          <w:bdr w:val="nil"/>
          <w:lang w:eastAsia="en-GB"/>
        </w:rPr>
        <w:t>d</w:t>
      </w:r>
      <w:r w:rsidR="00257AC6" w:rsidRPr="001461C4">
        <w:rPr>
          <w:rFonts w:eastAsia="Times New Roman"/>
          <w:color w:val="000000"/>
          <w:szCs w:val="22"/>
          <w:u w:color="000000"/>
          <w:bdr w:val="nil"/>
          <w:lang w:eastAsia="en-GB"/>
        </w:rPr>
        <w:t xml:space="preserve"> barriers </w:t>
      </w:r>
      <w:r w:rsidR="00257AC6">
        <w:rPr>
          <w:rFonts w:eastAsia="Times New Roman"/>
          <w:color w:val="000000"/>
          <w:szCs w:val="22"/>
          <w:u w:color="000000"/>
          <w:bdr w:val="nil"/>
          <w:lang w:eastAsia="en-GB"/>
        </w:rPr>
        <w:t>for</w:t>
      </w:r>
      <w:r w:rsidR="00257AC6" w:rsidRPr="001461C4">
        <w:rPr>
          <w:rFonts w:eastAsia="Times New Roman"/>
          <w:color w:val="000000"/>
          <w:szCs w:val="22"/>
          <w:u w:color="000000"/>
          <w:bdr w:val="nil"/>
          <w:lang w:eastAsia="en-GB"/>
        </w:rPr>
        <w:t xml:space="preserve"> </w:t>
      </w:r>
      <w:r w:rsidR="00257AC6">
        <w:rPr>
          <w:rFonts w:eastAsia="Times New Roman"/>
          <w:color w:val="000000"/>
          <w:szCs w:val="22"/>
          <w:u w:color="000000"/>
          <w:bdr w:val="nil"/>
          <w:lang w:eastAsia="en-GB"/>
        </w:rPr>
        <w:t>participants</w:t>
      </w:r>
      <w:r w:rsidR="00257AC6" w:rsidRPr="001461C4">
        <w:rPr>
          <w:rFonts w:eastAsia="Times New Roman"/>
          <w:color w:val="000000"/>
          <w:szCs w:val="22"/>
          <w:u w:color="000000"/>
          <w:bdr w:val="nil"/>
          <w:lang w:eastAsia="en-GB"/>
        </w:rPr>
        <w:t xml:space="preserve"> with disabilities who require</w:t>
      </w:r>
      <w:r w:rsidR="00257AC6">
        <w:rPr>
          <w:rFonts w:eastAsia="Times New Roman"/>
          <w:color w:val="000000"/>
          <w:szCs w:val="22"/>
          <w:u w:color="000000"/>
          <w:bdr w:val="nil"/>
          <w:lang w:eastAsia="en-GB"/>
        </w:rPr>
        <w:t>d</w:t>
      </w:r>
      <w:r w:rsidR="00257AC6" w:rsidRPr="001461C4">
        <w:rPr>
          <w:rFonts w:eastAsia="Times New Roman"/>
          <w:color w:val="000000"/>
          <w:szCs w:val="22"/>
          <w:u w:color="000000"/>
          <w:bdr w:val="nil"/>
          <w:lang w:eastAsia="en-GB"/>
        </w:rPr>
        <w:t xml:space="preserve"> accessible transportation. Reasonable accommodation, including in the organization of travel </w:t>
      </w:r>
      <w:r w:rsidR="00257AC6">
        <w:rPr>
          <w:rFonts w:eastAsia="Times New Roman"/>
          <w:color w:val="000000"/>
          <w:szCs w:val="22"/>
          <w:u w:color="000000"/>
          <w:bdr w:val="nil"/>
          <w:lang w:eastAsia="en-GB"/>
        </w:rPr>
        <w:t>for Committee</w:t>
      </w:r>
      <w:r w:rsidR="00257AC6" w:rsidRPr="001461C4">
        <w:rPr>
          <w:rFonts w:eastAsia="Times New Roman"/>
          <w:color w:val="000000"/>
          <w:szCs w:val="22"/>
          <w:u w:color="000000"/>
          <w:bdr w:val="nil"/>
          <w:lang w:eastAsia="en-GB"/>
        </w:rPr>
        <w:t xml:space="preserve"> members with disabilities, </w:t>
      </w:r>
      <w:r w:rsidR="00257AC6">
        <w:rPr>
          <w:rFonts w:eastAsia="Times New Roman"/>
          <w:color w:val="000000"/>
          <w:szCs w:val="22"/>
          <w:u w:color="000000"/>
          <w:bdr w:val="nil"/>
          <w:lang w:eastAsia="en-GB"/>
        </w:rPr>
        <w:t>continued to be</w:t>
      </w:r>
      <w:r w:rsidR="00257AC6" w:rsidRPr="001461C4">
        <w:rPr>
          <w:rFonts w:eastAsia="Times New Roman"/>
          <w:color w:val="000000"/>
          <w:szCs w:val="22"/>
          <w:u w:color="000000"/>
          <w:bdr w:val="nil"/>
          <w:lang w:eastAsia="en-GB"/>
        </w:rPr>
        <w:t xml:space="preserve"> poorly developed. </w:t>
      </w:r>
    </w:p>
    <w:p w14:paraId="7A1212B1" w14:textId="6766AC14" w:rsidR="00257AC6" w:rsidRPr="001461C4" w:rsidRDefault="00257AC6" w:rsidP="00257AC6">
      <w:pPr>
        <w:pStyle w:val="HChG"/>
      </w:pPr>
      <w:r w:rsidRPr="001461C4">
        <w:tab/>
        <w:t>X.</w:t>
      </w:r>
      <w:r w:rsidRPr="001461C4">
        <w:tab/>
        <w:t>Cooperation with relevant bodies</w:t>
      </w:r>
    </w:p>
    <w:p w14:paraId="22641A19" w14:textId="77777777" w:rsidR="00257AC6" w:rsidRPr="001461C4" w:rsidRDefault="00257AC6" w:rsidP="00257AC6">
      <w:pPr>
        <w:pStyle w:val="H1G"/>
      </w:pPr>
      <w:r w:rsidRPr="001461C4">
        <w:tab/>
        <w:t>A.</w:t>
      </w:r>
      <w:r w:rsidRPr="001461C4">
        <w:tab/>
        <w:t>Cooperation with United Nations organs and specialized agencies</w:t>
      </w:r>
    </w:p>
    <w:p w14:paraId="7549E60E" w14:textId="38560333" w:rsidR="00257AC6" w:rsidRPr="001461C4" w:rsidRDefault="002D5B06" w:rsidP="002D5B06">
      <w:pPr>
        <w:pStyle w:val="SingleTxtG"/>
      </w:pPr>
      <w:r w:rsidRPr="001461C4">
        <w:t>14.</w:t>
      </w:r>
      <w:r w:rsidRPr="001461C4">
        <w:tab/>
      </w:r>
      <w:r w:rsidR="00257AC6" w:rsidRPr="001461C4">
        <w:rPr>
          <w:rFonts w:eastAsia="Times New Roman"/>
          <w:color w:val="000000"/>
          <w:szCs w:val="22"/>
          <w:u w:color="000000"/>
          <w:bdr w:val="nil"/>
          <w:lang w:eastAsia="en-GB"/>
        </w:rPr>
        <w:t>At</w:t>
      </w:r>
      <w:r w:rsidR="00257AC6" w:rsidRPr="001461C4">
        <w:rPr>
          <w:rFonts w:eastAsia="Times New Roman"/>
          <w:color w:val="000000"/>
          <w:spacing w:val="47"/>
          <w:szCs w:val="22"/>
          <w:u w:color="000000"/>
          <w:bdr w:val="nil"/>
          <w:lang w:eastAsia="en-GB"/>
        </w:rPr>
        <w:t xml:space="preserve"> </w:t>
      </w:r>
      <w:r w:rsidR="00257AC6" w:rsidRPr="001461C4">
        <w:rPr>
          <w:rFonts w:eastAsia="Times New Roman"/>
          <w:color w:val="000000"/>
          <w:szCs w:val="22"/>
          <w:u w:color="000000"/>
          <w:bdr w:val="nil"/>
          <w:lang w:eastAsia="en-GB"/>
        </w:rPr>
        <w:t>the</w:t>
      </w:r>
      <w:r w:rsidR="00257AC6" w:rsidRPr="001461C4">
        <w:rPr>
          <w:rFonts w:eastAsia="Times New Roman"/>
          <w:color w:val="000000"/>
          <w:spacing w:val="47"/>
          <w:szCs w:val="22"/>
          <w:u w:color="000000"/>
          <w:bdr w:val="nil"/>
          <w:lang w:eastAsia="en-GB"/>
        </w:rPr>
        <w:t xml:space="preserve"> </w:t>
      </w:r>
      <w:r w:rsidR="00257AC6" w:rsidRPr="001461C4">
        <w:rPr>
          <w:rFonts w:eastAsia="Times New Roman"/>
          <w:color w:val="000000"/>
          <w:szCs w:val="22"/>
          <w:u w:color="000000"/>
          <w:bdr w:val="nil"/>
          <w:lang w:eastAsia="en-GB"/>
        </w:rPr>
        <w:t>opening</w:t>
      </w:r>
      <w:r w:rsidR="00257AC6" w:rsidRPr="001461C4">
        <w:rPr>
          <w:rFonts w:eastAsia="Times New Roman"/>
          <w:color w:val="000000"/>
          <w:spacing w:val="47"/>
          <w:szCs w:val="22"/>
          <w:u w:color="000000"/>
          <w:bdr w:val="nil"/>
          <w:lang w:eastAsia="en-GB"/>
        </w:rPr>
        <w:t xml:space="preserve"> </w:t>
      </w:r>
      <w:r w:rsidR="00257AC6" w:rsidRPr="001461C4">
        <w:rPr>
          <w:rFonts w:eastAsia="Times New Roman"/>
          <w:color w:val="000000"/>
          <w:szCs w:val="22"/>
          <w:u w:color="000000"/>
          <w:bdr w:val="nil"/>
          <w:lang w:eastAsia="en-GB"/>
        </w:rPr>
        <w:t>meeting</w:t>
      </w:r>
      <w:r w:rsidR="00257AC6" w:rsidRPr="001461C4">
        <w:rPr>
          <w:rFonts w:eastAsia="Times New Roman"/>
          <w:color w:val="000000"/>
          <w:spacing w:val="49"/>
          <w:szCs w:val="22"/>
          <w:u w:color="000000"/>
          <w:bdr w:val="nil"/>
          <w:lang w:eastAsia="en-GB"/>
        </w:rPr>
        <w:t xml:space="preserve"> </w:t>
      </w:r>
      <w:r w:rsidR="00257AC6" w:rsidRPr="001461C4">
        <w:rPr>
          <w:rFonts w:eastAsia="Times New Roman"/>
          <w:color w:val="000000"/>
          <w:szCs w:val="22"/>
          <w:u w:color="000000"/>
          <w:bdr w:val="nil"/>
          <w:lang w:eastAsia="en-GB"/>
        </w:rPr>
        <w:t>of</w:t>
      </w:r>
      <w:r w:rsidR="00257AC6" w:rsidRPr="001461C4">
        <w:rPr>
          <w:rFonts w:eastAsia="Times New Roman"/>
          <w:color w:val="000000"/>
          <w:spacing w:val="47"/>
          <w:szCs w:val="22"/>
          <w:u w:color="000000"/>
          <w:bdr w:val="nil"/>
          <w:lang w:eastAsia="en-GB"/>
        </w:rPr>
        <w:t xml:space="preserve"> </w:t>
      </w:r>
      <w:r w:rsidR="00257AC6" w:rsidRPr="001461C4">
        <w:rPr>
          <w:rFonts w:eastAsia="Times New Roman"/>
          <w:color w:val="000000"/>
          <w:szCs w:val="22"/>
          <w:u w:color="000000"/>
          <w:bdr w:val="nil"/>
          <w:lang w:eastAsia="en-GB"/>
        </w:rPr>
        <w:t>the</w:t>
      </w:r>
      <w:r w:rsidR="00257AC6" w:rsidRPr="001461C4">
        <w:rPr>
          <w:rFonts w:eastAsia="Times New Roman"/>
          <w:color w:val="000000"/>
          <w:spacing w:val="47"/>
          <w:szCs w:val="22"/>
          <w:u w:color="000000"/>
          <w:bdr w:val="nil"/>
          <w:lang w:eastAsia="en-GB"/>
        </w:rPr>
        <w:t xml:space="preserve"> </w:t>
      </w:r>
      <w:r w:rsidR="00257AC6" w:rsidRPr="001461C4">
        <w:rPr>
          <w:rFonts w:eastAsia="Times New Roman"/>
          <w:color w:val="000000"/>
          <w:szCs w:val="22"/>
          <w:u w:color="000000"/>
          <w:bdr w:val="nil"/>
          <w:lang w:eastAsia="en-GB"/>
        </w:rPr>
        <w:t>session,</w:t>
      </w:r>
      <w:r w:rsidR="00257AC6" w:rsidRPr="001461C4">
        <w:rPr>
          <w:rFonts w:eastAsia="Times New Roman"/>
          <w:color w:val="000000"/>
          <w:spacing w:val="47"/>
          <w:szCs w:val="22"/>
          <w:u w:color="000000"/>
          <w:bdr w:val="nil"/>
          <w:lang w:eastAsia="en-GB"/>
        </w:rPr>
        <w:t xml:space="preserve"> </w:t>
      </w:r>
      <w:r w:rsidR="00257AC6">
        <w:rPr>
          <w:rFonts w:eastAsia="Times New Roman"/>
          <w:color w:val="000000"/>
          <w:spacing w:val="47"/>
          <w:szCs w:val="22"/>
          <w:u w:color="000000"/>
          <w:bdr w:val="nil"/>
          <w:lang w:eastAsia="en-GB"/>
        </w:rPr>
        <w:t xml:space="preserve">a </w:t>
      </w:r>
      <w:r w:rsidR="00257AC6" w:rsidRPr="001461C4">
        <w:rPr>
          <w:rFonts w:eastAsia="Times New Roman"/>
          <w:color w:val="000000"/>
          <w:szCs w:val="22"/>
          <w:u w:color="000000"/>
          <w:bdr w:val="nil"/>
          <w:lang w:eastAsia="en-GB"/>
        </w:rPr>
        <w:t>representative</w:t>
      </w:r>
      <w:r w:rsidR="00257AC6" w:rsidRPr="001461C4">
        <w:rPr>
          <w:rFonts w:eastAsia="Times New Roman"/>
          <w:color w:val="000000"/>
          <w:spacing w:val="49"/>
          <w:szCs w:val="22"/>
          <w:u w:color="000000"/>
          <w:bdr w:val="nil"/>
          <w:lang w:eastAsia="en-GB"/>
        </w:rPr>
        <w:t xml:space="preserve"> </w:t>
      </w:r>
      <w:r w:rsidR="00257AC6" w:rsidRPr="001461C4">
        <w:rPr>
          <w:rFonts w:eastAsia="Times New Roman"/>
          <w:color w:val="000000"/>
          <w:szCs w:val="22"/>
          <w:u w:color="000000"/>
          <w:bdr w:val="nil"/>
          <w:lang w:eastAsia="en-GB"/>
        </w:rPr>
        <w:t>of</w:t>
      </w:r>
      <w:r w:rsidR="00257AC6" w:rsidRPr="001461C4">
        <w:rPr>
          <w:rFonts w:eastAsia="Times New Roman"/>
          <w:color w:val="000000"/>
          <w:spacing w:val="47"/>
          <w:szCs w:val="22"/>
          <w:u w:color="000000"/>
          <w:bdr w:val="nil"/>
          <w:lang w:eastAsia="en-GB"/>
        </w:rPr>
        <w:t xml:space="preserve"> </w:t>
      </w:r>
      <w:r w:rsidR="00257AC6">
        <w:rPr>
          <w:rFonts w:eastAsia="Times New Roman"/>
          <w:color w:val="000000"/>
          <w:szCs w:val="22"/>
          <w:u w:color="000000"/>
          <w:bdr w:val="nil"/>
          <w:lang w:eastAsia="en-GB"/>
        </w:rPr>
        <w:t xml:space="preserve">the </w:t>
      </w:r>
      <w:r w:rsidR="00257AC6" w:rsidRPr="00FE073D">
        <w:rPr>
          <w:rFonts w:eastAsia="Times New Roman"/>
          <w:color w:val="000000"/>
          <w:szCs w:val="22"/>
          <w:u w:color="000000"/>
          <w:bdr w:val="nil"/>
          <w:lang w:val="en-US" w:eastAsia="en-GB"/>
        </w:rPr>
        <w:t>World Health Organization</w:t>
      </w:r>
      <w:r w:rsidR="00257AC6">
        <w:rPr>
          <w:rFonts w:eastAsia="Times New Roman"/>
          <w:color w:val="000000"/>
          <w:szCs w:val="22"/>
          <w:u w:color="000000"/>
          <w:bdr w:val="nil"/>
          <w:lang w:val="en-US" w:eastAsia="en-GB"/>
        </w:rPr>
        <w:t xml:space="preserve"> </w:t>
      </w:r>
      <w:r w:rsidR="00257AC6" w:rsidRPr="001461C4">
        <w:rPr>
          <w:rFonts w:eastAsia="Times New Roman"/>
          <w:color w:val="000000"/>
          <w:szCs w:val="22"/>
          <w:u w:color="000000"/>
          <w:bdr w:val="nil"/>
          <w:lang w:eastAsia="en-GB"/>
        </w:rPr>
        <w:t>made</w:t>
      </w:r>
      <w:r w:rsidR="00257AC6">
        <w:rPr>
          <w:rFonts w:eastAsia="Times New Roman"/>
          <w:color w:val="000000"/>
          <w:szCs w:val="22"/>
          <w:u w:color="000000"/>
          <w:bdr w:val="nil"/>
          <w:lang w:eastAsia="en-GB"/>
        </w:rPr>
        <w:t xml:space="preserve"> a</w:t>
      </w:r>
      <w:r w:rsidR="00257AC6" w:rsidRPr="001461C4">
        <w:rPr>
          <w:rFonts w:eastAsia="Times New Roman"/>
          <w:color w:val="000000"/>
          <w:szCs w:val="22"/>
          <w:u w:color="000000"/>
          <w:bdr w:val="nil"/>
          <w:lang w:eastAsia="en-GB"/>
        </w:rPr>
        <w:t xml:space="preserve"> statement</w:t>
      </w:r>
      <w:r w:rsidR="00257AC6">
        <w:rPr>
          <w:rFonts w:eastAsia="Times New Roman"/>
          <w:color w:val="000000"/>
          <w:szCs w:val="22"/>
          <w:u w:color="000000"/>
          <w:bdr w:val="nil"/>
          <w:lang w:eastAsia="en-GB"/>
        </w:rPr>
        <w:t xml:space="preserve">. At the closing meeting, representatives of the United Nations Population Fund (UNFPA) and the Board of Trustees of the United Nations Voluntary Fund for Victims of Torture made statements. </w:t>
      </w:r>
    </w:p>
    <w:p w14:paraId="2F0B9109" w14:textId="77777777" w:rsidR="00257AC6" w:rsidRPr="001461C4" w:rsidRDefault="00257AC6" w:rsidP="00257AC6">
      <w:pPr>
        <w:pStyle w:val="H1G"/>
      </w:pPr>
      <w:r w:rsidRPr="001461C4">
        <w:tab/>
        <w:t>B.</w:t>
      </w:r>
      <w:r w:rsidRPr="001461C4">
        <w:tab/>
        <w:t>Cooperation with non-governmental organizations and other bodies</w:t>
      </w:r>
    </w:p>
    <w:p w14:paraId="69C7DA1D" w14:textId="5F1A5D17" w:rsidR="00257AC6" w:rsidRPr="00E1130E" w:rsidRDefault="002D5B06" w:rsidP="002D5B06">
      <w:pPr>
        <w:pStyle w:val="SingleTxtG"/>
      </w:pPr>
      <w:bookmarkStart w:id="5" w:name="_Hlk116468294"/>
      <w:r w:rsidRPr="00E1130E">
        <w:t>15.</w:t>
      </w:r>
      <w:r w:rsidRPr="00E1130E">
        <w:tab/>
      </w:r>
      <w:r w:rsidR="00257AC6" w:rsidRPr="00E1130E">
        <w:t xml:space="preserve">At the opening meeting of the session, the Committee was addressed by </w:t>
      </w:r>
      <w:r w:rsidR="00257AC6" w:rsidRPr="00E1130E">
        <w:rPr>
          <w:rFonts w:eastAsia="Times New Roman"/>
          <w:color w:val="000000"/>
          <w:szCs w:val="22"/>
          <w:u w:color="000000"/>
          <w:bdr w:val="nil"/>
          <w:lang w:eastAsia="en-GB"/>
        </w:rPr>
        <w:t>representatives</w:t>
      </w:r>
      <w:r w:rsidR="00257AC6" w:rsidRPr="00E1130E">
        <w:t xml:space="preserve"> of the </w:t>
      </w:r>
      <w:r w:rsidR="00257AC6" w:rsidRPr="005C0FBA">
        <w:t>International Disability Alliance</w:t>
      </w:r>
      <w:r w:rsidR="00257AC6" w:rsidRPr="00E1130E">
        <w:t xml:space="preserve">, </w:t>
      </w:r>
      <w:r w:rsidR="00257AC6" w:rsidRPr="005C0FBA">
        <w:t>the Global Albinism Alliance</w:t>
      </w:r>
      <w:r w:rsidR="00257AC6" w:rsidRPr="00E1130E">
        <w:t xml:space="preserve">, </w:t>
      </w:r>
      <w:r w:rsidR="00257AC6" w:rsidRPr="00E1130E">
        <w:rPr>
          <w:lang w:val="en-US"/>
        </w:rPr>
        <w:t>the European Disability Forum,</w:t>
      </w:r>
      <w:r w:rsidR="00257AC6">
        <w:rPr>
          <w:lang w:val="en-US"/>
        </w:rPr>
        <w:t xml:space="preserve"> the</w:t>
      </w:r>
      <w:r w:rsidR="00257AC6" w:rsidRPr="00E1130E">
        <w:rPr>
          <w:lang w:val="en-US"/>
        </w:rPr>
        <w:t xml:space="preserve"> </w:t>
      </w:r>
      <w:r w:rsidR="00257AC6">
        <w:t xml:space="preserve">Coalición Interamericana para la </w:t>
      </w:r>
      <w:r w:rsidR="00257AC6" w:rsidRPr="00A07AB4">
        <w:rPr>
          <w:lang w:val="en-US"/>
        </w:rPr>
        <w:t>Desinstitucionalización</w:t>
      </w:r>
      <w:r w:rsidR="00257AC6">
        <w:t xml:space="preserve"> de Personas con </w:t>
      </w:r>
      <w:r w:rsidR="00257AC6" w:rsidRPr="00A07AB4">
        <w:rPr>
          <w:lang w:val="en-US"/>
        </w:rPr>
        <w:t>Discapacidad</w:t>
      </w:r>
      <w:r w:rsidR="00257AC6">
        <w:rPr>
          <w:lang w:val="en-US"/>
        </w:rPr>
        <w:t>,</w:t>
      </w:r>
      <w:r w:rsidR="00257AC6" w:rsidRPr="00E1130E">
        <w:rPr>
          <w:lang w:val="en-US"/>
        </w:rPr>
        <w:t xml:space="preserve"> the Disability Rights Fund, the </w:t>
      </w:r>
      <w:r w:rsidR="00257AC6" w:rsidRPr="005C0FBA">
        <w:rPr>
          <w:lang w:val="en-US"/>
        </w:rPr>
        <w:t>International Communication Rights Alliance</w:t>
      </w:r>
      <w:r w:rsidR="00257AC6" w:rsidRPr="00E1130E">
        <w:rPr>
          <w:lang w:val="en-US"/>
        </w:rPr>
        <w:t xml:space="preserve">, </w:t>
      </w:r>
      <w:r w:rsidR="00257AC6">
        <w:rPr>
          <w:lang w:val="en-US"/>
        </w:rPr>
        <w:t xml:space="preserve">the </w:t>
      </w:r>
      <w:r w:rsidR="00257AC6" w:rsidRPr="00E1130E">
        <w:rPr>
          <w:lang w:val="en-US"/>
        </w:rPr>
        <w:t>Citizen</w:t>
      </w:r>
      <w:r w:rsidR="00257AC6">
        <w:rPr>
          <w:lang w:val="en-US"/>
        </w:rPr>
        <w:t>s</w:t>
      </w:r>
      <w:r w:rsidR="00257AC6" w:rsidRPr="00E1130E">
        <w:rPr>
          <w:lang w:val="en-US"/>
        </w:rPr>
        <w:t xml:space="preserve"> Commission of Human Rights</w:t>
      </w:r>
      <w:r w:rsidR="00257AC6">
        <w:rPr>
          <w:lang w:val="en-US"/>
        </w:rPr>
        <w:t>, and</w:t>
      </w:r>
      <w:r w:rsidR="00257AC6" w:rsidRPr="00E1130E">
        <w:t xml:space="preserve"> </w:t>
      </w:r>
      <w:r w:rsidR="00257AC6" w:rsidRPr="00E1130E">
        <w:rPr>
          <w:lang w:val="en-US"/>
        </w:rPr>
        <w:t xml:space="preserve">United Cities and Local Governments, and a </w:t>
      </w:r>
      <w:r w:rsidR="00257AC6" w:rsidRPr="005C0FBA">
        <w:rPr>
          <w:lang w:val="en-US"/>
        </w:rPr>
        <w:t>representative of the judicial branch of the Province of Buenos Aires.</w:t>
      </w:r>
      <w:r w:rsidR="003B68C1">
        <w:rPr>
          <w:lang w:val="en-US"/>
        </w:rPr>
        <w:t xml:space="preserve"> </w:t>
      </w:r>
    </w:p>
    <w:bookmarkEnd w:id="5"/>
    <w:p w14:paraId="33076E31" w14:textId="17637F61" w:rsidR="00257AC6" w:rsidRPr="001461C4" w:rsidRDefault="002D5B06" w:rsidP="002D5B06">
      <w:pPr>
        <w:pStyle w:val="SingleTxtG"/>
      </w:pPr>
      <w:r w:rsidRPr="001461C4">
        <w:t>16.</w:t>
      </w:r>
      <w:r w:rsidRPr="001461C4">
        <w:tab/>
      </w:r>
      <w:r w:rsidR="00257AC6">
        <w:t>R</w:t>
      </w:r>
      <w:r w:rsidR="00257AC6" w:rsidRPr="001461C4">
        <w:t xml:space="preserve">epresentatives of the </w:t>
      </w:r>
      <w:r w:rsidR="00257AC6">
        <w:t>i</w:t>
      </w:r>
      <w:r w:rsidR="00257AC6" w:rsidRPr="001461C4">
        <w:t xml:space="preserve">ndependent </w:t>
      </w:r>
      <w:r w:rsidR="00257AC6">
        <w:t>m</w:t>
      </w:r>
      <w:r w:rsidR="00257AC6" w:rsidRPr="001461C4">
        <w:t xml:space="preserve">onitoring </w:t>
      </w:r>
      <w:r w:rsidR="00257AC6">
        <w:t>m</w:t>
      </w:r>
      <w:r w:rsidR="00257AC6" w:rsidRPr="001461C4">
        <w:t xml:space="preserve">echanism of </w:t>
      </w:r>
      <w:r w:rsidR="00257AC6">
        <w:t>Peru</w:t>
      </w:r>
      <w:r w:rsidR="00257AC6" w:rsidRPr="001461C4">
        <w:t xml:space="preserve"> and the national human rights institution of </w:t>
      </w:r>
      <w:r w:rsidR="00257AC6">
        <w:t>Georgia</w:t>
      </w:r>
      <w:r w:rsidR="00257AC6" w:rsidRPr="001461C4">
        <w:t xml:space="preserve"> participated in the Committee</w:t>
      </w:r>
      <w:r w:rsidR="003B68C1">
        <w:t>’</w:t>
      </w:r>
      <w:r w:rsidR="00257AC6" w:rsidRPr="001461C4">
        <w:t>s public review of the initial report</w:t>
      </w:r>
      <w:r w:rsidR="00257AC6">
        <w:t>s</w:t>
      </w:r>
      <w:r w:rsidR="00257AC6" w:rsidRPr="001461C4">
        <w:t xml:space="preserve"> of </w:t>
      </w:r>
      <w:r w:rsidR="00257AC6">
        <w:t>Peru and of Georgia</w:t>
      </w:r>
      <w:r w:rsidR="00257AC6" w:rsidRPr="001461C4">
        <w:t xml:space="preserve">, respectively. During the private meetings on country situations, the </w:t>
      </w:r>
      <w:r w:rsidR="00257AC6" w:rsidRPr="001461C4">
        <w:rPr>
          <w:rFonts w:eastAsia="Times New Roman"/>
          <w:color w:val="000000"/>
          <w:szCs w:val="22"/>
          <w:u w:color="000000"/>
          <w:bdr w:val="nil"/>
          <w:lang w:eastAsia="en-GB"/>
        </w:rPr>
        <w:t>Committee</w:t>
      </w:r>
      <w:r w:rsidR="00257AC6" w:rsidRPr="001461C4">
        <w:t xml:space="preserve"> had the opportunity to gather information </w:t>
      </w:r>
      <w:r w:rsidR="00257AC6">
        <w:t xml:space="preserve">from </w:t>
      </w:r>
      <w:r w:rsidR="00257AC6" w:rsidRPr="001461C4">
        <w:t xml:space="preserve">and interact with several organizations of persons with disabilities, civil society organizations and independent monitoring </w:t>
      </w:r>
      <w:r w:rsidR="00257AC6">
        <w:t>mechanisms</w:t>
      </w:r>
      <w:r w:rsidR="00257AC6" w:rsidRPr="001461C4">
        <w:t xml:space="preserve">, including national human rights institutions. </w:t>
      </w:r>
    </w:p>
    <w:p w14:paraId="3F1B179B" w14:textId="5E5C5631" w:rsidR="00257AC6" w:rsidRDefault="002D5B06" w:rsidP="002D5B06">
      <w:pPr>
        <w:pStyle w:val="SingleTxtG"/>
      </w:pPr>
      <w:r>
        <w:t>17.</w:t>
      </w:r>
      <w:r>
        <w:tab/>
      </w:r>
      <w:r w:rsidR="00257AC6" w:rsidRPr="001461C4">
        <w:t xml:space="preserve">At the closing meeting of the session, the </w:t>
      </w:r>
      <w:r w:rsidR="00257AC6" w:rsidRPr="00F1292E">
        <w:t>International Disability Alliance</w:t>
      </w:r>
      <w:r w:rsidR="00257AC6">
        <w:t xml:space="preserve"> </w:t>
      </w:r>
      <w:r w:rsidR="00257AC6" w:rsidRPr="001461C4">
        <w:t>addressed the Committee</w:t>
      </w:r>
      <w:r w:rsidR="00257AC6">
        <w:t>.</w:t>
      </w:r>
    </w:p>
    <w:p w14:paraId="0D656BEE" w14:textId="68E4746C" w:rsidR="00257AC6" w:rsidRPr="001461C4" w:rsidRDefault="00257AC6" w:rsidP="00257AC6">
      <w:pPr>
        <w:pStyle w:val="HChG"/>
      </w:pPr>
      <w:r>
        <w:tab/>
      </w:r>
      <w:r w:rsidRPr="001461C4">
        <w:t>X</w:t>
      </w:r>
      <w:r w:rsidR="00CD6A9C">
        <w:t>I</w:t>
      </w:r>
      <w:r w:rsidRPr="001461C4">
        <w:t>.</w:t>
      </w:r>
      <w:r w:rsidRPr="001461C4">
        <w:tab/>
        <w:t>Consideration of reports submitted in accordance with article 35 of the Convention</w:t>
      </w:r>
    </w:p>
    <w:p w14:paraId="06EA3C0B" w14:textId="53C8EDEC" w:rsidR="00257AC6" w:rsidRPr="00E84C2C" w:rsidRDefault="002D5B06" w:rsidP="002D5B06">
      <w:pPr>
        <w:pStyle w:val="SingleTxtG"/>
      </w:pPr>
      <w:r w:rsidRPr="00E84C2C">
        <w:t>18.</w:t>
      </w:r>
      <w:r w:rsidRPr="00E84C2C">
        <w:tab/>
      </w:r>
      <w:r w:rsidR="00257AC6" w:rsidRPr="000A7A2A">
        <w:t xml:space="preserve">The Committee held </w:t>
      </w:r>
      <w:r w:rsidR="00257AC6">
        <w:t>six</w:t>
      </w:r>
      <w:r w:rsidR="00257AC6" w:rsidRPr="000A7A2A">
        <w:t xml:space="preserve"> constructive dialogues</w:t>
      </w:r>
      <w:r w:rsidR="00257AC6">
        <w:t>;</w:t>
      </w:r>
      <w:r w:rsidR="00257AC6" w:rsidRPr="000A7A2A">
        <w:t xml:space="preserve"> </w:t>
      </w:r>
      <w:r w:rsidR="00257AC6">
        <w:t xml:space="preserve">five </w:t>
      </w:r>
      <w:r w:rsidR="00257AC6" w:rsidRPr="000A7A2A">
        <w:t xml:space="preserve">were held in person and one </w:t>
      </w:r>
      <w:r w:rsidR="00257AC6" w:rsidRPr="00002D80">
        <w:t>online.</w:t>
      </w:r>
      <w:r w:rsidR="00257AC6" w:rsidRPr="000A7A2A">
        <w:t xml:space="preserve"> The Committee considered the initial reports of </w:t>
      </w:r>
      <w:r w:rsidR="00257AC6">
        <w:t>Angola, Georgia and Togo,</w:t>
      </w:r>
      <w:r w:rsidR="00257AC6" w:rsidRPr="003B68C1">
        <w:rPr>
          <w:rStyle w:val="FootnoteReference"/>
        </w:rPr>
        <w:footnoteReference w:id="5"/>
      </w:r>
      <w:r w:rsidR="00257AC6" w:rsidRPr="003B68C1">
        <w:rPr>
          <w:rStyle w:val="FootnoteReference"/>
        </w:rPr>
        <w:t xml:space="preserve"> </w:t>
      </w:r>
      <w:r w:rsidR="00257AC6">
        <w:t xml:space="preserve">and </w:t>
      </w:r>
      <w:r w:rsidR="00257AC6" w:rsidRPr="000A7A2A">
        <w:t xml:space="preserve">the combined second and third periodic reports of </w:t>
      </w:r>
      <w:r w:rsidR="00257AC6">
        <w:t>Argentina, of Peru and of Tunisia</w:t>
      </w:r>
      <w:r w:rsidR="00257AC6" w:rsidRPr="000A7A2A">
        <w:t>.</w:t>
      </w:r>
      <w:r w:rsidR="00257AC6" w:rsidRPr="003B68C1">
        <w:rPr>
          <w:rStyle w:val="FootnoteReference"/>
        </w:rPr>
        <w:footnoteReference w:id="6"/>
      </w:r>
      <w:r w:rsidR="00257AC6" w:rsidRPr="003B68C1">
        <w:rPr>
          <w:rStyle w:val="FootnoteReference"/>
        </w:rPr>
        <w:t xml:space="preserve"> </w:t>
      </w:r>
      <w:bookmarkStart w:id="6" w:name="_Hlk116475971"/>
      <w:r w:rsidR="00257AC6">
        <w:t>It</w:t>
      </w:r>
      <w:r w:rsidR="00257AC6" w:rsidRPr="000A7A2A">
        <w:t xml:space="preserve"> adopted concluding observations </w:t>
      </w:r>
      <w:r w:rsidR="00257AC6">
        <w:t>in relation to</w:t>
      </w:r>
      <w:r w:rsidR="00257AC6" w:rsidRPr="000A7A2A">
        <w:t xml:space="preserve"> those reports.</w:t>
      </w:r>
      <w:r w:rsidR="00257AC6" w:rsidRPr="003B68C1">
        <w:rPr>
          <w:rStyle w:val="FootnoteReference"/>
        </w:rPr>
        <w:footnoteReference w:id="7"/>
      </w:r>
      <w:r w:rsidR="00257AC6" w:rsidRPr="003B68C1">
        <w:rPr>
          <w:rStyle w:val="FootnoteReference"/>
        </w:rPr>
        <w:t xml:space="preserve"> </w:t>
      </w:r>
      <w:bookmarkStart w:id="7" w:name="_Hlk116475963"/>
      <w:r w:rsidR="00257AC6" w:rsidRPr="000A7A2A">
        <w:t>A list of States parties whose initial reports are more than five years overdue may be found in annex II to the present report.</w:t>
      </w:r>
      <w:bookmarkEnd w:id="6"/>
      <w:bookmarkEnd w:id="7"/>
    </w:p>
    <w:p w14:paraId="630E1669" w14:textId="1F53486D" w:rsidR="00257AC6" w:rsidRPr="001461C4" w:rsidRDefault="00257AC6" w:rsidP="00257AC6">
      <w:pPr>
        <w:pStyle w:val="HChG"/>
      </w:pPr>
      <w:r w:rsidRPr="001461C4">
        <w:tab/>
      </w:r>
      <w:r>
        <w:t>X</w:t>
      </w:r>
      <w:r w:rsidRPr="001461C4">
        <w:t>I</w:t>
      </w:r>
      <w:r w:rsidR="00CD6A9C">
        <w:t>I</w:t>
      </w:r>
      <w:r w:rsidRPr="001461C4">
        <w:t>.</w:t>
      </w:r>
      <w:r w:rsidRPr="001461C4">
        <w:tab/>
        <w:t>Other decisions</w:t>
      </w:r>
    </w:p>
    <w:p w14:paraId="2E7E9EA0" w14:textId="64EF84DD" w:rsidR="00257AC6" w:rsidRPr="001461C4" w:rsidRDefault="002D5B06" w:rsidP="002D5B06">
      <w:pPr>
        <w:pStyle w:val="SingleTxtG"/>
        <w:rPr>
          <w:rFonts w:eastAsia="Times New Roman"/>
          <w:color w:val="000000"/>
          <w:u w:color="000000"/>
          <w:bdr w:val="nil"/>
          <w:lang w:eastAsia="en-GB"/>
        </w:rPr>
      </w:pPr>
      <w:r w:rsidRPr="001461C4">
        <w:rPr>
          <w:rFonts w:eastAsia="Times New Roman"/>
          <w:color w:val="000000"/>
          <w:u w:color="000000"/>
          <w:bdr w:val="nil"/>
          <w:lang w:eastAsia="en-GB"/>
        </w:rPr>
        <w:t>19.</w:t>
      </w:r>
      <w:r w:rsidRPr="001461C4">
        <w:rPr>
          <w:rFonts w:eastAsia="Times New Roman"/>
          <w:color w:val="000000"/>
          <w:u w:color="000000"/>
          <w:bdr w:val="nil"/>
          <w:lang w:eastAsia="en-GB"/>
        </w:rPr>
        <w:tab/>
      </w:r>
      <w:r w:rsidR="00257AC6" w:rsidRPr="001461C4">
        <w:rPr>
          <w:rFonts w:eastAsia="Times New Roman"/>
          <w:color w:val="000000"/>
          <w:u w:color="000000"/>
          <w:bdr w:val="nil"/>
          <w:lang w:eastAsia="en-GB"/>
        </w:rPr>
        <w:t>The</w:t>
      </w:r>
      <w:r w:rsidR="00257AC6" w:rsidRPr="001461C4">
        <w:rPr>
          <w:rFonts w:eastAsia="Times New Roman"/>
          <w:color w:val="000000"/>
          <w:spacing w:val="-1"/>
          <w:u w:color="000000"/>
          <w:bdr w:val="nil"/>
          <w:lang w:eastAsia="en-GB"/>
        </w:rPr>
        <w:t xml:space="preserve"> </w:t>
      </w:r>
      <w:r w:rsidR="00257AC6" w:rsidRPr="001461C4">
        <w:t>Committee</w:t>
      </w:r>
      <w:r w:rsidR="00257AC6" w:rsidRPr="001461C4">
        <w:rPr>
          <w:rFonts w:eastAsia="Times New Roman"/>
          <w:color w:val="000000"/>
          <w:u w:color="000000"/>
          <w:bdr w:val="nil"/>
          <w:lang w:eastAsia="en-GB"/>
        </w:rPr>
        <w:t xml:space="preserve"> adopted the</w:t>
      </w:r>
      <w:r w:rsidR="00257AC6" w:rsidRPr="001461C4">
        <w:rPr>
          <w:rFonts w:eastAsia="Times New Roman"/>
          <w:color w:val="000000"/>
          <w:spacing w:val="-1"/>
          <w:u w:color="000000"/>
          <w:bdr w:val="nil"/>
          <w:lang w:eastAsia="en-GB"/>
        </w:rPr>
        <w:t xml:space="preserve"> </w:t>
      </w:r>
      <w:r w:rsidR="00257AC6" w:rsidRPr="001461C4">
        <w:rPr>
          <w:rFonts w:eastAsia="Times New Roman"/>
          <w:color w:val="000000"/>
          <w:u w:color="000000"/>
          <w:bdr w:val="nil"/>
          <w:lang w:eastAsia="en-GB"/>
        </w:rPr>
        <w:t>present report</w:t>
      </w:r>
      <w:r w:rsidR="00257AC6" w:rsidRPr="001461C4">
        <w:rPr>
          <w:rFonts w:eastAsia="Times New Roman"/>
          <w:color w:val="000000"/>
          <w:spacing w:val="-1"/>
          <w:u w:color="000000"/>
          <w:bdr w:val="nil"/>
          <w:lang w:eastAsia="en-GB"/>
        </w:rPr>
        <w:t xml:space="preserve"> </w:t>
      </w:r>
      <w:r w:rsidR="00257AC6" w:rsidRPr="001461C4">
        <w:rPr>
          <w:rFonts w:eastAsia="Times New Roman"/>
          <w:color w:val="000000"/>
          <w:u w:color="000000"/>
          <w:bdr w:val="nil"/>
          <w:lang w:eastAsia="en-GB"/>
        </w:rPr>
        <w:t>on its twenty-</w:t>
      </w:r>
      <w:r w:rsidR="00257AC6">
        <w:rPr>
          <w:rFonts w:eastAsia="Times New Roman"/>
          <w:color w:val="000000"/>
          <w:u w:color="000000"/>
          <w:bdr w:val="nil"/>
          <w:lang w:eastAsia="en-GB"/>
        </w:rPr>
        <w:t>eighth</w:t>
      </w:r>
      <w:r w:rsidR="00257AC6" w:rsidRPr="001461C4">
        <w:rPr>
          <w:rFonts w:eastAsia="Times New Roman"/>
          <w:color w:val="000000"/>
          <w:u w:color="000000"/>
          <w:bdr w:val="nil"/>
          <w:lang w:eastAsia="en-GB"/>
        </w:rPr>
        <w:t xml:space="preserve"> session.</w:t>
      </w:r>
    </w:p>
    <w:p w14:paraId="1EB3A91D" w14:textId="6AA206E6" w:rsidR="00257A7C" w:rsidRDefault="002D5B06" w:rsidP="002D5B06">
      <w:pPr>
        <w:pStyle w:val="SingleTxtG"/>
        <w:suppressAutoHyphens w:val="0"/>
        <w:spacing w:after="200" w:line="276" w:lineRule="auto"/>
        <w:rPr>
          <w:rFonts w:eastAsia="Times New Roman"/>
          <w:color w:val="000000"/>
          <w:u w:color="000000"/>
          <w:bdr w:val="nil"/>
          <w:lang w:eastAsia="en-GB"/>
        </w:rPr>
        <w:sectPr w:rsidR="00257A7C"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pPr>
      <w:r>
        <w:rPr>
          <w:rFonts w:eastAsia="Times New Roman"/>
          <w:color w:val="000000"/>
          <w:u w:color="000000"/>
          <w:bdr w:val="nil"/>
          <w:lang w:eastAsia="en-GB"/>
        </w:rPr>
        <w:t>20.</w:t>
      </w:r>
      <w:r>
        <w:rPr>
          <w:rFonts w:eastAsia="Times New Roman"/>
          <w:color w:val="000000"/>
          <w:u w:color="000000"/>
          <w:bdr w:val="nil"/>
          <w:lang w:eastAsia="en-GB"/>
        </w:rPr>
        <w:tab/>
      </w:r>
      <w:r w:rsidR="00257AC6" w:rsidRPr="00B41541">
        <w:rPr>
          <w:rFonts w:eastAsia="Times New Roman"/>
          <w:color w:val="000000"/>
          <w:u w:color="000000"/>
          <w:bdr w:val="nil"/>
          <w:lang w:eastAsia="en-GB"/>
        </w:rPr>
        <w:t>The full list of the decisions adopted by the Committee is available in annex I to the present</w:t>
      </w:r>
      <w:r w:rsidR="00257AC6" w:rsidRPr="00B41541">
        <w:rPr>
          <w:rFonts w:eastAsia="Times New Roman"/>
          <w:color w:val="000000"/>
          <w:spacing w:val="-1"/>
          <w:u w:color="000000"/>
          <w:bdr w:val="nil"/>
          <w:lang w:eastAsia="en-GB"/>
        </w:rPr>
        <w:t xml:space="preserve"> </w:t>
      </w:r>
      <w:r w:rsidR="00257AC6" w:rsidRPr="00B41541">
        <w:rPr>
          <w:rFonts w:eastAsia="Times New Roman"/>
          <w:color w:val="000000"/>
          <w:u w:color="000000"/>
          <w:bdr w:val="nil"/>
          <w:lang w:eastAsia="en-GB"/>
        </w:rPr>
        <w:t>report</w:t>
      </w:r>
      <w:r w:rsidR="00AA4968">
        <w:rPr>
          <w:rFonts w:eastAsia="Times New Roman"/>
          <w:color w:val="000000"/>
          <w:u w:color="000000"/>
          <w:bdr w:val="nil"/>
          <w:lang w:eastAsia="en-GB"/>
        </w:rPr>
        <w:t>.</w:t>
      </w:r>
    </w:p>
    <w:p w14:paraId="3F4B7C51" w14:textId="77777777" w:rsidR="00257AC6" w:rsidRPr="001461C4" w:rsidRDefault="00257AC6" w:rsidP="00257AC6">
      <w:pPr>
        <w:pStyle w:val="HChG"/>
      </w:pPr>
      <w:r w:rsidRPr="001461C4">
        <w:lastRenderedPageBreak/>
        <w:tab/>
        <w:t>Annex I</w:t>
      </w:r>
    </w:p>
    <w:p w14:paraId="4DECF9D4" w14:textId="77777777" w:rsidR="00257AC6" w:rsidRPr="0082597B" w:rsidRDefault="00257AC6" w:rsidP="00257A7C">
      <w:pPr>
        <w:pStyle w:val="HChG"/>
      </w:pPr>
      <w:r w:rsidRPr="001461C4">
        <w:tab/>
      </w:r>
      <w:r w:rsidRPr="001461C4">
        <w:tab/>
      </w:r>
      <w:r w:rsidRPr="0082597B">
        <w:t>Decisions adopted by the Committee at its twenty-</w:t>
      </w:r>
      <w:r>
        <w:t>eighth</w:t>
      </w:r>
      <w:r w:rsidRPr="0082597B">
        <w:t xml:space="preserve"> session </w:t>
      </w:r>
    </w:p>
    <w:p w14:paraId="17392205" w14:textId="1386D86C" w:rsidR="00257AC6" w:rsidRPr="001461C4" w:rsidRDefault="00257AC6" w:rsidP="00257AC6">
      <w:pPr>
        <w:pStyle w:val="SingleTxtG"/>
      </w:pPr>
      <w:r w:rsidRPr="001461C4">
        <w:t>1.</w:t>
      </w:r>
      <w:r w:rsidRPr="001461C4">
        <w:tab/>
        <w:t xml:space="preserve">The Committee adopted concluding observations in relation to the initial reports of </w:t>
      </w:r>
      <w:r>
        <w:t>Angola, Georgia and Togo</w:t>
      </w:r>
      <w:r w:rsidRPr="001461C4">
        <w:t>.</w:t>
      </w:r>
      <w:r w:rsidRPr="003B68C1">
        <w:rPr>
          <w:rStyle w:val="FootnoteReference"/>
        </w:rPr>
        <w:footnoteReference w:id="8"/>
      </w:r>
      <w:r w:rsidRPr="003B68C1">
        <w:rPr>
          <w:rStyle w:val="FootnoteReference"/>
        </w:rPr>
        <w:t xml:space="preserve"> </w:t>
      </w:r>
      <w:r w:rsidRPr="001461C4">
        <w:t xml:space="preserve">It also adopted concluding observations in relation to the combined second and third periodic reports of </w:t>
      </w:r>
      <w:r>
        <w:t>Argentina, of Peru and of Tunisia</w:t>
      </w:r>
      <w:r w:rsidRPr="001461C4">
        <w:t>.</w:t>
      </w:r>
      <w:r w:rsidRPr="003B68C1">
        <w:rPr>
          <w:rStyle w:val="FootnoteReference"/>
        </w:rPr>
        <w:footnoteReference w:id="9"/>
      </w:r>
      <w:r w:rsidRPr="003B68C1">
        <w:rPr>
          <w:rStyle w:val="FootnoteReference"/>
        </w:rPr>
        <w:t xml:space="preserve"> </w:t>
      </w:r>
    </w:p>
    <w:p w14:paraId="05DAD1CB" w14:textId="77777777" w:rsidR="00257AC6" w:rsidRPr="001461C4" w:rsidRDefault="00257AC6" w:rsidP="00257AC6">
      <w:pPr>
        <w:pStyle w:val="SingleTxtG"/>
      </w:pPr>
      <w:r w:rsidRPr="001461C4">
        <w:t>2.</w:t>
      </w:r>
      <w:r w:rsidRPr="001461C4">
        <w:tab/>
        <w:t xml:space="preserve">The Committee considered </w:t>
      </w:r>
      <w:r>
        <w:t>three</w:t>
      </w:r>
      <w:r w:rsidRPr="001461C4">
        <w:t xml:space="preserve"> individual communications submitted for its consideration under the Optional Protocol to the Convention. It found violations of the Convention in two of them</w:t>
      </w:r>
      <w:r>
        <w:t xml:space="preserve"> (</w:t>
      </w:r>
      <w:r w:rsidRPr="005A5228">
        <w:rPr>
          <w:i/>
          <w:iCs/>
        </w:rPr>
        <w:t xml:space="preserve">Mangisto and al-Sayed </w:t>
      </w:r>
      <w:r>
        <w:rPr>
          <w:i/>
          <w:iCs/>
        </w:rPr>
        <w:t>v. State of Palestine</w:t>
      </w:r>
      <w:r w:rsidRPr="003B68C1">
        <w:rPr>
          <w:rStyle w:val="FootnoteReference"/>
        </w:rPr>
        <w:footnoteReference w:id="10"/>
      </w:r>
      <w:hyperlink r:id="rId15" w:anchor="bookmark8" w:history="1">
        <w:r w:rsidRPr="00F67417">
          <w:t xml:space="preserve"> </w:t>
        </w:r>
      </w:hyperlink>
      <w:r w:rsidRPr="001461C4">
        <w:t xml:space="preserve">and </w:t>
      </w:r>
      <w:r w:rsidRPr="005A5228">
        <w:rPr>
          <w:i/>
          <w:iCs/>
        </w:rPr>
        <w:t>García Vara</w:t>
      </w:r>
      <w:r>
        <w:rPr>
          <w:i/>
          <w:iCs/>
        </w:rPr>
        <w:t xml:space="preserve"> v. Mexico</w:t>
      </w:r>
      <w:r>
        <w:t>)</w:t>
      </w:r>
      <w:r w:rsidRPr="001461C4">
        <w:t xml:space="preserve"> and</w:t>
      </w:r>
      <w:r>
        <w:t xml:space="preserve"> declared the third</w:t>
      </w:r>
      <w:r w:rsidRPr="001461C4">
        <w:t xml:space="preserve"> inadmissible</w:t>
      </w:r>
      <w:r>
        <w:t xml:space="preserve"> (</w:t>
      </w:r>
      <w:r>
        <w:rPr>
          <w:i/>
          <w:iCs/>
        </w:rPr>
        <w:t>P.L. et al.</w:t>
      </w:r>
      <w:r w:rsidRPr="0086779F">
        <w:rPr>
          <w:i/>
          <w:iCs/>
        </w:rPr>
        <w:t xml:space="preserve"> </w:t>
      </w:r>
      <w:r>
        <w:rPr>
          <w:i/>
          <w:iCs/>
        </w:rPr>
        <w:t>v. France</w:t>
      </w:r>
      <w:r w:rsidRPr="003B68C1">
        <w:rPr>
          <w:rStyle w:val="FootnoteReference"/>
        </w:rPr>
        <w:footnoteReference w:id="11"/>
      </w:r>
      <w:hyperlink r:id="rId16" w:anchor="bookmark10" w:history="1">
        <w:r w:rsidRPr="00A07AB4">
          <w:t>)</w:t>
        </w:r>
      </w:hyperlink>
      <w:r w:rsidRPr="001461C4">
        <w:t>. A summary of the Views and decisions of the Committee may be found in annex III to the present report. The Views and decisions would be transmitted to the parties as soon as possible and would subsequently be made public.</w:t>
      </w:r>
      <w:r>
        <w:t xml:space="preserve"> The Committee also adopted a </w:t>
      </w:r>
      <w:r w:rsidRPr="00602BFE">
        <w:t>follow-up report on Views.</w:t>
      </w:r>
    </w:p>
    <w:p w14:paraId="36AF0029" w14:textId="77777777" w:rsidR="00257AC6" w:rsidRPr="001461C4" w:rsidRDefault="00257AC6" w:rsidP="00257AC6">
      <w:pPr>
        <w:pStyle w:val="SingleTxtG"/>
      </w:pPr>
      <w:r w:rsidRPr="001461C4">
        <w:t>3.</w:t>
      </w:r>
      <w:r w:rsidRPr="001461C4">
        <w:tab/>
      </w:r>
      <w:bookmarkStart w:id="8" w:name="_Hlk70604741"/>
      <w:r w:rsidRPr="001461C4">
        <w:t>The Committee considered matters related to inquiries pursuant to the Optional Protocol</w:t>
      </w:r>
      <w:bookmarkEnd w:id="8"/>
      <w:r w:rsidRPr="001461C4">
        <w:t>.</w:t>
      </w:r>
    </w:p>
    <w:p w14:paraId="72A5ED33" w14:textId="77777777" w:rsidR="00257AC6" w:rsidRPr="001461C4" w:rsidRDefault="00257AC6" w:rsidP="00257AC6">
      <w:pPr>
        <w:pStyle w:val="SingleTxtG"/>
      </w:pPr>
      <w:r w:rsidRPr="001461C4">
        <w:t>4.</w:t>
      </w:r>
      <w:r w:rsidRPr="001461C4">
        <w:tab/>
        <w:t xml:space="preserve">The Committee </w:t>
      </w:r>
      <w:r>
        <w:t xml:space="preserve">held a day of general discussion related to its draft general comment No. 9 on persons with disabilities in situations of risk </w:t>
      </w:r>
      <w:r w:rsidRPr="00602BFE">
        <w:rPr>
          <w:u w:color="000000"/>
          <w:bdr w:val="nil"/>
        </w:rPr>
        <w:t>and humanitarian emergencies</w:t>
      </w:r>
      <w:r w:rsidRPr="00602BFE">
        <w:t>.</w:t>
      </w:r>
    </w:p>
    <w:p w14:paraId="6289A23B" w14:textId="77777777" w:rsidR="00257AC6" w:rsidRPr="001461C4" w:rsidRDefault="00257AC6" w:rsidP="00257AC6">
      <w:pPr>
        <w:pStyle w:val="SingleTxtG"/>
      </w:pPr>
      <w:r w:rsidRPr="001461C4">
        <w:t>5.</w:t>
      </w:r>
      <w:r w:rsidRPr="001461C4">
        <w:tab/>
      </w:r>
      <w:r>
        <w:t>The Committee decided that its working languages in the biennium 2023–2024 would be Arabic, English, French and Spanish.</w:t>
      </w:r>
    </w:p>
    <w:p w14:paraId="55219011" w14:textId="77777777" w:rsidR="00257AC6" w:rsidRPr="001461C4" w:rsidRDefault="00257AC6" w:rsidP="00257AC6">
      <w:pPr>
        <w:pStyle w:val="SingleTxtG"/>
      </w:pPr>
      <w:r>
        <w:t>6</w:t>
      </w:r>
      <w:r w:rsidRPr="001461C4">
        <w:t>.</w:t>
      </w:r>
      <w:r w:rsidRPr="001461C4">
        <w:tab/>
        <w:t>The Committee decided that its twenty-</w:t>
      </w:r>
      <w:r>
        <w:t>ninth</w:t>
      </w:r>
      <w:r w:rsidRPr="001461C4">
        <w:t xml:space="preserve"> session </w:t>
      </w:r>
      <w:r>
        <w:t>would</w:t>
      </w:r>
      <w:r w:rsidRPr="001461C4">
        <w:t xml:space="preserve"> be held in Geneva from </w:t>
      </w:r>
      <w:r>
        <w:t xml:space="preserve">14 August to 8 September </w:t>
      </w:r>
      <w:r w:rsidRPr="001461C4">
        <w:t>2023</w:t>
      </w:r>
      <w:r>
        <w:t xml:space="preserve">, </w:t>
      </w:r>
      <w:r w:rsidRPr="007E0BA0">
        <w:t>subject to confirmation by the Secretariat of the feasibility of an in-person session</w:t>
      </w:r>
      <w:r>
        <w:t>, and</w:t>
      </w:r>
      <w:r w:rsidRPr="001461C4">
        <w:t xml:space="preserve"> </w:t>
      </w:r>
      <w:r>
        <w:t>would</w:t>
      </w:r>
      <w:r w:rsidRPr="001461C4">
        <w:t xml:space="preserve"> be followed by the </w:t>
      </w:r>
      <w:r>
        <w:t>eighteenth</w:t>
      </w:r>
      <w:r w:rsidRPr="001461C4">
        <w:t xml:space="preserve"> meeting of the pre-sessional working group, from </w:t>
      </w:r>
      <w:r>
        <w:t>11</w:t>
      </w:r>
      <w:r w:rsidRPr="001461C4">
        <w:t xml:space="preserve"> to </w:t>
      </w:r>
      <w:r>
        <w:t>14</w:t>
      </w:r>
      <w:r w:rsidRPr="001461C4">
        <w:t xml:space="preserve"> </w:t>
      </w:r>
      <w:r>
        <w:t>September</w:t>
      </w:r>
      <w:r w:rsidRPr="001461C4">
        <w:t xml:space="preserve"> 2023.</w:t>
      </w:r>
      <w:r w:rsidRPr="001461C4">
        <w:rPr>
          <w:sz w:val="22"/>
          <w:szCs w:val="22"/>
        </w:rPr>
        <w:t xml:space="preserve"> </w:t>
      </w:r>
      <w:r>
        <w:t>The</w:t>
      </w:r>
      <w:r w:rsidRPr="001461C4">
        <w:t xml:space="preserve"> </w:t>
      </w:r>
      <w:r>
        <w:t>Committee</w:t>
      </w:r>
      <w:r w:rsidRPr="001461C4">
        <w:t xml:space="preserve"> adopted </w:t>
      </w:r>
      <w:r>
        <w:t>a</w:t>
      </w:r>
      <w:r w:rsidRPr="001461C4">
        <w:t xml:space="preserve"> provisional programme of work </w:t>
      </w:r>
      <w:r>
        <w:t>for</w:t>
      </w:r>
      <w:r w:rsidRPr="001461C4">
        <w:t xml:space="preserve"> </w:t>
      </w:r>
      <w:r>
        <w:t>its</w:t>
      </w:r>
      <w:r w:rsidRPr="001461C4">
        <w:t xml:space="preserve"> </w:t>
      </w:r>
      <w:r>
        <w:t>twenty-ninth</w:t>
      </w:r>
      <w:r w:rsidRPr="001461C4">
        <w:t xml:space="preserve"> session.</w:t>
      </w:r>
    </w:p>
    <w:p w14:paraId="03A0C5D4" w14:textId="77777777" w:rsidR="00257AC6" w:rsidRPr="001461C4" w:rsidRDefault="00257AC6" w:rsidP="00257AC6">
      <w:pPr>
        <w:pStyle w:val="SingleTxtG"/>
      </w:pPr>
      <w:r>
        <w:t>7</w:t>
      </w:r>
      <w:r w:rsidRPr="001461C4">
        <w:t>.</w:t>
      </w:r>
      <w:r w:rsidRPr="001461C4">
        <w:tab/>
        <w:t xml:space="preserve">The Committee decided to continue its work on updating and streamlining its working methods. </w:t>
      </w:r>
      <w:r>
        <w:t>It decided to streamline</w:t>
      </w:r>
      <w:r w:rsidRPr="00E84C2C">
        <w:t xml:space="preserve"> the methods of work </w:t>
      </w:r>
      <w:r>
        <w:t>for</w:t>
      </w:r>
      <w:r w:rsidRPr="00E84C2C">
        <w:t xml:space="preserve"> private briefings, including by identifying areas in current guidelines </w:t>
      </w:r>
      <w:r>
        <w:t>on the participation of organizations of persons with disabilities in the work of the Committee that</w:t>
      </w:r>
      <w:r w:rsidRPr="00E84C2C">
        <w:t xml:space="preserve"> require</w:t>
      </w:r>
      <w:r>
        <w:t>d</w:t>
      </w:r>
      <w:r w:rsidRPr="00E84C2C">
        <w:t xml:space="preserve"> further implementation or amendment</w:t>
      </w:r>
      <w:r>
        <w:t>; to</w:t>
      </w:r>
      <w:r w:rsidRPr="00E84C2C">
        <w:t xml:space="preserve"> carry</w:t>
      </w:r>
      <w:r>
        <w:t xml:space="preserve"> out </w:t>
      </w:r>
      <w:r w:rsidRPr="00E84C2C">
        <w:t>intersessional work</w:t>
      </w:r>
      <w:r>
        <w:t>;</w:t>
      </w:r>
      <w:r w:rsidRPr="00E84C2C">
        <w:t xml:space="preserve"> </w:t>
      </w:r>
      <w:r w:rsidRPr="008225E7">
        <w:t xml:space="preserve">and to </w:t>
      </w:r>
      <w:r w:rsidRPr="00A07AB4">
        <w:t>pilot the revised methods of work for private briefings</w:t>
      </w:r>
      <w:r w:rsidRPr="008225E7">
        <w:t xml:space="preserve"> during the next session.</w:t>
      </w:r>
      <w:r>
        <w:t xml:space="preserve"> It also decided to establish, on a pilot basis, task forces for the preparation for and conduct of constructive dialogues with States parties.</w:t>
      </w:r>
    </w:p>
    <w:p w14:paraId="49D20DD6" w14:textId="77777777" w:rsidR="00257AC6" w:rsidRPr="001461C4" w:rsidRDefault="00257AC6" w:rsidP="00257AC6">
      <w:pPr>
        <w:pStyle w:val="SingleTxtG"/>
      </w:pPr>
      <w:r>
        <w:t>8</w:t>
      </w:r>
      <w:r w:rsidRPr="001461C4">
        <w:t>.</w:t>
      </w:r>
      <w:r w:rsidRPr="001461C4">
        <w:tab/>
        <w:t xml:space="preserve">The Committee decided to continue </w:t>
      </w:r>
      <w:r>
        <w:t>engaging</w:t>
      </w:r>
      <w:r w:rsidRPr="001461C4">
        <w:t xml:space="preserve"> with the United Nations Office </w:t>
      </w:r>
      <w:r>
        <w:t>at</w:t>
      </w:r>
      <w:r w:rsidRPr="001461C4">
        <w:t xml:space="preserve"> Geneva and the Office of the </w:t>
      </w:r>
      <w:r>
        <w:t xml:space="preserve">United Nations </w:t>
      </w:r>
      <w:r w:rsidRPr="001461C4">
        <w:t xml:space="preserve">High Commissioner for Human Rights, with </w:t>
      </w:r>
      <w:r>
        <w:t>a view to</w:t>
      </w:r>
      <w:r w:rsidRPr="001461C4">
        <w:t xml:space="preserve"> improving the provision of accessible conference services and reasonable accommodation to members of the Committee and participants with disabilities </w:t>
      </w:r>
      <w:r>
        <w:t>at</w:t>
      </w:r>
      <w:r w:rsidRPr="001461C4">
        <w:t xml:space="preserve"> </w:t>
      </w:r>
      <w:r>
        <w:t>Committee</w:t>
      </w:r>
      <w:r w:rsidRPr="001461C4">
        <w:t xml:space="preserve"> meetings. </w:t>
      </w:r>
    </w:p>
    <w:p w14:paraId="1A69B0F2" w14:textId="77777777" w:rsidR="00257AC6" w:rsidRDefault="00257AC6" w:rsidP="00257AC6">
      <w:pPr>
        <w:pStyle w:val="SingleTxtG"/>
      </w:pPr>
      <w:r>
        <w:t>9</w:t>
      </w:r>
      <w:r w:rsidRPr="001461C4">
        <w:t>.</w:t>
      </w:r>
      <w:r w:rsidRPr="001461C4">
        <w:tab/>
        <w:t>The Committee decided to</w:t>
      </w:r>
      <w:r>
        <w:t xml:space="preserve"> continue </w:t>
      </w:r>
      <w:r w:rsidRPr="001461C4">
        <w:t>implementing</w:t>
      </w:r>
      <w:r>
        <w:t>,</w:t>
      </w:r>
      <w:r w:rsidRPr="001461C4">
        <w:t xml:space="preserve"> </w:t>
      </w:r>
      <w:r>
        <w:t xml:space="preserve">still </w:t>
      </w:r>
      <w:r w:rsidRPr="001461C4">
        <w:t xml:space="preserve">on a pilot basis, </w:t>
      </w:r>
      <w:r>
        <w:t>the</w:t>
      </w:r>
      <w:r w:rsidRPr="001461C4">
        <w:t xml:space="preserve"> database project offered by</w:t>
      </w:r>
      <w:r>
        <w:t xml:space="preserve"> </w:t>
      </w:r>
      <w:r w:rsidRPr="00047640">
        <w:t>Fundación Saraki</w:t>
      </w:r>
      <w:r w:rsidRPr="001461C4">
        <w:t xml:space="preserve">. </w:t>
      </w:r>
    </w:p>
    <w:p w14:paraId="63B60476" w14:textId="77777777" w:rsidR="00257AC6" w:rsidRPr="001461C4" w:rsidRDefault="00257AC6" w:rsidP="00257AC6">
      <w:pPr>
        <w:pStyle w:val="SingleTxtG"/>
      </w:pPr>
      <w:r>
        <w:t>10.</w:t>
      </w:r>
      <w:r>
        <w:tab/>
        <w:t xml:space="preserve">In response to a </w:t>
      </w:r>
      <w:r w:rsidRPr="00D32B3D">
        <w:t xml:space="preserve">request </w:t>
      </w:r>
      <w:r>
        <w:t>from the Bolivarian Republic of Venezuela, the Committee prepared comments and advice on a bill on the rights of persons with disabilities, for transmission to the State party on 31 March 2023.</w:t>
      </w:r>
    </w:p>
    <w:p w14:paraId="58D606D2" w14:textId="77777777" w:rsidR="00257AC6" w:rsidRPr="001461C4" w:rsidRDefault="00257AC6" w:rsidP="00257AC6">
      <w:pPr>
        <w:pStyle w:val="SingleTxtG"/>
      </w:pPr>
      <w:r w:rsidRPr="001461C4">
        <w:t>1</w:t>
      </w:r>
      <w:r>
        <w:t>1</w:t>
      </w:r>
      <w:r w:rsidRPr="001461C4">
        <w:t>.</w:t>
      </w:r>
      <w:r w:rsidRPr="001461C4">
        <w:tab/>
        <w:t>The Committee adopted the report on its twenty-</w:t>
      </w:r>
      <w:r>
        <w:t>eighth</w:t>
      </w:r>
      <w:r w:rsidRPr="001461C4">
        <w:t xml:space="preserve"> session, </w:t>
      </w:r>
      <w:r>
        <w:t xml:space="preserve">and </w:t>
      </w:r>
      <w:r w:rsidRPr="00A212C5">
        <w:t>its seventh biennial report to the General Assembly and the Economic and Social Council.</w:t>
      </w:r>
    </w:p>
    <w:p w14:paraId="25D08BF8" w14:textId="77777777" w:rsidR="00257AC6" w:rsidRPr="001461C4" w:rsidRDefault="00257AC6" w:rsidP="00257AC6">
      <w:pPr>
        <w:suppressAutoHyphens w:val="0"/>
        <w:spacing w:after="200" w:line="276" w:lineRule="auto"/>
      </w:pPr>
      <w:r w:rsidRPr="001461C4">
        <w:br w:type="page"/>
      </w:r>
    </w:p>
    <w:p w14:paraId="4C966F3A" w14:textId="77777777" w:rsidR="00257AC6" w:rsidRPr="001461C4" w:rsidRDefault="00257AC6" w:rsidP="00257AC6">
      <w:pPr>
        <w:pStyle w:val="HChG"/>
        <w:rPr>
          <w:u w:val="single"/>
        </w:rPr>
      </w:pPr>
      <w:r w:rsidRPr="001461C4">
        <w:lastRenderedPageBreak/>
        <w:tab/>
        <w:t>Annex II</w:t>
      </w:r>
    </w:p>
    <w:p w14:paraId="4235DE82" w14:textId="77777777" w:rsidR="00257AC6" w:rsidRPr="001461C4" w:rsidRDefault="00257AC6" w:rsidP="00257AC6">
      <w:pPr>
        <w:pStyle w:val="HChG"/>
      </w:pPr>
      <w:r w:rsidRPr="001461C4">
        <w:tab/>
      </w:r>
      <w:r w:rsidRPr="001461C4">
        <w:tab/>
        <w:t>States parties whose initial reports are more than five years</w:t>
      </w:r>
      <w:r>
        <w:t xml:space="preserv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257AC6" w:rsidRPr="001461C4" w14:paraId="24061AC6" w14:textId="77777777" w:rsidTr="00C97D30">
        <w:trPr>
          <w:tblHeader/>
        </w:trPr>
        <w:tc>
          <w:tcPr>
            <w:tcW w:w="3684" w:type="dxa"/>
            <w:tcBorders>
              <w:top w:val="single" w:sz="4" w:space="0" w:color="auto"/>
              <w:bottom w:val="single" w:sz="12" w:space="0" w:color="auto"/>
            </w:tcBorders>
            <w:shd w:val="clear" w:color="auto" w:fill="auto"/>
            <w:vAlign w:val="bottom"/>
          </w:tcPr>
          <w:p w14:paraId="27A60449" w14:textId="77777777" w:rsidR="00257AC6" w:rsidRPr="001461C4" w:rsidRDefault="00257AC6" w:rsidP="00C97D30">
            <w:pPr>
              <w:suppressAutoHyphens w:val="0"/>
              <w:spacing w:before="80" w:after="80" w:line="200" w:lineRule="exact"/>
              <w:ind w:right="113"/>
              <w:rPr>
                <w:i/>
                <w:sz w:val="16"/>
              </w:rPr>
            </w:pPr>
            <w:r w:rsidRPr="001461C4">
              <w:rPr>
                <w:i/>
                <w:sz w:val="16"/>
              </w:rPr>
              <w:t>Party</w:t>
            </w:r>
          </w:p>
        </w:tc>
        <w:tc>
          <w:tcPr>
            <w:tcW w:w="3686" w:type="dxa"/>
            <w:tcBorders>
              <w:top w:val="single" w:sz="4" w:space="0" w:color="auto"/>
              <w:bottom w:val="single" w:sz="12" w:space="0" w:color="auto"/>
            </w:tcBorders>
            <w:shd w:val="clear" w:color="auto" w:fill="auto"/>
            <w:vAlign w:val="bottom"/>
          </w:tcPr>
          <w:p w14:paraId="26FF1CF1" w14:textId="77777777" w:rsidR="00257AC6" w:rsidRPr="001461C4" w:rsidRDefault="00257AC6" w:rsidP="00C97D30">
            <w:pPr>
              <w:suppressAutoHyphens w:val="0"/>
              <w:spacing w:before="80" w:after="80" w:line="200" w:lineRule="exact"/>
              <w:ind w:right="113"/>
              <w:rPr>
                <w:i/>
                <w:sz w:val="16"/>
              </w:rPr>
            </w:pPr>
            <w:r w:rsidRPr="001461C4">
              <w:rPr>
                <w:i/>
                <w:sz w:val="16"/>
              </w:rPr>
              <w:t>Due date</w:t>
            </w:r>
          </w:p>
        </w:tc>
      </w:tr>
      <w:tr w:rsidR="00257AC6" w:rsidRPr="001461C4" w14:paraId="3616053C" w14:textId="77777777" w:rsidTr="00C97D30">
        <w:tc>
          <w:tcPr>
            <w:tcW w:w="3684" w:type="dxa"/>
            <w:tcBorders>
              <w:top w:val="single" w:sz="12" w:space="0" w:color="auto"/>
            </w:tcBorders>
            <w:shd w:val="clear" w:color="auto" w:fill="auto"/>
          </w:tcPr>
          <w:p w14:paraId="193DF3E0" w14:textId="77777777" w:rsidR="00257AC6" w:rsidRPr="001461C4" w:rsidRDefault="00257AC6" w:rsidP="00C97D30">
            <w:pPr>
              <w:suppressAutoHyphens w:val="0"/>
              <w:spacing w:before="40" w:after="120" w:line="220" w:lineRule="exact"/>
              <w:ind w:right="113"/>
            </w:pPr>
            <w:r w:rsidRPr="001461C4">
              <w:t>Guinea</w:t>
            </w:r>
          </w:p>
        </w:tc>
        <w:tc>
          <w:tcPr>
            <w:tcW w:w="3686" w:type="dxa"/>
            <w:tcBorders>
              <w:top w:val="single" w:sz="12" w:space="0" w:color="auto"/>
            </w:tcBorders>
            <w:shd w:val="clear" w:color="auto" w:fill="auto"/>
          </w:tcPr>
          <w:p w14:paraId="78C198F6" w14:textId="77777777" w:rsidR="00257AC6" w:rsidRPr="001461C4" w:rsidRDefault="00257AC6" w:rsidP="00C97D30">
            <w:pPr>
              <w:suppressAutoHyphens w:val="0"/>
              <w:spacing w:before="40" w:after="120" w:line="220" w:lineRule="exact"/>
              <w:ind w:right="113"/>
            </w:pPr>
            <w:r w:rsidRPr="001461C4">
              <w:t>8 March 2010</w:t>
            </w:r>
          </w:p>
        </w:tc>
      </w:tr>
      <w:tr w:rsidR="00257AC6" w:rsidRPr="001461C4" w14:paraId="6415D523" w14:textId="77777777" w:rsidTr="00C97D30">
        <w:tc>
          <w:tcPr>
            <w:tcW w:w="3684" w:type="dxa"/>
            <w:shd w:val="clear" w:color="auto" w:fill="auto"/>
          </w:tcPr>
          <w:p w14:paraId="05D3AFFC" w14:textId="77777777" w:rsidR="00257AC6" w:rsidRPr="001461C4" w:rsidRDefault="00257AC6" w:rsidP="00C97D30">
            <w:pPr>
              <w:suppressAutoHyphens w:val="0"/>
              <w:spacing w:before="40" w:after="120" w:line="220" w:lineRule="exact"/>
              <w:ind w:right="113"/>
            </w:pPr>
            <w:r w:rsidRPr="001461C4">
              <w:t>San Marino</w:t>
            </w:r>
          </w:p>
        </w:tc>
        <w:tc>
          <w:tcPr>
            <w:tcW w:w="3686" w:type="dxa"/>
            <w:shd w:val="clear" w:color="auto" w:fill="auto"/>
          </w:tcPr>
          <w:p w14:paraId="2512FA37" w14:textId="77777777" w:rsidR="00257AC6" w:rsidRPr="001461C4" w:rsidRDefault="00257AC6" w:rsidP="00C97D30">
            <w:pPr>
              <w:suppressAutoHyphens w:val="0"/>
              <w:spacing w:before="40" w:after="120" w:line="220" w:lineRule="exact"/>
              <w:ind w:right="113"/>
            </w:pPr>
            <w:r w:rsidRPr="001461C4">
              <w:t>22 March 2010</w:t>
            </w:r>
          </w:p>
        </w:tc>
      </w:tr>
      <w:tr w:rsidR="00257AC6" w:rsidRPr="001461C4" w14:paraId="6B1664BC" w14:textId="77777777" w:rsidTr="00C97D30">
        <w:tc>
          <w:tcPr>
            <w:tcW w:w="3684" w:type="dxa"/>
            <w:shd w:val="clear" w:color="auto" w:fill="auto"/>
          </w:tcPr>
          <w:p w14:paraId="349E92A8" w14:textId="77777777" w:rsidR="00257AC6" w:rsidRPr="001461C4" w:rsidRDefault="00257AC6" w:rsidP="00C97D30">
            <w:pPr>
              <w:suppressAutoHyphens w:val="0"/>
              <w:spacing w:before="40" w:after="120" w:line="220" w:lineRule="exact"/>
              <w:ind w:right="113"/>
            </w:pPr>
            <w:r w:rsidRPr="001461C4">
              <w:t>Lesotho</w:t>
            </w:r>
          </w:p>
        </w:tc>
        <w:tc>
          <w:tcPr>
            <w:tcW w:w="3686" w:type="dxa"/>
            <w:shd w:val="clear" w:color="auto" w:fill="auto"/>
          </w:tcPr>
          <w:p w14:paraId="426D02EF" w14:textId="77777777" w:rsidR="00257AC6" w:rsidRPr="001461C4" w:rsidRDefault="00257AC6" w:rsidP="00C97D30">
            <w:pPr>
              <w:suppressAutoHyphens w:val="0"/>
              <w:spacing w:before="40" w:after="120" w:line="220" w:lineRule="exact"/>
              <w:ind w:right="113"/>
            </w:pPr>
            <w:r w:rsidRPr="001461C4">
              <w:t>2 January 2011</w:t>
            </w:r>
          </w:p>
        </w:tc>
      </w:tr>
      <w:tr w:rsidR="00257AC6" w:rsidRPr="001461C4" w14:paraId="5FAF32FE" w14:textId="77777777" w:rsidTr="00C97D30">
        <w:tc>
          <w:tcPr>
            <w:tcW w:w="3684" w:type="dxa"/>
            <w:shd w:val="clear" w:color="auto" w:fill="auto"/>
          </w:tcPr>
          <w:p w14:paraId="55237F4D" w14:textId="77777777" w:rsidR="00257AC6" w:rsidRPr="001461C4" w:rsidRDefault="00257AC6" w:rsidP="00C97D30">
            <w:pPr>
              <w:suppressAutoHyphens w:val="0"/>
              <w:spacing w:before="40" w:after="120" w:line="220" w:lineRule="exact"/>
              <w:ind w:right="113"/>
            </w:pPr>
            <w:r w:rsidRPr="001461C4">
              <w:t>Yemen</w:t>
            </w:r>
          </w:p>
        </w:tc>
        <w:tc>
          <w:tcPr>
            <w:tcW w:w="3686" w:type="dxa"/>
            <w:shd w:val="clear" w:color="auto" w:fill="auto"/>
          </w:tcPr>
          <w:p w14:paraId="4DD78251" w14:textId="77777777" w:rsidR="00257AC6" w:rsidRPr="001461C4" w:rsidRDefault="00257AC6" w:rsidP="00C97D30">
            <w:pPr>
              <w:suppressAutoHyphens w:val="0"/>
              <w:spacing w:before="40" w:after="120" w:line="220" w:lineRule="exact"/>
              <w:ind w:right="113"/>
            </w:pPr>
            <w:r w:rsidRPr="001461C4">
              <w:t>26 April 2011</w:t>
            </w:r>
          </w:p>
        </w:tc>
      </w:tr>
      <w:tr w:rsidR="00257AC6" w:rsidRPr="001461C4" w14:paraId="18D49460" w14:textId="77777777" w:rsidTr="00C97D30">
        <w:tc>
          <w:tcPr>
            <w:tcW w:w="3684" w:type="dxa"/>
            <w:shd w:val="clear" w:color="auto" w:fill="auto"/>
          </w:tcPr>
          <w:p w14:paraId="5F4424BF" w14:textId="77777777" w:rsidR="00257AC6" w:rsidRPr="001461C4" w:rsidRDefault="00257AC6" w:rsidP="00C97D30">
            <w:pPr>
              <w:suppressAutoHyphens w:val="0"/>
              <w:spacing w:before="40" w:after="120" w:line="220" w:lineRule="exact"/>
              <w:ind w:right="113"/>
            </w:pPr>
            <w:r w:rsidRPr="001461C4">
              <w:t>Syrian Arab Republic</w:t>
            </w:r>
          </w:p>
        </w:tc>
        <w:tc>
          <w:tcPr>
            <w:tcW w:w="3686" w:type="dxa"/>
            <w:shd w:val="clear" w:color="auto" w:fill="auto"/>
          </w:tcPr>
          <w:p w14:paraId="5442917F" w14:textId="77777777" w:rsidR="00257AC6" w:rsidRPr="001461C4" w:rsidRDefault="00257AC6" w:rsidP="00C97D30">
            <w:pPr>
              <w:suppressAutoHyphens w:val="0"/>
              <w:spacing w:before="40" w:after="120" w:line="220" w:lineRule="exact"/>
              <w:ind w:right="113"/>
            </w:pPr>
            <w:r w:rsidRPr="001461C4">
              <w:t>10 August 2011</w:t>
            </w:r>
          </w:p>
        </w:tc>
      </w:tr>
      <w:tr w:rsidR="00257AC6" w:rsidRPr="001461C4" w14:paraId="5F8BE515" w14:textId="77777777" w:rsidTr="00C97D30">
        <w:tc>
          <w:tcPr>
            <w:tcW w:w="3684" w:type="dxa"/>
            <w:shd w:val="clear" w:color="auto" w:fill="auto"/>
          </w:tcPr>
          <w:p w14:paraId="2E4CD52F" w14:textId="77777777" w:rsidR="00257AC6" w:rsidRPr="001461C4" w:rsidRDefault="00257AC6" w:rsidP="00C97D30">
            <w:pPr>
              <w:suppressAutoHyphens w:val="0"/>
              <w:spacing w:before="40" w:after="120" w:line="220" w:lineRule="exact"/>
              <w:ind w:right="113"/>
            </w:pPr>
            <w:r w:rsidRPr="001461C4">
              <w:t>United Republic of Tanzania</w:t>
            </w:r>
          </w:p>
        </w:tc>
        <w:tc>
          <w:tcPr>
            <w:tcW w:w="3686" w:type="dxa"/>
            <w:shd w:val="clear" w:color="auto" w:fill="auto"/>
          </w:tcPr>
          <w:p w14:paraId="549B294A" w14:textId="77777777" w:rsidR="00257AC6" w:rsidRPr="001461C4" w:rsidRDefault="00257AC6" w:rsidP="00C97D30">
            <w:pPr>
              <w:suppressAutoHyphens w:val="0"/>
              <w:spacing w:before="40" w:after="120" w:line="220" w:lineRule="exact"/>
              <w:ind w:right="113"/>
            </w:pPr>
            <w:r w:rsidRPr="001461C4">
              <w:t>10 December 2011</w:t>
            </w:r>
          </w:p>
        </w:tc>
      </w:tr>
      <w:tr w:rsidR="00257AC6" w:rsidRPr="001461C4" w14:paraId="6A7829C7" w14:textId="77777777" w:rsidTr="00C97D30">
        <w:tc>
          <w:tcPr>
            <w:tcW w:w="3684" w:type="dxa"/>
            <w:shd w:val="clear" w:color="auto" w:fill="auto"/>
          </w:tcPr>
          <w:p w14:paraId="14E0315F" w14:textId="77777777" w:rsidR="00257AC6" w:rsidRPr="001461C4" w:rsidRDefault="00257AC6" w:rsidP="00C97D30">
            <w:pPr>
              <w:suppressAutoHyphens w:val="0"/>
              <w:spacing w:before="40" w:after="120" w:line="220" w:lineRule="exact"/>
              <w:ind w:right="113"/>
            </w:pPr>
            <w:r w:rsidRPr="001461C4">
              <w:t>Malaysia</w:t>
            </w:r>
          </w:p>
        </w:tc>
        <w:tc>
          <w:tcPr>
            <w:tcW w:w="3686" w:type="dxa"/>
            <w:shd w:val="clear" w:color="auto" w:fill="auto"/>
          </w:tcPr>
          <w:p w14:paraId="77D2BBB6" w14:textId="77777777" w:rsidR="00257AC6" w:rsidRPr="001461C4" w:rsidRDefault="00257AC6" w:rsidP="00C97D30">
            <w:pPr>
              <w:suppressAutoHyphens w:val="0"/>
              <w:spacing w:before="40" w:after="120" w:line="220" w:lineRule="exact"/>
              <w:ind w:right="113"/>
            </w:pPr>
            <w:r w:rsidRPr="001461C4">
              <w:t>19 August 2012</w:t>
            </w:r>
          </w:p>
        </w:tc>
      </w:tr>
      <w:tr w:rsidR="00257AC6" w:rsidRPr="001461C4" w14:paraId="112280DF" w14:textId="77777777" w:rsidTr="00C97D30">
        <w:tc>
          <w:tcPr>
            <w:tcW w:w="3684" w:type="dxa"/>
            <w:shd w:val="clear" w:color="auto" w:fill="auto"/>
          </w:tcPr>
          <w:p w14:paraId="1EE7B074" w14:textId="77777777" w:rsidR="00257AC6" w:rsidRPr="001461C4" w:rsidRDefault="00257AC6" w:rsidP="00C97D30">
            <w:pPr>
              <w:suppressAutoHyphens w:val="0"/>
              <w:spacing w:before="40" w:after="120" w:line="220" w:lineRule="exact"/>
              <w:ind w:right="113"/>
            </w:pPr>
            <w:r w:rsidRPr="001461C4">
              <w:t>Saint Vincent and the Grenadines</w:t>
            </w:r>
          </w:p>
        </w:tc>
        <w:tc>
          <w:tcPr>
            <w:tcW w:w="3686" w:type="dxa"/>
            <w:shd w:val="clear" w:color="auto" w:fill="auto"/>
          </w:tcPr>
          <w:p w14:paraId="396920F7" w14:textId="77777777" w:rsidR="00257AC6" w:rsidRPr="001461C4" w:rsidRDefault="00257AC6" w:rsidP="00C97D30">
            <w:pPr>
              <w:suppressAutoHyphens w:val="0"/>
              <w:spacing w:before="40" w:after="120" w:line="220" w:lineRule="exact"/>
              <w:ind w:right="113"/>
            </w:pPr>
            <w:r w:rsidRPr="001461C4">
              <w:t>29 November 2012</w:t>
            </w:r>
          </w:p>
        </w:tc>
      </w:tr>
      <w:tr w:rsidR="00257AC6" w:rsidRPr="001461C4" w14:paraId="06678874" w14:textId="77777777" w:rsidTr="00C97D30">
        <w:tc>
          <w:tcPr>
            <w:tcW w:w="3684" w:type="dxa"/>
            <w:shd w:val="clear" w:color="auto" w:fill="auto"/>
          </w:tcPr>
          <w:p w14:paraId="73B69605" w14:textId="77777777" w:rsidR="00257AC6" w:rsidRPr="001461C4" w:rsidRDefault="00257AC6" w:rsidP="00C97D30">
            <w:pPr>
              <w:suppressAutoHyphens w:val="0"/>
              <w:spacing w:before="40" w:after="120" w:line="220" w:lineRule="exact"/>
              <w:ind w:right="113"/>
            </w:pPr>
            <w:r w:rsidRPr="001461C4">
              <w:t>Belize</w:t>
            </w:r>
          </w:p>
        </w:tc>
        <w:tc>
          <w:tcPr>
            <w:tcW w:w="3686" w:type="dxa"/>
            <w:shd w:val="clear" w:color="auto" w:fill="auto"/>
          </w:tcPr>
          <w:p w14:paraId="3EA621B2" w14:textId="77777777" w:rsidR="00257AC6" w:rsidRPr="001461C4" w:rsidRDefault="00257AC6" w:rsidP="00C97D30">
            <w:pPr>
              <w:suppressAutoHyphens w:val="0"/>
              <w:spacing w:before="40" w:after="120" w:line="220" w:lineRule="exact"/>
              <w:ind w:right="113"/>
            </w:pPr>
            <w:r w:rsidRPr="001461C4">
              <w:t>2 July 2013</w:t>
            </w:r>
          </w:p>
        </w:tc>
      </w:tr>
      <w:tr w:rsidR="00257AC6" w:rsidRPr="001461C4" w14:paraId="1DEF4281" w14:textId="77777777" w:rsidTr="00C97D30">
        <w:tc>
          <w:tcPr>
            <w:tcW w:w="3684" w:type="dxa"/>
            <w:shd w:val="clear" w:color="auto" w:fill="auto"/>
          </w:tcPr>
          <w:p w14:paraId="4CEA7500" w14:textId="77777777" w:rsidR="00257AC6" w:rsidRPr="001461C4" w:rsidRDefault="00257AC6" w:rsidP="00C97D30">
            <w:pPr>
              <w:suppressAutoHyphens w:val="0"/>
              <w:spacing w:before="40" w:after="120" w:line="220" w:lineRule="exact"/>
              <w:ind w:right="113"/>
            </w:pPr>
            <w:r w:rsidRPr="001461C4">
              <w:t>Cabo Verde</w:t>
            </w:r>
          </w:p>
        </w:tc>
        <w:tc>
          <w:tcPr>
            <w:tcW w:w="3686" w:type="dxa"/>
            <w:shd w:val="clear" w:color="auto" w:fill="auto"/>
          </w:tcPr>
          <w:p w14:paraId="599756F1" w14:textId="77777777" w:rsidR="00257AC6" w:rsidRPr="001461C4" w:rsidRDefault="00257AC6" w:rsidP="00C97D30">
            <w:pPr>
              <w:suppressAutoHyphens w:val="0"/>
              <w:spacing w:before="40" w:after="120" w:line="220" w:lineRule="exact"/>
              <w:ind w:right="113"/>
            </w:pPr>
            <w:r w:rsidRPr="001461C4">
              <w:t>10 November 2013</w:t>
            </w:r>
          </w:p>
        </w:tc>
      </w:tr>
      <w:tr w:rsidR="00257AC6" w:rsidRPr="001461C4" w14:paraId="40263A0A" w14:textId="77777777" w:rsidTr="00C97D30">
        <w:tc>
          <w:tcPr>
            <w:tcW w:w="3684" w:type="dxa"/>
            <w:shd w:val="clear" w:color="auto" w:fill="auto"/>
          </w:tcPr>
          <w:p w14:paraId="7ED7185D" w14:textId="77777777" w:rsidR="00257AC6" w:rsidRPr="001461C4" w:rsidRDefault="00257AC6" w:rsidP="00C97D30">
            <w:pPr>
              <w:suppressAutoHyphens w:val="0"/>
              <w:spacing w:before="40" w:after="120" w:line="220" w:lineRule="exact"/>
              <w:ind w:right="113"/>
            </w:pPr>
            <w:r w:rsidRPr="001461C4">
              <w:t>Nauru</w:t>
            </w:r>
          </w:p>
        </w:tc>
        <w:tc>
          <w:tcPr>
            <w:tcW w:w="3686" w:type="dxa"/>
            <w:shd w:val="clear" w:color="auto" w:fill="auto"/>
          </w:tcPr>
          <w:p w14:paraId="1CCEAF42" w14:textId="77777777" w:rsidR="00257AC6" w:rsidRPr="001461C4" w:rsidRDefault="00257AC6" w:rsidP="00C97D30">
            <w:pPr>
              <w:suppressAutoHyphens w:val="0"/>
              <w:spacing w:before="40" w:after="120" w:line="220" w:lineRule="exact"/>
              <w:ind w:right="113"/>
            </w:pPr>
            <w:r w:rsidRPr="001461C4">
              <w:t>27 July 2014</w:t>
            </w:r>
          </w:p>
        </w:tc>
      </w:tr>
      <w:tr w:rsidR="00257AC6" w:rsidRPr="001461C4" w14:paraId="03B3DA0C" w14:textId="77777777" w:rsidTr="00C97D30">
        <w:tc>
          <w:tcPr>
            <w:tcW w:w="3684" w:type="dxa"/>
            <w:shd w:val="clear" w:color="auto" w:fill="auto"/>
          </w:tcPr>
          <w:p w14:paraId="158D5AEA" w14:textId="77777777" w:rsidR="00257AC6" w:rsidRPr="001461C4" w:rsidRDefault="00257AC6" w:rsidP="00C97D30">
            <w:pPr>
              <w:suppressAutoHyphens w:val="0"/>
              <w:spacing w:before="40" w:after="120" w:line="220" w:lineRule="exact"/>
              <w:ind w:right="113"/>
            </w:pPr>
            <w:r w:rsidRPr="001461C4">
              <w:t xml:space="preserve">Eswatini </w:t>
            </w:r>
          </w:p>
        </w:tc>
        <w:tc>
          <w:tcPr>
            <w:tcW w:w="3686" w:type="dxa"/>
            <w:shd w:val="clear" w:color="auto" w:fill="auto"/>
          </w:tcPr>
          <w:p w14:paraId="6AE58F35" w14:textId="77777777" w:rsidR="00257AC6" w:rsidRPr="001461C4" w:rsidRDefault="00257AC6" w:rsidP="00C97D30">
            <w:pPr>
              <w:suppressAutoHyphens w:val="0"/>
              <w:spacing w:before="40" w:after="120" w:line="220" w:lineRule="exact"/>
              <w:ind w:right="113"/>
            </w:pPr>
            <w:r w:rsidRPr="001461C4">
              <w:t>24 October 2014</w:t>
            </w:r>
          </w:p>
        </w:tc>
      </w:tr>
      <w:tr w:rsidR="00257AC6" w:rsidRPr="001461C4" w14:paraId="712B8DB3" w14:textId="77777777" w:rsidTr="00C97D30">
        <w:tc>
          <w:tcPr>
            <w:tcW w:w="3684" w:type="dxa"/>
            <w:shd w:val="clear" w:color="auto" w:fill="auto"/>
          </w:tcPr>
          <w:p w14:paraId="25C0A027" w14:textId="77777777" w:rsidR="00257AC6" w:rsidRPr="001461C4" w:rsidRDefault="00257AC6" w:rsidP="00C97D30">
            <w:pPr>
              <w:suppressAutoHyphens w:val="0"/>
              <w:spacing w:before="40" w:after="120" w:line="220" w:lineRule="exact"/>
              <w:ind w:right="113"/>
            </w:pPr>
            <w:r w:rsidRPr="001461C4">
              <w:t>Dominica</w:t>
            </w:r>
          </w:p>
        </w:tc>
        <w:tc>
          <w:tcPr>
            <w:tcW w:w="3686" w:type="dxa"/>
            <w:shd w:val="clear" w:color="auto" w:fill="auto"/>
          </w:tcPr>
          <w:p w14:paraId="69CCCEEF" w14:textId="77777777" w:rsidR="00257AC6" w:rsidRPr="001461C4" w:rsidRDefault="00257AC6" w:rsidP="00C97D30">
            <w:pPr>
              <w:suppressAutoHyphens w:val="0"/>
              <w:spacing w:before="40" w:after="120" w:line="220" w:lineRule="exact"/>
              <w:ind w:right="113"/>
            </w:pPr>
            <w:r w:rsidRPr="001461C4">
              <w:t>1 November 2014</w:t>
            </w:r>
          </w:p>
        </w:tc>
      </w:tr>
      <w:tr w:rsidR="00257AC6" w:rsidRPr="001461C4" w14:paraId="4A881234" w14:textId="77777777" w:rsidTr="00C97D30">
        <w:tc>
          <w:tcPr>
            <w:tcW w:w="3684" w:type="dxa"/>
            <w:shd w:val="clear" w:color="auto" w:fill="auto"/>
          </w:tcPr>
          <w:p w14:paraId="2EE7F4EE" w14:textId="77777777" w:rsidR="00257AC6" w:rsidRPr="001461C4" w:rsidRDefault="00257AC6" w:rsidP="00C97D30">
            <w:pPr>
              <w:suppressAutoHyphens w:val="0"/>
              <w:spacing w:before="40" w:after="120" w:line="220" w:lineRule="exact"/>
              <w:ind w:right="113"/>
            </w:pPr>
            <w:r w:rsidRPr="001461C4">
              <w:t>Cambodia</w:t>
            </w:r>
          </w:p>
        </w:tc>
        <w:tc>
          <w:tcPr>
            <w:tcW w:w="3686" w:type="dxa"/>
            <w:shd w:val="clear" w:color="auto" w:fill="auto"/>
          </w:tcPr>
          <w:p w14:paraId="13AC0D54" w14:textId="77777777" w:rsidR="00257AC6" w:rsidRPr="001461C4" w:rsidRDefault="00257AC6" w:rsidP="00C97D30">
            <w:pPr>
              <w:suppressAutoHyphens w:val="0"/>
              <w:spacing w:before="40" w:after="120" w:line="220" w:lineRule="exact"/>
              <w:ind w:right="113"/>
            </w:pPr>
            <w:r w:rsidRPr="001461C4">
              <w:t>20 January 2015</w:t>
            </w:r>
          </w:p>
        </w:tc>
      </w:tr>
      <w:tr w:rsidR="00257AC6" w:rsidRPr="001461C4" w14:paraId="0A0953BA" w14:textId="77777777" w:rsidTr="00C97D30">
        <w:tc>
          <w:tcPr>
            <w:tcW w:w="3684" w:type="dxa"/>
            <w:shd w:val="clear" w:color="auto" w:fill="auto"/>
          </w:tcPr>
          <w:p w14:paraId="612F21B1" w14:textId="77777777" w:rsidR="00257AC6" w:rsidRPr="001461C4" w:rsidRDefault="00257AC6" w:rsidP="00C97D30">
            <w:pPr>
              <w:suppressAutoHyphens w:val="0"/>
              <w:spacing w:before="40" w:after="120" w:line="220" w:lineRule="exact"/>
              <w:ind w:right="113"/>
            </w:pPr>
            <w:r w:rsidRPr="001461C4">
              <w:t>Barbados</w:t>
            </w:r>
          </w:p>
        </w:tc>
        <w:tc>
          <w:tcPr>
            <w:tcW w:w="3686" w:type="dxa"/>
            <w:shd w:val="clear" w:color="auto" w:fill="auto"/>
          </w:tcPr>
          <w:p w14:paraId="682C641B" w14:textId="77777777" w:rsidR="00257AC6" w:rsidRPr="001461C4" w:rsidRDefault="00257AC6" w:rsidP="00C97D30">
            <w:pPr>
              <w:suppressAutoHyphens w:val="0"/>
              <w:spacing w:before="40" w:after="120" w:line="220" w:lineRule="exact"/>
              <w:ind w:right="113"/>
            </w:pPr>
            <w:r w:rsidRPr="001461C4">
              <w:t>27 March 2015</w:t>
            </w:r>
          </w:p>
        </w:tc>
      </w:tr>
      <w:tr w:rsidR="00257AC6" w:rsidRPr="001461C4" w14:paraId="04F41269" w14:textId="77777777" w:rsidTr="00C97D30">
        <w:tc>
          <w:tcPr>
            <w:tcW w:w="3684" w:type="dxa"/>
            <w:shd w:val="clear" w:color="auto" w:fill="auto"/>
          </w:tcPr>
          <w:p w14:paraId="22DDB9F9" w14:textId="77777777" w:rsidR="00257AC6" w:rsidRPr="001461C4" w:rsidRDefault="00257AC6" w:rsidP="00C97D30">
            <w:pPr>
              <w:suppressAutoHyphens w:val="0"/>
              <w:spacing w:before="40" w:after="120" w:line="220" w:lineRule="exact"/>
              <w:ind w:right="113"/>
            </w:pPr>
            <w:r w:rsidRPr="001461C4">
              <w:t>Papua New Guinea</w:t>
            </w:r>
          </w:p>
        </w:tc>
        <w:tc>
          <w:tcPr>
            <w:tcW w:w="3686" w:type="dxa"/>
            <w:shd w:val="clear" w:color="auto" w:fill="auto"/>
          </w:tcPr>
          <w:p w14:paraId="2F345029" w14:textId="77777777" w:rsidR="00257AC6" w:rsidRPr="001461C4" w:rsidRDefault="00257AC6" w:rsidP="00C97D30">
            <w:pPr>
              <w:suppressAutoHyphens w:val="0"/>
              <w:spacing w:before="40" w:after="120" w:line="220" w:lineRule="exact"/>
              <w:ind w:right="113"/>
            </w:pPr>
            <w:r w:rsidRPr="001461C4">
              <w:t>26 October 2015</w:t>
            </w:r>
          </w:p>
        </w:tc>
      </w:tr>
      <w:tr w:rsidR="00257AC6" w:rsidRPr="001461C4" w14:paraId="3103BF35" w14:textId="77777777" w:rsidTr="00C97D30">
        <w:tc>
          <w:tcPr>
            <w:tcW w:w="3684" w:type="dxa"/>
            <w:shd w:val="clear" w:color="auto" w:fill="auto"/>
          </w:tcPr>
          <w:p w14:paraId="2272EDA2" w14:textId="7086261C" w:rsidR="00257AC6" w:rsidRPr="001461C4" w:rsidRDefault="00257AC6" w:rsidP="00C97D30">
            <w:pPr>
              <w:suppressAutoHyphens w:val="0"/>
              <w:spacing w:before="40" w:after="120" w:line="220" w:lineRule="exact"/>
              <w:ind w:right="113"/>
            </w:pPr>
            <w:r w:rsidRPr="001461C4">
              <w:t>Côte d</w:t>
            </w:r>
            <w:r w:rsidR="003B68C1">
              <w:t>’</w:t>
            </w:r>
            <w:r w:rsidRPr="001461C4">
              <w:t>Ivoire</w:t>
            </w:r>
          </w:p>
        </w:tc>
        <w:tc>
          <w:tcPr>
            <w:tcW w:w="3686" w:type="dxa"/>
            <w:shd w:val="clear" w:color="auto" w:fill="auto"/>
          </w:tcPr>
          <w:p w14:paraId="2E132F21" w14:textId="77777777" w:rsidR="00257AC6" w:rsidRPr="001461C4" w:rsidRDefault="00257AC6" w:rsidP="00C97D30">
            <w:pPr>
              <w:suppressAutoHyphens w:val="0"/>
              <w:spacing w:before="40" w:after="120" w:line="220" w:lineRule="exact"/>
              <w:ind w:right="113"/>
            </w:pPr>
            <w:r w:rsidRPr="001461C4">
              <w:t>10 February 2016</w:t>
            </w:r>
          </w:p>
        </w:tc>
      </w:tr>
      <w:tr w:rsidR="00257AC6" w:rsidRPr="001461C4" w14:paraId="7A46003F" w14:textId="77777777" w:rsidTr="00C97D30">
        <w:tc>
          <w:tcPr>
            <w:tcW w:w="3684" w:type="dxa"/>
            <w:shd w:val="clear" w:color="auto" w:fill="auto"/>
          </w:tcPr>
          <w:p w14:paraId="77CB3343" w14:textId="77777777" w:rsidR="00257AC6" w:rsidRPr="001461C4" w:rsidRDefault="00257AC6" w:rsidP="00C97D30">
            <w:pPr>
              <w:suppressAutoHyphens w:val="0"/>
              <w:spacing w:before="40" w:after="120" w:line="220" w:lineRule="exact"/>
              <w:ind w:right="113"/>
            </w:pPr>
            <w:r w:rsidRPr="001461C4">
              <w:t>Grenada</w:t>
            </w:r>
          </w:p>
        </w:tc>
        <w:tc>
          <w:tcPr>
            <w:tcW w:w="3686" w:type="dxa"/>
            <w:shd w:val="clear" w:color="auto" w:fill="auto"/>
          </w:tcPr>
          <w:p w14:paraId="497A7778" w14:textId="77777777" w:rsidR="00257AC6" w:rsidRPr="001461C4" w:rsidRDefault="00257AC6" w:rsidP="00C97D30">
            <w:pPr>
              <w:suppressAutoHyphens w:val="0"/>
              <w:spacing w:before="40" w:after="120" w:line="220" w:lineRule="exact"/>
              <w:ind w:right="113"/>
            </w:pPr>
            <w:r w:rsidRPr="001461C4">
              <w:t>17 September 2016</w:t>
            </w:r>
          </w:p>
        </w:tc>
      </w:tr>
      <w:tr w:rsidR="00257AC6" w:rsidRPr="001461C4" w14:paraId="6D8159B6" w14:textId="77777777" w:rsidTr="00C97D30">
        <w:tc>
          <w:tcPr>
            <w:tcW w:w="3684" w:type="dxa"/>
            <w:shd w:val="clear" w:color="auto" w:fill="auto"/>
          </w:tcPr>
          <w:p w14:paraId="6A845FEE" w14:textId="77777777" w:rsidR="00257AC6" w:rsidRPr="001461C4" w:rsidRDefault="00257AC6" w:rsidP="00C97D30">
            <w:pPr>
              <w:suppressAutoHyphens w:val="0"/>
              <w:spacing w:before="40" w:after="120" w:line="220" w:lineRule="exact"/>
              <w:ind w:right="113"/>
            </w:pPr>
            <w:r w:rsidRPr="001461C4">
              <w:t>Congo</w:t>
            </w:r>
          </w:p>
        </w:tc>
        <w:tc>
          <w:tcPr>
            <w:tcW w:w="3686" w:type="dxa"/>
            <w:shd w:val="clear" w:color="auto" w:fill="auto"/>
          </w:tcPr>
          <w:p w14:paraId="73610ECA" w14:textId="77777777" w:rsidR="00257AC6" w:rsidRPr="001461C4" w:rsidRDefault="00257AC6" w:rsidP="00C97D30">
            <w:pPr>
              <w:suppressAutoHyphens w:val="0"/>
              <w:spacing w:before="40" w:after="120" w:line="220" w:lineRule="exact"/>
              <w:ind w:right="113"/>
            </w:pPr>
            <w:r w:rsidRPr="001461C4">
              <w:t>2 October 2016</w:t>
            </w:r>
          </w:p>
        </w:tc>
      </w:tr>
      <w:tr w:rsidR="00257AC6" w:rsidRPr="001461C4" w14:paraId="17FF141E" w14:textId="77777777" w:rsidTr="00C97D30">
        <w:tc>
          <w:tcPr>
            <w:tcW w:w="3684" w:type="dxa"/>
            <w:shd w:val="clear" w:color="auto" w:fill="auto"/>
          </w:tcPr>
          <w:p w14:paraId="165B7E8D" w14:textId="77777777" w:rsidR="00257AC6" w:rsidRPr="001461C4" w:rsidRDefault="00257AC6" w:rsidP="00C97D30">
            <w:pPr>
              <w:suppressAutoHyphens w:val="0"/>
              <w:spacing w:before="40" w:after="120" w:line="220" w:lineRule="exact"/>
              <w:ind w:right="113"/>
            </w:pPr>
            <w:r w:rsidRPr="001461C4">
              <w:t>Guyana</w:t>
            </w:r>
          </w:p>
        </w:tc>
        <w:tc>
          <w:tcPr>
            <w:tcW w:w="3686" w:type="dxa"/>
            <w:shd w:val="clear" w:color="auto" w:fill="auto"/>
          </w:tcPr>
          <w:p w14:paraId="4F129C32" w14:textId="77777777" w:rsidR="00257AC6" w:rsidRPr="001461C4" w:rsidRDefault="00257AC6" w:rsidP="00C97D30">
            <w:pPr>
              <w:suppressAutoHyphens w:val="0"/>
              <w:spacing w:before="40" w:after="120" w:line="220" w:lineRule="exact"/>
              <w:ind w:right="113"/>
            </w:pPr>
            <w:r w:rsidRPr="001461C4">
              <w:t>10 October 2016</w:t>
            </w:r>
          </w:p>
        </w:tc>
      </w:tr>
      <w:tr w:rsidR="00257AC6" w:rsidRPr="001461C4" w14:paraId="27337337" w14:textId="77777777" w:rsidTr="00C97D30">
        <w:tc>
          <w:tcPr>
            <w:tcW w:w="3684" w:type="dxa"/>
            <w:shd w:val="clear" w:color="auto" w:fill="auto"/>
          </w:tcPr>
          <w:p w14:paraId="2FB3703B" w14:textId="77777777" w:rsidR="00257AC6" w:rsidRPr="001461C4" w:rsidRDefault="00257AC6" w:rsidP="00C97D30">
            <w:pPr>
              <w:suppressAutoHyphens w:val="0"/>
              <w:spacing w:before="40" w:after="120" w:line="220" w:lineRule="exact"/>
              <w:ind w:right="113"/>
            </w:pPr>
            <w:r w:rsidRPr="001461C4">
              <w:t>Guinea-Bissau</w:t>
            </w:r>
          </w:p>
        </w:tc>
        <w:tc>
          <w:tcPr>
            <w:tcW w:w="3686" w:type="dxa"/>
            <w:shd w:val="clear" w:color="auto" w:fill="auto"/>
          </w:tcPr>
          <w:p w14:paraId="11E55D28" w14:textId="77777777" w:rsidR="00257AC6" w:rsidRPr="001461C4" w:rsidRDefault="00257AC6" w:rsidP="00C97D30">
            <w:pPr>
              <w:suppressAutoHyphens w:val="0"/>
              <w:spacing w:before="40" w:after="120" w:line="220" w:lineRule="exact"/>
              <w:ind w:right="113"/>
            </w:pPr>
            <w:r w:rsidRPr="001461C4">
              <w:t>24 October 2016</w:t>
            </w:r>
          </w:p>
        </w:tc>
      </w:tr>
    </w:tbl>
    <w:p w14:paraId="7A0737D0" w14:textId="77777777" w:rsidR="00257AC6" w:rsidRDefault="00257AC6" w:rsidP="00CC3AB5">
      <w:pPr>
        <w:sectPr w:rsidR="00257AC6" w:rsidSect="009C7535">
          <w:headerReference w:type="first" r:id="rId17"/>
          <w:footerReference w:type="first" r:id="rId18"/>
          <w:footnotePr>
            <w:numRestart w:val="eachSect"/>
          </w:footnotePr>
          <w:endnotePr>
            <w:numFmt w:val="decimal"/>
          </w:endnotePr>
          <w:pgSz w:w="11907" w:h="16840" w:code="9"/>
          <w:pgMar w:top="1417" w:right="1134" w:bottom="1134" w:left="1134" w:header="850" w:footer="567" w:gutter="0"/>
          <w:cols w:space="720"/>
          <w:titlePg/>
          <w:docGrid w:linePitch="272"/>
        </w:sectPr>
      </w:pPr>
    </w:p>
    <w:p w14:paraId="5D83E920" w14:textId="77777777" w:rsidR="00257AC6" w:rsidRPr="001461C4" w:rsidRDefault="00257AC6" w:rsidP="00257AC6">
      <w:pPr>
        <w:pStyle w:val="HChG"/>
        <w:rPr>
          <w:u w:val="single"/>
        </w:rPr>
      </w:pPr>
      <w:r w:rsidRPr="001461C4">
        <w:lastRenderedPageBreak/>
        <w:t>Annex III</w:t>
      </w:r>
    </w:p>
    <w:p w14:paraId="2893546E" w14:textId="77777777" w:rsidR="00257AC6" w:rsidRDefault="00257AC6" w:rsidP="00787AF0">
      <w:pPr>
        <w:pStyle w:val="HChG"/>
      </w:pPr>
      <w:r w:rsidRPr="001461C4">
        <w:tab/>
      </w:r>
      <w:r>
        <w:tab/>
      </w:r>
      <w:r w:rsidRPr="00787AF0">
        <w:t>Summary</w:t>
      </w:r>
      <w:r>
        <w:t xml:space="preserve"> of Views and decisions adopted by the Committee regarding individual communications</w:t>
      </w:r>
    </w:p>
    <w:p w14:paraId="371AD7B4" w14:textId="77777777" w:rsidR="00257AC6" w:rsidRPr="00A07AB4" w:rsidRDefault="00257AC6" w:rsidP="00257AC6">
      <w:pPr>
        <w:pStyle w:val="H23G"/>
        <w:rPr>
          <w:i/>
          <w:iCs/>
          <w:lang w:val="fr-CH"/>
        </w:rPr>
      </w:pPr>
      <w:r w:rsidRPr="00A07AB4">
        <w:rPr>
          <w:lang w:val="en-US"/>
        </w:rPr>
        <w:tab/>
      </w:r>
      <w:r w:rsidRPr="00A07AB4">
        <w:rPr>
          <w:lang w:val="en-US"/>
        </w:rPr>
        <w:tab/>
      </w:r>
      <w:r w:rsidRPr="00A07AB4">
        <w:rPr>
          <w:i/>
          <w:iCs/>
          <w:lang w:val="fr-CH"/>
        </w:rPr>
        <w:t>P.L. et al. v. France</w:t>
      </w:r>
    </w:p>
    <w:p w14:paraId="1BD1E2C5" w14:textId="77777777" w:rsidR="00257AC6" w:rsidRPr="00D76C45" w:rsidRDefault="00257AC6" w:rsidP="00257AC6">
      <w:pPr>
        <w:tabs>
          <w:tab w:val="left" w:pos="1701"/>
          <w:tab w:val="left" w:pos="2268"/>
        </w:tabs>
        <w:spacing w:after="120"/>
        <w:ind w:left="1134" w:right="1134"/>
        <w:jc w:val="both"/>
      </w:pPr>
      <w:r w:rsidRPr="00D76C45">
        <w:t>1.</w:t>
      </w:r>
      <w:r w:rsidRPr="00D76C45">
        <w:tab/>
        <w:t xml:space="preserve">The Committee examined the communication in the case of </w:t>
      </w:r>
      <w:r>
        <w:rPr>
          <w:i/>
          <w:iCs/>
        </w:rPr>
        <w:t>P.</w:t>
      </w:r>
      <w:r w:rsidRPr="00D76C45">
        <w:rPr>
          <w:i/>
          <w:iCs/>
        </w:rPr>
        <w:t>L</w:t>
      </w:r>
      <w:r>
        <w:rPr>
          <w:i/>
          <w:iCs/>
        </w:rPr>
        <w:t>.</w:t>
      </w:r>
      <w:r w:rsidRPr="00D76C45">
        <w:rPr>
          <w:i/>
          <w:iCs/>
        </w:rPr>
        <w:t xml:space="preserve"> v. France</w:t>
      </w:r>
      <w:r w:rsidRPr="00D76C45">
        <w:t>.</w:t>
      </w:r>
      <w:r w:rsidRPr="003B68C1">
        <w:rPr>
          <w:rStyle w:val="FootnoteReference"/>
        </w:rPr>
        <w:footnoteReference w:id="12"/>
      </w:r>
      <w:r w:rsidRPr="003B68C1">
        <w:rPr>
          <w:rStyle w:val="FootnoteReference"/>
        </w:rPr>
        <w:t xml:space="preserve"> </w:t>
      </w:r>
      <w:r w:rsidRPr="00D76C45">
        <w:t xml:space="preserve">The authors of the communication were </w:t>
      </w:r>
      <w:r>
        <w:t>P.L.</w:t>
      </w:r>
      <w:r w:rsidRPr="00D76C45">
        <w:t xml:space="preserve">, </w:t>
      </w:r>
      <w:r>
        <w:t>V.L.</w:t>
      </w:r>
      <w:r w:rsidRPr="00D76C45">
        <w:t xml:space="preserve">, </w:t>
      </w:r>
      <w:r>
        <w:t>D.P.</w:t>
      </w:r>
      <w:r w:rsidRPr="00D76C45">
        <w:t xml:space="preserve"> and A</w:t>
      </w:r>
      <w:r>
        <w:t>.</w:t>
      </w:r>
      <w:r w:rsidRPr="00D76C45">
        <w:t>T</w:t>
      </w:r>
      <w:r>
        <w:t>.</w:t>
      </w:r>
      <w:r w:rsidRPr="00D76C45">
        <w:t>, the father, mother, brother and sister, respectively, of V</w:t>
      </w:r>
      <w:r>
        <w:t>.</w:t>
      </w:r>
      <w:r w:rsidRPr="00D76C45">
        <w:t>L</w:t>
      </w:r>
      <w:r>
        <w:t>.</w:t>
      </w:r>
      <w:r w:rsidRPr="00D76C45">
        <w:t>, a national of France born on 20 September 1976</w:t>
      </w:r>
      <w:r>
        <w:t>, who</w:t>
      </w:r>
      <w:r w:rsidRPr="00D76C45">
        <w:t xml:space="preserve"> died on 11 July 2019. The</w:t>
      </w:r>
      <w:r>
        <w:t xml:space="preserve"> family</w:t>
      </w:r>
      <w:r w:rsidRPr="00D76C45">
        <w:t xml:space="preserve"> claimed that </w:t>
      </w:r>
      <w:r>
        <w:t>V.L. had been</w:t>
      </w:r>
      <w:r w:rsidRPr="00D76C45">
        <w:t xml:space="preserve"> the victim of violations by the State party of articles 1, 3, 4, 15, 16, 17, 25 and 26 of the Convention.</w:t>
      </w:r>
    </w:p>
    <w:p w14:paraId="5DF552E4" w14:textId="1B9D33FF" w:rsidR="00257AC6" w:rsidRPr="00D76C45" w:rsidRDefault="00257AC6" w:rsidP="00257AC6">
      <w:pPr>
        <w:tabs>
          <w:tab w:val="left" w:pos="1701"/>
          <w:tab w:val="left" w:pos="2268"/>
        </w:tabs>
        <w:spacing w:after="120"/>
        <w:ind w:left="1134" w:right="1134"/>
        <w:jc w:val="both"/>
      </w:pPr>
      <w:r w:rsidRPr="00D76C45">
        <w:t>2.</w:t>
      </w:r>
      <w:r w:rsidRPr="00D76C45">
        <w:tab/>
        <w:t>Upon registration of the communication and in subsequent notes verbales</w:t>
      </w:r>
      <w:r>
        <w:t>,</w:t>
      </w:r>
      <w:r w:rsidRPr="00D76C45">
        <w:t xml:space="preserve"> dated 17 May 2019 and 2 July 2019, the Committee issued a request for interim measures under article 4 of the Optional Protocol, requesting the State party to take the steps</w:t>
      </w:r>
      <w:r>
        <w:t xml:space="preserve"> </w:t>
      </w:r>
      <w:r w:rsidRPr="00D76C45">
        <w:t>necessary to ensure that V</w:t>
      </w:r>
      <w:r>
        <w:t>.</w:t>
      </w:r>
      <w:r w:rsidRPr="00D76C45">
        <w:t>L</w:t>
      </w:r>
      <w:r>
        <w:t>.</w:t>
      </w:r>
      <w:r w:rsidR="003B68C1">
        <w:t>’</w:t>
      </w:r>
      <w:r w:rsidRPr="00D76C45">
        <w:t xml:space="preserve">s tube feeding and hydration were not suspended while the Committee considered his case. On 7 May 2019, the State party notified </w:t>
      </w:r>
      <w:r>
        <w:t>the Committee</w:t>
      </w:r>
      <w:r w:rsidRPr="00D76C45">
        <w:t xml:space="preserve"> that it was unable to comply with the Committee</w:t>
      </w:r>
      <w:r w:rsidR="003B68C1">
        <w:t>’</w:t>
      </w:r>
      <w:r w:rsidRPr="00D76C45">
        <w:t>s request, as the decision to halt the treatment had been deemed to be in conformity with the law by multiple domestic courts and the European Court of Human Rights.</w:t>
      </w:r>
    </w:p>
    <w:p w14:paraId="2779DEEE" w14:textId="1C82A852" w:rsidR="00257AC6" w:rsidRPr="00D76C45" w:rsidRDefault="00257AC6" w:rsidP="00257AC6">
      <w:pPr>
        <w:tabs>
          <w:tab w:val="left" w:pos="1701"/>
          <w:tab w:val="left" w:pos="2268"/>
        </w:tabs>
        <w:spacing w:after="120"/>
        <w:ind w:left="1134" w:right="1134"/>
        <w:jc w:val="both"/>
      </w:pPr>
      <w:r w:rsidRPr="00D76C45">
        <w:t>3.</w:t>
      </w:r>
      <w:r w:rsidRPr="00D76C45">
        <w:tab/>
        <w:t>V</w:t>
      </w:r>
      <w:r>
        <w:t>.</w:t>
      </w:r>
      <w:r w:rsidRPr="00D76C45">
        <w:t>L</w:t>
      </w:r>
      <w:r>
        <w:t>.</w:t>
      </w:r>
      <w:r w:rsidRPr="00D76C45">
        <w:t xml:space="preserve"> was </w:t>
      </w:r>
      <w:r>
        <w:t>quadri</w:t>
      </w:r>
      <w:r w:rsidRPr="00D76C45">
        <w:t xml:space="preserve">plegic and in a state of impaired consciousness following an accident </w:t>
      </w:r>
      <w:r>
        <w:t xml:space="preserve">that occurred </w:t>
      </w:r>
      <w:r w:rsidRPr="00D76C45">
        <w:t>on 29 September 2008. After the accident, he was hospitali</w:t>
      </w:r>
      <w:r>
        <w:t>z</w:t>
      </w:r>
      <w:r w:rsidRPr="00D76C45">
        <w:t>ed at Reims University Hospital. He was vari</w:t>
      </w:r>
      <w:r>
        <w:t>ous</w:t>
      </w:r>
      <w:r w:rsidRPr="00D76C45">
        <w:t>ly diagnosed as being in a minimally conscious</w:t>
      </w:r>
      <w:r>
        <w:t xml:space="preserve"> state</w:t>
      </w:r>
      <w:r w:rsidRPr="00D76C45">
        <w:t xml:space="preserve"> or</w:t>
      </w:r>
      <w:r>
        <w:t xml:space="preserve"> in a</w:t>
      </w:r>
      <w:r w:rsidRPr="00D76C45">
        <w:t xml:space="preserve"> </w:t>
      </w:r>
      <w:r w:rsidRPr="008225E7">
        <w:t>vegetative state</w:t>
      </w:r>
      <w:r w:rsidRPr="00D76C45">
        <w:t>. He was fed and hydrated through a gastrostomy tube. On 8 April 2013, following an initial collective procedure, a doctor decided to withdraw V</w:t>
      </w:r>
      <w:r>
        <w:t>.</w:t>
      </w:r>
      <w:r w:rsidRPr="00D76C45">
        <w:t>L</w:t>
      </w:r>
      <w:r>
        <w:t>.</w:t>
      </w:r>
      <w:r w:rsidR="003B68C1">
        <w:t>’</w:t>
      </w:r>
      <w:r w:rsidRPr="00D76C45">
        <w:t>s nutrition and hydration, considering that the continuation thereof appeared to be futile, disproportionate and to have no other effect than artificially sustain life within the meaning of article 1110-5 of the Public Health Code,</w:t>
      </w:r>
      <w:r w:rsidRPr="003B68C1">
        <w:rPr>
          <w:rStyle w:val="FootnoteReference"/>
        </w:rPr>
        <w:footnoteReference w:id="13"/>
      </w:r>
      <w:r w:rsidRPr="003B68C1">
        <w:rPr>
          <w:rStyle w:val="FootnoteReference"/>
        </w:rPr>
        <w:t xml:space="preserve"> </w:t>
      </w:r>
      <w:r w:rsidRPr="00D76C45">
        <w:t>and thus was not in keeping with V</w:t>
      </w:r>
      <w:r>
        <w:t>.</w:t>
      </w:r>
      <w:r w:rsidRPr="00D76C45">
        <w:t>L</w:t>
      </w:r>
      <w:r>
        <w:t>.</w:t>
      </w:r>
      <w:r w:rsidR="003B68C1">
        <w:t>’</w:t>
      </w:r>
      <w:r w:rsidRPr="00D76C45">
        <w:t xml:space="preserve">s right to refuse unreasonable therapeutic obstinacy. On 11 May 2013, the Châlons-en-Champagne Administrative Court reversed the decision, because the authors had not been informed. However, sensory stimulation was not resumed. </w:t>
      </w:r>
    </w:p>
    <w:p w14:paraId="096A0BBC" w14:textId="0B600D8F" w:rsidR="00257AC6" w:rsidRPr="00D76C45" w:rsidRDefault="00257AC6" w:rsidP="00257AC6">
      <w:pPr>
        <w:tabs>
          <w:tab w:val="left" w:pos="1701"/>
          <w:tab w:val="left" w:pos="2268"/>
        </w:tabs>
        <w:spacing w:after="120"/>
        <w:ind w:left="1134" w:right="1134"/>
        <w:jc w:val="both"/>
      </w:pPr>
      <w:r w:rsidRPr="00D76C45">
        <w:t>4.</w:t>
      </w:r>
      <w:r w:rsidRPr="00D76C45">
        <w:tab/>
        <w:t xml:space="preserve">A second decision to withdraw </w:t>
      </w:r>
      <w:r>
        <w:t>V.L.</w:t>
      </w:r>
      <w:r w:rsidR="003B68C1">
        <w:t>’</w:t>
      </w:r>
      <w:r>
        <w:t>s</w:t>
      </w:r>
      <w:r w:rsidRPr="00D76C45">
        <w:t xml:space="preserve"> nutrition and hydration was overturned on 16 January 2014 by the Châlons-en-Champagne Administrative Court</w:t>
      </w:r>
      <w:r>
        <w:t>,</w:t>
      </w:r>
      <w:r w:rsidRPr="00D76C45">
        <w:t xml:space="preserve"> but upheld on 24 July 2014 by the Council of State. In </w:t>
      </w:r>
      <w:r>
        <w:t>a</w:t>
      </w:r>
      <w:r w:rsidRPr="00D76C45">
        <w:t xml:space="preserve"> judgment </w:t>
      </w:r>
      <w:r>
        <w:t>dated</w:t>
      </w:r>
      <w:r w:rsidRPr="00D76C45">
        <w:t xml:space="preserve"> 5 June 2015, the European Court of Human Rights found that implementation of the decision of the Council of State would not result in a violation of article 2 of the </w:t>
      </w:r>
      <w:r>
        <w:t>Convention for the Protection of Human Rights and Fundamental Freedoms</w:t>
      </w:r>
      <w:r w:rsidRPr="00D76C45">
        <w:t xml:space="preserve"> </w:t>
      </w:r>
      <w:r>
        <w:t>(</w:t>
      </w:r>
      <w:r w:rsidRPr="00D76C45">
        <w:t>European Convention on Human Rights</w:t>
      </w:r>
      <w:r>
        <w:t>)</w:t>
      </w:r>
      <w:r w:rsidRPr="00D76C45">
        <w:t xml:space="preserve">. A third collective procedure was suspended pending a request to initiate a guardianship measure. By a ruling </w:t>
      </w:r>
      <w:r>
        <w:t>dated</w:t>
      </w:r>
      <w:r w:rsidRPr="00D76C45">
        <w:t xml:space="preserve"> 10 March 2016, the Reims </w:t>
      </w:r>
      <w:r w:rsidRPr="00D76C45">
        <w:rPr>
          <w:i/>
          <w:iCs/>
        </w:rPr>
        <w:t>tribunal d</w:t>
      </w:r>
      <w:r w:rsidR="003B68C1">
        <w:rPr>
          <w:i/>
          <w:iCs/>
        </w:rPr>
        <w:t>’</w:t>
      </w:r>
      <w:r w:rsidRPr="00D76C45">
        <w:rPr>
          <w:i/>
          <w:iCs/>
        </w:rPr>
        <w:t>instance</w:t>
      </w:r>
      <w:r w:rsidRPr="00D76C45">
        <w:t xml:space="preserve"> (court of minor jurisdiction) appointed V</w:t>
      </w:r>
      <w:r>
        <w:t>.</w:t>
      </w:r>
      <w:r w:rsidRPr="00D76C45">
        <w:t>L</w:t>
      </w:r>
      <w:r>
        <w:t>.</w:t>
      </w:r>
      <w:r w:rsidR="003B68C1">
        <w:t>’</w:t>
      </w:r>
      <w:r w:rsidRPr="00D76C45">
        <w:t>s wife, R</w:t>
      </w:r>
      <w:r>
        <w:t>.</w:t>
      </w:r>
      <w:r w:rsidRPr="00D76C45">
        <w:t>L</w:t>
      </w:r>
      <w:r>
        <w:t>.</w:t>
      </w:r>
      <w:r w:rsidRPr="00D76C45">
        <w:t>, as his guardian. A fourth collective decision to stop the nutrition and hydration was upheld on 31 January 2019 by the Châlons</w:t>
      </w:r>
      <w:r w:rsidR="00F0722E">
        <w:t>-</w:t>
      </w:r>
      <w:r w:rsidRPr="00D76C45">
        <w:t>en</w:t>
      </w:r>
      <w:r w:rsidR="00F0722E">
        <w:t>-</w:t>
      </w:r>
      <w:r w:rsidRPr="00D76C45">
        <w:t>Champagne Administrative Court</w:t>
      </w:r>
      <w:r>
        <w:t>,</w:t>
      </w:r>
      <w:r w:rsidRPr="00D76C45">
        <w:t xml:space="preserve"> and on 24 April 2019 by the Council of State. V</w:t>
      </w:r>
      <w:r>
        <w:t>.</w:t>
      </w:r>
      <w:r w:rsidRPr="00D76C45">
        <w:t>L</w:t>
      </w:r>
      <w:r>
        <w:t>.</w:t>
      </w:r>
      <w:r w:rsidRPr="00D76C45">
        <w:t xml:space="preserve"> died on 11 July 2019, following the withdrawal of feeding and hydration.</w:t>
      </w:r>
    </w:p>
    <w:p w14:paraId="4450D269" w14:textId="26E7409B" w:rsidR="00257AC6" w:rsidRPr="00D76C45" w:rsidRDefault="00257AC6" w:rsidP="00257AC6">
      <w:pPr>
        <w:tabs>
          <w:tab w:val="left" w:pos="1701"/>
          <w:tab w:val="left" w:pos="2268"/>
        </w:tabs>
        <w:spacing w:after="120"/>
        <w:ind w:left="1134" w:right="1134"/>
        <w:jc w:val="both"/>
      </w:pPr>
      <w:r w:rsidRPr="00D76C45">
        <w:t>5.</w:t>
      </w:r>
      <w:r w:rsidRPr="00D76C45">
        <w:tab/>
        <w:t>In its Views, the Committee noted that as V</w:t>
      </w:r>
      <w:r>
        <w:t>.</w:t>
      </w:r>
      <w:r w:rsidRPr="00D76C45">
        <w:t>L</w:t>
      </w:r>
      <w:r>
        <w:t>.</w:t>
      </w:r>
      <w:r w:rsidRPr="00D76C45">
        <w:t xml:space="preserve"> had not been able to consent to the submission of the communication, the Committee had to determine whether the authors had standing to act on his behalf. The Committee therefore examined whether the communication expressed the wishes and preferences of V</w:t>
      </w:r>
      <w:r>
        <w:t>.</w:t>
      </w:r>
      <w:r w:rsidRPr="00D76C45">
        <w:t xml:space="preserve">L. The Committee noted that the communication was closely linked to the issue of the withdrawal of his nutrition and hydration. </w:t>
      </w:r>
      <w:r>
        <w:t>It also</w:t>
      </w:r>
      <w:r w:rsidRPr="00D76C45">
        <w:t xml:space="preserve"> noted that the Council of State had examined V</w:t>
      </w:r>
      <w:r>
        <w:t>.</w:t>
      </w:r>
      <w:r w:rsidRPr="00D76C45">
        <w:t>L</w:t>
      </w:r>
      <w:r>
        <w:t>.</w:t>
      </w:r>
      <w:r w:rsidR="003B68C1">
        <w:t>’</w:t>
      </w:r>
      <w:r w:rsidRPr="00D76C45">
        <w:t xml:space="preserve">s wishes extensively, including his repeated statements to his wife that he wished not to be kept alive artificially if he were to find himself in a highly dependent state. The Committee thus noted that the domestic courts </w:t>
      </w:r>
      <w:r>
        <w:t xml:space="preserve">had </w:t>
      </w:r>
      <w:r w:rsidRPr="00D76C45">
        <w:t xml:space="preserve">concluded </w:t>
      </w:r>
      <w:r w:rsidRPr="00D76C45">
        <w:lastRenderedPageBreak/>
        <w:t>that V</w:t>
      </w:r>
      <w:r>
        <w:t>.</w:t>
      </w:r>
      <w:r w:rsidRPr="00D76C45">
        <w:t>L</w:t>
      </w:r>
      <w:r>
        <w:t>.</w:t>
      </w:r>
      <w:r w:rsidRPr="00D76C45">
        <w:t xml:space="preserve"> would not have wished to be in the condition in which he was being sustained. </w:t>
      </w:r>
      <w:r>
        <w:t>It</w:t>
      </w:r>
      <w:r w:rsidRPr="00D76C45">
        <w:t xml:space="preserve"> was therefore not convinced that the communication represented the assumed wishes of V</w:t>
      </w:r>
      <w:r>
        <w:t>.</w:t>
      </w:r>
      <w:r w:rsidRPr="00D76C45">
        <w:t>L. Accordingly, the Committee concluded that the authors lacked standing to act on behalf of V</w:t>
      </w:r>
      <w:r>
        <w:t>.</w:t>
      </w:r>
      <w:r w:rsidRPr="00D76C45">
        <w:t>L</w:t>
      </w:r>
      <w:r>
        <w:t>.</w:t>
      </w:r>
      <w:r w:rsidRPr="00D76C45">
        <w:t xml:space="preserve"> and declared the communication inadmissible under article 1 of the Optional Protocol.</w:t>
      </w:r>
    </w:p>
    <w:p w14:paraId="6BA4D8F0" w14:textId="77777777" w:rsidR="00257AC6" w:rsidRPr="00A07AB4" w:rsidRDefault="00257AC6" w:rsidP="00257AC6">
      <w:pPr>
        <w:pStyle w:val="H23G"/>
        <w:rPr>
          <w:i/>
          <w:iCs/>
          <w:lang w:eastAsia="en-US"/>
        </w:rPr>
      </w:pPr>
      <w:r>
        <w:rPr>
          <w:lang w:eastAsia="en-US"/>
        </w:rPr>
        <w:tab/>
      </w:r>
      <w:r>
        <w:rPr>
          <w:lang w:eastAsia="en-US"/>
        </w:rPr>
        <w:tab/>
      </w:r>
      <w:r w:rsidRPr="00A07AB4">
        <w:rPr>
          <w:i/>
          <w:iCs/>
          <w:lang w:eastAsia="en-US"/>
        </w:rPr>
        <w:t>Mangisto and al-Sayed v. State of Palestine</w:t>
      </w:r>
    </w:p>
    <w:p w14:paraId="2E236460" w14:textId="57B7CA52" w:rsidR="00257AC6" w:rsidRPr="00D76C45" w:rsidRDefault="00257AC6" w:rsidP="00257AC6">
      <w:pPr>
        <w:tabs>
          <w:tab w:val="left" w:pos="1701"/>
        </w:tabs>
        <w:spacing w:after="120"/>
        <w:ind w:left="1134" w:right="1134"/>
        <w:jc w:val="both"/>
      </w:pPr>
      <w:r w:rsidRPr="00D76C45">
        <w:rPr>
          <w:w w:val="103"/>
        </w:rPr>
        <w:t>6.</w:t>
      </w:r>
      <w:r w:rsidRPr="00D76C45">
        <w:rPr>
          <w:w w:val="103"/>
        </w:rPr>
        <w:tab/>
        <w:t>The Committee examined communications in the cases of</w:t>
      </w:r>
      <w:r w:rsidRPr="00D76C45">
        <w:rPr>
          <w:rFonts w:eastAsia="Calibri"/>
          <w:color w:val="000000"/>
          <w:lang w:eastAsia="en-GB"/>
        </w:rPr>
        <w:t xml:space="preserve"> </w:t>
      </w:r>
      <w:bookmarkStart w:id="10" w:name="_Hlk131588140"/>
      <w:r w:rsidRPr="00D76C45">
        <w:rPr>
          <w:rFonts w:eastAsia="Calibri"/>
          <w:i/>
          <w:color w:val="000000"/>
          <w:lang w:eastAsia="en-GB"/>
        </w:rPr>
        <w:t>Mangisto and al-Sayed v. State of Palestine</w:t>
      </w:r>
      <w:r w:rsidRPr="00D76C45">
        <w:rPr>
          <w:rFonts w:eastAsia="Calibri"/>
          <w:iCs/>
          <w:color w:val="000000"/>
          <w:lang w:eastAsia="en-GB"/>
        </w:rPr>
        <w:t>.</w:t>
      </w:r>
      <w:bookmarkEnd w:id="10"/>
      <w:r w:rsidRPr="003B68C1">
        <w:rPr>
          <w:rStyle w:val="FootnoteReference"/>
        </w:rPr>
        <w:footnoteReference w:id="14"/>
      </w:r>
      <w:r w:rsidRPr="003B68C1">
        <w:rPr>
          <w:rStyle w:val="FootnoteReference"/>
        </w:rPr>
        <w:t xml:space="preserve"> </w:t>
      </w:r>
      <w:r w:rsidRPr="00D76C45">
        <w:rPr>
          <w:szCs w:val="22"/>
          <w:lang w:val="en-US"/>
        </w:rPr>
        <w:t>The communications were submitted by family members of the alleged victims</w:t>
      </w:r>
      <w:r w:rsidRPr="00D76C45">
        <w:rPr>
          <w:szCs w:val="22"/>
        </w:rPr>
        <w:t xml:space="preserve">. The authors noted that both alleged victims had been diagnosed with psychosocial disabilities, and that </w:t>
      </w:r>
      <w:r>
        <w:rPr>
          <w:szCs w:val="22"/>
        </w:rPr>
        <w:t>owing</w:t>
      </w:r>
      <w:r w:rsidRPr="00D76C45">
        <w:rPr>
          <w:szCs w:val="22"/>
        </w:rPr>
        <w:t xml:space="preserve"> to their disabilities they had crossed into the Gaza Strip in 2014 and 2015</w:t>
      </w:r>
      <w:r w:rsidRPr="00D76C45">
        <w:rPr>
          <w:bCs/>
          <w:szCs w:val="22"/>
        </w:rPr>
        <w:t xml:space="preserve">, where the authors claimed that the alleged victims </w:t>
      </w:r>
      <w:r>
        <w:rPr>
          <w:szCs w:val="22"/>
        </w:rPr>
        <w:t>had been</w:t>
      </w:r>
      <w:r w:rsidRPr="00D76C45">
        <w:rPr>
          <w:szCs w:val="22"/>
        </w:rPr>
        <w:t xml:space="preserve"> subjected to enforced disappearance. The authors claimed a violation of the alleged victims</w:t>
      </w:r>
      <w:r w:rsidR="003B68C1">
        <w:rPr>
          <w:szCs w:val="22"/>
        </w:rPr>
        <w:t>’</w:t>
      </w:r>
      <w:r w:rsidRPr="00D76C45">
        <w:rPr>
          <w:szCs w:val="22"/>
        </w:rPr>
        <w:t xml:space="preserve"> rights under articles 4, 10, 11, 12, 14, 15, 16 and 25 of the Convention.</w:t>
      </w:r>
    </w:p>
    <w:p w14:paraId="1ECE9403" w14:textId="0C2E0452" w:rsidR="00257AC6" w:rsidRPr="00D76C45" w:rsidRDefault="00257AC6" w:rsidP="00257AC6">
      <w:pPr>
        <w:tabs>
          <w:tab w:val="left" w:pos="1701"/>
        </w:tabs>
        <w:spacing w:after="120"/>
        <w:ind w:left="1134" w:right="1134"/>
        <w:jc w:val="both"/>
      </w:pPr>
      <w:r w:rsidRPr="00D76C45">
        <w:t>7.</w:t>
      </w:r>
      <w:r w:rsidRPr="00D76C45">
        <w:tab/>
        <w:t xml:space="preserve">In its </w:t>
      </w:r>
      <w:r>
        <w:t>consideration of the</w:t>
      </w:r>
      <w:r w:rsidRPr="00D76C45">
        <w:t xml:space="preserve"> admissibility </w:t>
      </w:r>
      <w:r>
        <w:t xml:space="preserve">of the communication, </w:t>
      </w:r>
      <w:r w:rsidRPr="00D76C45">
        <w:t>the Committee</w:t>
      </w:r>
      <w:r>
        <w:t xml:space="preserve"> examined</w:t>
      </w:r>
      <w:r w:rsidRPr="00D76C45">
        <w:t>, among other matters</w:t>
      </w:r>
      <w:r>
        <w:t>,</w:t>
      </w:r>
      <w:r w:rsidRPr="00D76C45">
        <w:t xml:space="preserve"> the issues of jurisdiction. </w:t>
      </w:r>
      <w:r>
        <w:t>It</w:t>
      </w:r>
      <w:r w:rsidRPr="00D76C45">
        <w:t xml:space="preserve"> noted the State party</w:t>
      </w:r>
      <w:r w:rsidR="003B68C1">
        <w:t>’</w:t>
      </w:r>
      <w:r w:rsidRPr="00D76C45">
        <w:t>s submission that the restrictions imposed by the blockade of the Gaza Strip limit</w:t>
      </w:r>
      <w:r>
        <w:t>ed</w:t>
      </w:r>
      <w:r w:rsidRPr="00D76C45">
        <w:t xml:space="preserve"> its ability to access th</w:t>
      </w:r>
      <w:r>
        <w:t>at area</w:t>
      </w:r>
      <w:r w:rsidRPr="00D76C45">
        <w:t xml:space="preserve"> and conduct an effective investigation into the alleged violations. The Committee noted the jurisprudence of the European Court of Human Rights and the Inter-American Court of Human Rights, which ha</w:t>
      </w:r>
      <w:r>
        <w:t>d</w:t>
      </w:r>
      <w:r w:rsidRPr="00D76C45">
        <w:t xml:space="preserve"> concluded that even in the absence of effective control by a State over parts of its territory, it still ha</w:t>
      </w:r>
      <w:r>
        <w:t>d</w:t>
      </w:r>
      <w:r w:rsidRPr="00D76C45">
        <w:t xml:space="preserve"> a positive obligation to take the diplomatic, economic, judicial or other measures that </w:t>
      </w:r>
      <w:r>
        <w:t>we</w:t>
      </w:r>
      <w:r w:rsidRPr="00D76C45">
        <w:t xml:space="preserve">re in its power to take and </w:t>
      </w:r>
      <w:r>
        <w:t>that we</w:t>
      </w:r>
      <w:r w:rsidRPr="00D76C45">
        <w:t xml:space="preserve">re in accordance with international law to secure to the residents in such a territory the rights guaranteed to them. The Committee therefore considered that notwithstanding the existing limitations </w:t>
      </w:r>
      <w:r>
        <w:t>o</w:t>
      </w:r>
      <w:r w:rsidRPr="00D76C45">
        <w:t>n the State party</w:t>
      </w:r>
      <w:r w:rsidR="003B68C1">
        <w:t>’</w:t>
      </w:r>
      <w:r w:rsidRPr="00D76C45">
        <w:t>s ability to exercise its authority in the Gaza Strip, the alleged victims were within its jurisdiction within the meaning of article 1 of the Optional Protocol.</w:t>
      </w:r>
    </w:p>
    <w:p w14:paraId="76110876" w14:textId="00F7B206" w:rsidR="00257AC6" w:rsidRPr="00D76C45" w:rsidRDefault="00257AC6" w:rsidP="00257AC6">
      <w:pPr>
        <w:tabs>
          <w:tab w:val="left" w:pos="1701"/>
        </w:tabs>
        <w:spacing w:after="120"/>
        <w:ind w:left="1134" w:right="1134"/>
        <w:jc w:val="both"/>
      </w:pPr>
      <w:r w:rsidRPr="00D76C45">
        <w:t>8.</w:t>
      </w:r>
      <w:r w:rsidRPr="00D76C45">
        <w:tab/>
        <w:t>As to the merits of the case, the Committee observed that the question before it was to determine whether the State party had discharged its positive obligations to take appropriate and sufficient measures that were within its power to take in order to secure the alleged victims</w:t>
      </w:r>
      <w:r w:rsidR="003B68C1">
        <w:t>’</w:t>
      </w:r>
      <w:r w:rsidRPr="00D76C45">
        <w:t xml:space="preserve"> rights as guaranteed by the Convention. The Committee noted in th</w:t>
      </w:r>
      <w:r>
        <w:t>at</w:t>
      </w:r>
      <w:r w:rsidRPr="00D76C45">
        <w:t xml:space="preserve"> connection that the State party had not provided any specific information on any such measure it had taken, or </w:t>
      </w:r>
      <w:r>
        <w:t xml:space="preserve">had </w:t>
      </w:r>
      <w:r w:rsidRPr="00D76C45">
        <w:t>attempted to take. In particular</w:t>
      </w:r>
      <w:r>
        <w:t>,</w:t>
      </w:r>
      <w:r w:rsidRPr="00D76C45">
        <w:t xml:space="preserve"> the State party had not provided information on any measure taken to inquire </w:t>
      </w:r>
      <w:r>
        <w:t>about</w:t>
      </w:r>
      <w:r w:rsidRPr="00D76C45">
        <w:t xml:space="preserve"> the fate and whereabouts of the alleged victims or the conditions of detention</w:t>
      </w:r>
      <w:r>
        <w:t xml:space="preserve">. Neither had it provided information on any </w:t>
      </w:r>
      <w:r w:rsidRPr="00D76C45">
        <w:t>attempt</w:t>
      </w:r>
      <w:r>
        <w:t>s</w:t>
      </w:r>
      <w:r w:rsidRPr="00D76C45">
        <w:t xml:space="preserve"> to engage the </w:t>
      </w:r>
      <w:r w:rsidRPr="00A07AB4">
        <w:t>de facto</w:t>
      </w:r>
      <w:r w:rsidRPr="00D76C45">
        <w:t xml:space="preserve"> authorities in the Gaza Strip to address the alleged victims</w:t>
      </w:r>
      <w:r w:rsidR="003B68C1">
        <w:t>’</w:t>
      </w:r>
      <w:r w:rsidRPr="00D76C45">
        <w:t xml:space="preserve"> situation; to facilitate and secure their release and safe return to their families; to guarantee their placement under the protection of the law; to ensure that they ha</w:t>
      </w:r>
      <w:r>
        <w:t>d</w:t>
      </w:r>
      <w:r w:rsidRPr="00D76C45">
        <w:t xml:space="preserve"> access to adequate health care, taking into account their psychosocial disabilities and particularly vulnerable situation; and to enable them to be in contact with their families, relatives and representatives. The Committee concluded that </w:t>
      </w:r>
      <w:bookmarkStart w:id="12" w:name="_Hlk131588349"/>
      <w:r w:rsidRPr="00D76C45">
        <w:t xml:space="preserve">the failure by the State party to take, or attempt to take, any such measure to investigate, verify or inquire into the fate and whereabouts of the alleged victims, including </w:t>
      </w:r>
      <w:r>
        <w:t>with regard to</w:t>
      </w:r>
      <w:r w:rsidRPr="00D76C45">
        <w:t xml:space="preserve"> the alleged risk to their lives, the alleged ill-treatment they ha</w:t>
      </w:r>
      <w:r>
        <w:t>d</w:t>
      </w:r>
      <w:r w:rsidRPr="00D76C45">
        <w:t xml:space="preserve"> endured, the alleged deprivation of liberty</w:t>
      </w:r>
      <w:r>
        <w:t>, and</w:t>
      </w:r>
      <w:r w:rsidRPr="00D76C45">
        <w:t xml:space="preserve"> access to health care, amounted to a violation of the victims</w:t>
      </w:r>
      <w:r w:rsidR="003B68C1">
        <w:t>’</w:t>
      </w:r>
      <w:r w:rsidRPr="00D76C45">
        <w:t xml:space="preserve"> rights </w:t>
      </w:r>
      <w:bookmarkEnd w:id="12"/>
      <w:r w:rsidRPr="00D76C45">
        <w:t>under articles 10, 14, 15 and 25, read alone and in conjunction with article 11 of the Convention.</w:t>
      </w:r>
    </w:p>
    <w:p w14:paraId="067E7AC0" w14:textId="74A67592" w:rsidR="00257AC6" w:rsidRPr="00D76C45" w:rsidRDefault="00257AC6" w:rsidP="00257AC6">
      <w:pPr>
        <w:tabs>
          <w:tab w:val="left" w:pos="1701"/>
        </w:tabs>
        <w:spacing w:after="120"/>
        <w:ind w:left="1134" w:right="1134"/>
        <w:jc w:val="both"/>
      </w:pPr>
      <w:r w:rsidRPr="00D76C45">
        <w:t>9.</w:t>
      </w:r>
      <w:r w:rsidRPr="00D76C45">
        <w:tab/>
        <w:t>The Committee requested the State party to provide the authors with an effective remedy, including compensation for any legal costs incurred in filing the communications</w:t>
      </w:r>
      <w:r>
        <w:t>. It also requested the State party to</w:t>
      </w:r>
      <w:r w:rsidRPr="00D76C45">
        <w:t xml:space="preserve"> take</w:t>
      </w:r>
      <w:r>
        <w:t xml:space="preserve">, </w:t>
      </w:r>
      <w:r w:rsidRPr="00D76C45">
        <w:t>in accordance with international law</w:t>
      </w:r>
      <w:r>
        <w:t>,</w:t>
      </w:r>
      <w:r w:rsidRPr="00D76C45">
        <w:t xml:space="preserve"> all diplomatic, economic, judicial or other measures available</w:t>
      </w:r>
      <w:r>
        <w:t xml:space="preserve"> in order </w:t>
      </w:r>
      <w:r w:rsidRPr="00D76C45">
        <w:t xml:space="preserve">to: conduct a prompt </w:t>
      </w:r>
      <w:r w:rsidRPr="00005DBD">
        <w:t>investigation that is effective, thorough, impartial, independent and transparent</w:t>
      </w:r>
      <w:r w:rsidRPr="00D76C45">
        <w:t xml:space="preserve"> into the circumstances of the alleged disappearance and arbitrary detention of the victims, with a view to establishing the truth and securing their safe return to their families; provide the authors with detailed information on the outcome of the investigation; and guarantee the victims</w:t>
      </w:r>
      <w:r w:rsidR="003B68C1">
        <w:t>’</w:t>
      </w:r>
      <w:r w:rsidRPr="00D76C45">
        <w:t xml:space="preserve"> safety and access to medical care, including in relation to their disability, as well as contact with their families and representatives.</w:t>
      </w:r>
    </w:p>
    <w:p w14:paraId="3D37D02C" w14:textId="77777777" w:rsidR="00257AC6" w:rsidRPr="00A07AB4" w:rsidRDefault="00257AC6" w:rsidP="00257AC6">
      <w:pPr>
        <w:pStyle w:val="H23G"/>
        <w:rPr>
          <w:i/>
          <w:iCs/>
        </w:rPr>
      </w:pPr>
      <w:r w:rsidRPr="00A07AB4">
        <w:rPr>
          <w:lang w:val="en-US"/>
        </w:rPr>
        <w:lastRenderedPageBreak/>
        <w:tab/>
      </w:r>
      <w:r w:rsidRPr="00A07AB4">
        <w:rPr>
          <w:lang w:val="en-US"/>
        </w:rPr>
        <w:tab/>
      </w:r>
      <w:r w:rsidRPr="00A07AB4">
        <w:rPr>
          <w:i/>
          <w:iCs/>
        </w:rPr>
        <w:t>García Vara v. Mexico</w:t>
      </w:r>
    </w:p>
    <w:p w14:paraId="2139F935" w14:textId="77777777" w:rsidR="00257AC6" w:rsidRPr="00D76C45" w:rsidRDefault="00257AC6" w:rsidP="00257AC6">
      <w:pPr>
        <w:tabs>
          <w:tab w:val="left" w:pos="1701"/>
          <w:tab w:val="left" w:pos="2268"/>
        </w:tabs>
        <w:spacing w:after="120"/>
        <w:ind w:left="1134" w:right="1134"/>
        <w:jc w:val="both"/>
      </w:pPr>
      <w:r w:rsidRPr="00D76C45">
        <w:t>10.</w:t>
      </w:r>
      <w:r w:rsidRPr="00D76C45">
        <w:tab/>
        <w:t xml:space="preserve">The Committee examined the communication in the case of </w:t>
      </w:r>
      <w:r w:rsidRPr="00D76C45">
        <w:rPr>
          <w:i/>
          <w:iCs/>
        </w:rPr>
        <w:t>García Vara v. Mexico</w:t>
      </w:r>
      <w:r w:rsidRPr="00D76C45">
        <w:t>.</w:t>
      </w:r>
      <w:r w:rsidRPr="003B68C1">
        <w:rPr>
          <w:rStyle w:val="FootnoteReference"/>
        </w:rPr>
        <w:footnoteReference w:id="15"/>
      </w:r>
      <w:r w:rsidRPr="003B68C1">
        <w:rPr>
          <w:rStyle w:val="FootnoteReference"/>
        </w:rPr>
        <w:t xml:space="preserve"> </w:t>
      </w:r>
      <w:r w:rsidRPr="00D76C45">
        <w:t xml:space="preserve">The author of the communication is Selene Militza García Vara, a </w:t>
      </w:r>
      <w:r>
        <w:t xml:space="preserve">national of </w:t>
      </w:r>
      <w:r w:rsidRPr="00D76C45">
        <w:t>Mexic</w:t>
      </w:r>
      <w:r>
        <w:t xml:space="preserve">o </w:t>
      </w:r>
      <w:r w:rsidRPr="00D76C45">
        <w:t xml:space="preserve">born on 21 October 1980. She claimed that the State party </w:t>
      </w:r>
      <w:r>
        <w:t xml:space="preserve">had </w:t>
      </w:r>
      <w:r w:rsidRPr="00D76C45">
        <w:t xml:space="preserve">violated her rights under articles 1, 2, 4, 5, 6, 8, 9 and 24 of the Convention by not guaranteeing the accessibility of tertiary education and by failing to make the reasonable accommodation she </w:t>
      </w:r>
      <w:r>
        <w:t>required</w:t>
      </w:r>
      <w:r w:rsidRPr="00D76C45">
        <w:t xml:space="preserve"> during the process for </w:t>
      </w:r>
      <w:r>
        <w:t>admission to a</w:t>
      </w:r>
      <w:r w:rsidRPr="00D76C45">
        <w:t xml:space="preserve"> </w:t>
      </w:r>
      <w:r>
        <w:t>b</w:t>
      </w:r>
      <w:r w:rsidRPr="00D76C45">
        <w:t xml:space="preserve">achelor of </w:t>
      </w:r>
      <w:r>
        <w:t>v</w:t>
      </w:r>
      <w:r w:rsidRPr="00D76C45">
        <w:t xml:space="preserve">isual </w:t>
      </w:r>
      <w:r>
        <w:t>a</w:t>
      </w:r>
      <w:r w:rsidRPr="00D76C45">
        <w:t>rts</w:t>
      </w:r>
      <w:r>
        <w:t xml:space="preserve"> programme</w:t>
      </w:r>
      <w:r w:rsidRPr="00D76C45">
        <w:t>.</w:t>
      </w:r>
    </w:p>
    <w:p w14:paraId="481A3C32" w14:textId="77777777" w:rsidR="00257AC6" w:rsidRPr="00D76C45" w:rsidRDefault="00257AC6" w:rsidP="00257AC6">
      <w:pPr>
        <w:tabs>
          <w:tab w:val="left" w:pos="1701"/>
          <w:tab w:val="left" w:pos="2268"/>
        </w:tabs>
        <w:spacing w:after="120"/>
        <w:ind w:left="1134" w:right="1134"/>
        <w:jc w:val="both"/>
      </w:pPr>
      <w:r w:rsidRPr="00D76C45">
        <w:t>11.</w:t>
      </w:r>
      <w:r w:rsidRPr="00D76C45">
        <w:tab/>
        <w:t xml:space="preserve">In 2014, the author, a woman with an intellectual disability, applied for a place </w:t>
      </w:r>
      <w:r>
        <w:t>i</w:t>
      </w:r>
      <w:r w:rsidRPr="00D76C45">
        <w:t xml:space="preserve">n the </w:t>
      </w:r>
      <w:r>
        <w:t>b</w:t>
      </w:r>
      <w:r w:rsidRPr="00D76C45">
        <w:t xml:space="preserve">achelor of </w:t>
      </w:r>
      <w:r>
        <w:t>v</w:t>
      </w:r>
      <w:r w:rsidRPr="00D76C45">
        <w:t xml:space="preserve">isual </w:t>
      </w:r>
      <w:r>
        <w:t>a</w:t>
      </w:r>
      <w:r w:rsidRPr="00D76C45">
        <w:t xml:space="preserve">rts </w:t>
      </w:r>
      <w:r>
        <w:t xml:space="preserve">programme </w:t>
      </w:r>
      <w:r w:rsidRPr="00D76C45">
        <w:t xml:space="preserve">at the Morelense Centre for the Arts. After having participated in the selection process, she learned that she </w:t>
      </w:r>
      <w:r>
        <w:t>had</w:t>
      </w:r>
      <w:r w:rsidRPr="00D76C45">
        <w:t xml:space="preserve"> not </w:t>
      </w:r>
      <w:r>
        <w:t xml:space="preserve">been </w:t>
      </w:r>
      <w:r w:rsidRPr="00D76C45">
        <w:t>admitted</w:t>
      </w:r>
      <w:r>
        <w:t>,</w:t>
      </w:r>
      <w:r w:rsidRPr="00D76C45">
        <w:t xml:space="preserve"> as she had failed most of the tests. The author claimed that the selection process </w:t>
      </w:r>
      <w:r>
        <w:t>had been</w:t>
      </w:r>
      <w:r w:rsidRPr="00D76C45">
        <w:t xml:space="preserve"> conducted using a formal model of equality, without any reasonable accommodation being made </w:t>
      </w:r>
      <w:r>
        <w:t>with regard to</w:t>
      </w:r>
      <w:r w:rsidRPr="00D76C45">
        <w:t xml:space="preserve"> tests </w:t>
      </w:r>
      <w:r>
        <w:t>that applicants</w:t>
      </w:r>
      <w:r w:rsidRPr="00D76C45">
        <w:t xml:space="preserve"> </w:t>
      </w:r>
      <w:r>
        <w:t>were required to take</w:t>
      </w:r>
      <w:r w:rsidRPr="00D76C45">
        <w:t xml:space="preserve">, even though </w:t>
      </w:r>
      <w:r>
        <w:t xml:space="preserve">officials and others at </w:t>
      </w:r>
      <w:r w:rsidRPr="00D76C45">
        <w:t xml:space="preserve">the Centre </w:t>
      </w:r>
      <w:r>
        <w:t>had been</w:t>
      </w:r>
      <w:r w:rsidRPr="00D76C45">
        <w:t xml:space="preserve"> aware of her disability. She also claimed that the State party had not taken sufficient legislative, administrative and other measures to realize her right to tertiary education </w:t>
      </w:r>
      <w:r>
        <w:t>on an</w:t>
      </w:r>
      <w:r w:rsidRPr="00D76C45">
        <w:t xml:space="preserve"> equal </w:t>
      </w:r>
      <w:r>
        <w:t>basis with others,</w:t>
      </w:r>
      <w:r w:rsidRPr="00D76C45">
        <w:t xml:space="preserve"> as the Centre was not accessible for persons with disabilities.</w:t>
      </w:r>
    </w:p>
    <w:p w14:paraId="3184311E" w14:textId="530AA217" w:rsidR="00257AC6" w:rsidRPr="00D76C45" w:rsidRDefault="00257AC6" w:rsidP="00257AC6">
      <w:pPr>
        <w:tabs>
          <w:tab w:val="left" w:pos="1701"/>
          <w:tab w:val="left" w:pos="2268"/>
        </w:tabs>
        <w:spacing w:after="120"/>
        <w:ind w:left="1134" w:right="1134"/>
        <w:jc w:val="both"/>
      </w:pPr>
      <w:r w:rsidRPr="00D76C45">
        <w:t>12.</w:t>
      </w:r>
      <w:r w:rsidRPr="00D76C45">
        <w:tab/>
        <w:t xml:space="preserve">In its Views, the Committee considered that the State party had not demonstrated that it had taken the legislative, administrative and other measures required, including the adoption of policies on reasonable accommodations and the training of staff at tertiary education institutions, to ensure the accessibility of inclusive tertiary education for the author. Specifically, the State party had not ensured the accessibility of the </w:t>
      </w:r>
      <w:r>
        <w:t>b</w:t>
      </w:r>
      <w:r w:rsidRPr="00D76C45">
        <w:t xml:space="preserve">achelor of </w:t>
      </w:r>
      <w:r>
        <w:t>v</w:t>
      </w:r>
      <w:r w:rsidRPr="00D76C45">
        <w:t xml:space="preserve">isual </w:t>
      </w:r>
      <w:r>
        <w:t>a</w:t>
      </w:r>
      <w:r w:rsidRPr="00D76C45">
        <w:t xml:space="preserve">rts </w:t>
      </w:r>
      <w:r>
        <w:t xml:space="preserve">programme </w:t>
      </w:r>
      <w:r w:rsidRPr="00D76C45">
        <w:t xml:space="preserve">at the Morelense Centre for the Arts, including the accessibility of entrance examinations, information and communications tools, curricula, educational materials, teaching methods, assessments and language and support services, on an equal basis with others and without discrimination. </w:t>
      </w:r>
      <w:r>
        <w:t>Regarding</w:t>
      </w:r>
      <w:r w:rsidRPr="00D76C45">
        <w:t xml:space="preserve"> the author</w:t>
      </w:r>
      <w:r w:rsidR="003B68C1">
        <w:t>’</w:t>
      </w:r>
      <w:r w:rsidRPr="00D76C45">
        <w:t>s claims concerning the lack of reasonable accommodation during the admission</w:t>
      </w:r>
      <w:r>
        <w:t>s</w:t>
      </w:r>
      <w:r w:rsidRPr="00D76C45">
        <w:t xml:space="preserve"> process, the Committee considered that, while it </w:t>
      </w:r>
      <w:r>
        <w:t>wa</w:t>
      </w:r>
      <w:r w:rsidRPr="00D76C45">
        <w:t xml:space="preserve">s necessary to have requirements concerning the knowledge and skills needed to gain admission to tertiary education, </w:t>
      </w:r>
      <w:r>
        <w:t>such</w:t>
      </w:r>
      <w:r w:rsidRPr="00D76C45">
        <w:t xml:space="preserve"> requirements must take into account the specific needs of candidates with disabilities. The Committee noted that, although </w:t>
      </w:r>
      <w:r>
        <w:t>officials and others at</w:t>
      </w:r>
      <w:r w:rsidRPr="00D76C45">
        <w:t xml:space="preserve"> Morelense Centre for the Arts </w:t>
      </w:r>
      <w:r>
        <w:t>had been</w:t>
      </w:r>
      <w:r w:rsidRPr="00D76C45">
        <w:t xml:space="preserve"> aware of the author</w:t>
      </w:r>
      <w:r w:rsidR="003B68C1">
        <w:t>’</w:t>
      </w:r>
      <w:r w:rsidRPr="00D76C45">
        <w:t xml:space="preserve">s intellectual disability when she </w:t>
      </w:r>
      <w:r>
        <w:t xml:space="preserve">had </w:t>
      </w:r>
      <w:r w:rsidRPr="00D76C45">
        <w:t xml:space="preserve">applied for the </w:t>
      </w:r>
      <w:r>
        <w:t>programme</w:t>
      </w:r>
      <w:r w:rsidRPr="00D76C45">
        <w:t xml:space="preserve">, </w:t>
      </w:r>
      <w:r>
        <w:t>they</w:t>
      </w:r>
      <w:r w:rsidRPr="00D76C45">
        <w:t xml:space="preserve"> </w:t>
      </w:r>
      <w:r>
        <w:t>had</w:t>
      </w:r>
      <w:r w:rsidRPr="00D76C45">
        <w:t xml:space="preserve"> not initiate</w:t>
      </w:r>
      <w:r>
        <w:t>d</w:t>
      </w:r>
      <w:r w:rsidRPr="00D76C45">
        <w:t xml:space="preserve"> a dialogue with her to determine what reasonable accommodations were needed for her to take part in the assessments common to all candidates, such as granting her extra time and providing her with the support of a specialized professional to ensure that she correctly understood test expectations. The Committee therefore considered that, by not making the necessary reasonable accommodations during the admission</w:t>
      </w:r>
      <w:r>
        <w:t>s</w:t>
      </w:r>
      <w:r w:rsidRPr="00D76C45">
        <w:t xml:space="preserve"> process, the Centre </w:t>
      </w:r>
      <w:r>
        <w:t>had</w:t>
      </w:r>
      <w:r w:rsidRPr="00D76C45">
        <w:t xml:space="preserve"> not ensure</w:t>
      </w:r>
      <w:r>
        <w:t>d</w:t>
      </w:r>
      <w:r w:rsidRPr="00D76C45">
        <w:t xml:space="preserve"> the author</w:t>
      </w:r>
      <w:r w:rsidR="003B68C1">
        <w:t>’</w:t>
      </w:r>
      <w:r w:rsidRPr="00D76C45">
        <w:t>s participation on an equal basis with other candidates who did not have disabilities, resulting in her exclusion from tertiary education. The Committee concluded that the State party had violated articles 5 and 24, read alone and in conjunction with articles 4 and 9 of the Convention. It also concluded that the State party had violated article 24</w:t>
      </w:r>
      <w:r>
        <w:t>,</w:t>
      </w:r>
      <w:r w:rsidRPr="00D76C45">
        <w:t xml:space="preserve"> read alone and in conjunction with articles 4 and 8 of the Convention</w:t>
      </w:r>
      <w:r>
        <w:t>,</w:t>
      </w:r>
      <w:r w:rsidRPr="00D76C45">
        <w:t xml:space="preserve"> by</w:t>
      </w:r>
      <w:r>
        <w:t xml:space="preserve"> </w:t>
      </w:r>
      <w:r w:rsidRPr="00D76C45">
        <w:t>fail</w:t>
      </w:r>
      <w:r>
        <w:t>ing</w:t>
      </w:r>
      <w:r w:rsidRPr="00D76C45">
        <w:t xml:space="preserve"> to fulfil its obligation to combat stereotypes, prejudices and harmful practices regarding persons with intellectual disabilities in the sphere of education.</w:t>
      </w:r>
    </w:p>
    <w:p w14:paraId="375D1567" w14:textId="4726D33B" w:rsidR="00257AC6" w:rsidRPr="00D76C45" w:rsidRDefault="00257AC6" w:rsidP="00257AC6">
      <w:pPr>
        <w:tabs>
          <w:tab w:val="left" w:pos="1701"/>
          <w:tab w:val="left" w:pos="2268"/>
        </w:tabs>
        <w:spacing w:after="120"/>
        <w:ind w:left="1134" w:right="1134"/>
        <w:jc w:val="both"/>
      </w:pPr>
      <w:r w:rsidRPr="00D76C45">
        <w:t>13.</w:t>
      </w:r>
      <w:r w:rsidRPr="00D76C45">
        <w:tab/>
        <w:t>The Committee requested the State party to provide the author with an effective remedy, including reimbursement of any legal costs she ha</w:t>
      </w:r>
      <w:r>
        <w:t>d</w:t>
      </w:r>
      <w:r w:rsidRPr="00D76C45">
        <w:t xml:space="preserve"> incurred, together with appropriate compensation for the harm suffered, taking into account the loss of employment opportunities stemming from her being denied her right to tertiary education;</w:t>
      </w:r>
      <w:r>
        <w:t xml:space="preserve"> and,</w:t>
      </w:r>
      <w:r w:rsidRPr="00D76C45">
        <w:t xml:space="preserve"> should it remain the author</w:t>
      </w:r>
      <w:r w:rsidR="003B68C1">
        <w:t>’</w:t>
      </w:r>
      <w:r w:rsidRPr="00D76C45">
        <w:t>s wish, guarantee her right to tertiary education by ensuring the accessibility of the admission</w:t>
      </w:r>
      <w:r>
        <w:t>s</w:t>
      </w:r>
      <w:r w:rsidRPr="00D76C45">
        <w:t xml:space="preserve"> process at an educational institution of her choosing, including through the provision of any necessary reasonable accommodation</w:t>
      </w:r>
      <w:r>
        <w:t>. It also requested the State party to</w:t>
      </w:r>
      <w:r w:rsidRPr="00D76C45">
        <w:t xml:space="preserve"> </w:t>
      </w:r>
      <w:r>
        <w:t>provide for</w:t>
      </w:r>
      <w:r w:rsidRPr="00D76C45">
        <w:t xml:space="preserve">, in law and policy, </w:t>
      </w:r>
      <w:r>
        <w:t xml:space="preserve">the establishment of </w:t>
      </w:r>
      <w:r w:rsidRPr="00D76C45">
        <w:t xml:space="preserve">an inclusive education system at all levels – primary, secondary, post-secondary and life-long learning – including </w:t>
      </w:r>
      <w:r>
        <w:t xml:space="preserve">with regard to </w:t>
      </w:r>
      <w:r w:rsidRPr="00D76C45">
        <w:t xml:space="preserve">support measures, the provision of reasonable accommodation, </w:t>
      </w:r>
      <w:r>
        <w:t xml:space="preserve">and </w:t>
      </w:r>
      <w:r w:rsidRPr="00D76C45">
        <w:t xml:space="preserve">adequate funding and training for educational staff; establish complaints mechanisms and legal remedies that </w:t>
      </w:r>
      <w:r>
        <w:t>we</w:t>
      </w:r>
      <w:r w:rsidRPr="00D76C45">
        <w:t xml:space="preserve">re </w:t>
      </w:r>
      <w:r w:rsidRPr="00D76C45">
        <w:lastRenderedPageBreak/>
        <w:t xml:space="preserve">independent, effective, accessible, transparent, safe and applicable to cases of violations of the right to education; </w:t>
      </w:r>
      <w:r>
        <w:t>and</w:t>
      </w:r>
      <w:r w:rsidRPr="00D76C45">
        <w:t xml:space="preserve"> take measures to raise awareness </w:t>
      </w:r>
      <w:r>
        <w:t xml:space="preserve">of </w:t>
      </w:r>
      <w:r w:rsidRPr="00D76C45">
        <w:t>and challenge stereotypes, prejudices and harmful practices relating to persons with disabilities, targeting in particular practices affecting women and girls with disabilities, persons with intellectual disabilities and persons with intensive support requirements.</w:t>
      </w:r>
    </w:p>
    <w:p w14:paraId="0C9517C1" w14:textId="07AC510E" w:rsidR="007268F9" w:rsidRPr="00317DC1" w:rsidRDefault="00257AC6" w:rsidP="00257AC6">
      <w:pPr>
        <w:spacing w:before="240"/>
        <w:ind w:left="1134" w:right="1134"/>
        <w:jc w:val="center"/>
      </w:pPr>
      <w:r>
        <w:rPr>
          <w:u w:val="single"/>
        </w:rPr>
        <w:tab/>
      </w:r>
      <w:r>
        <w:rPr>
          <w:u w:val="single"/>
        </w:rPr>
        <w:tab/>
      </w:r>
      <w:r>
        <w:rPr>
          <w:u w:val="single"/>
        </w:rPr>
        <w:tab/>
      </w:r>
      <w:r>
        <w:rPr>
          <w:u w:val="single"/>
        </w:rPr>
        <w:tab/>
      </w:r>
    </w:p>
    <w:sectPr w:rsidR="007268F9" w:rsidRPr="00317DC1" w:rsidSect="009C7535">
      <w:headerReference w:type="first" r:id="rId19"/>
      <w:footerReference w:type="first" r:id="rId20"/>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8FB10" w14:textId="77777777" w:rsidR="007E141F" w:rsidRPr="00317DC1" w:rsidRDefault="007E141F" w:rsidP="00317DC1">
      <w:pPr>
        <w:pStyle w:val="Footer"/>
      </w:pPr>
    </w:p>
  </w:endnote>
  <w:endnote w:type="continuationSeparator" w:id="0">
    <w:p w14:paraId="41EAA5E1" w14:textId="77777777" w:rsidR="007E141F" w:rsidRPr="00317DC1" w:rsidRDefault="007E141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44F88" w14:textId="77777777" w:rsidR="007F0928" w:rsidRDefault="007F0928" w:rsidP="007F0928">
    <w:pPr>
      <w:pStyle w:val="Footer"/>
      <w:tabs>
        <w:tab w:val="right" w:pos="9638"/>
      </w:tabs>
    </w:pPr>
    <w:r w:rsidRPr="007F0928">
      <w:rPr>
        <w:b/>
        <w:bCs/>
        <w:sz w:val="18"/>
      </w:rPr>
      <w:fldChar w:fldCharType="begin"/>
    </w:r>
    <w:r w:rsidRPr="007F0928">
      <w:rPr>
        <w:b/>
        <w:bCs/>
        <w:sz w:val="18"/>
      </w:rPr>
      <w:instrText xml:space="preserve"> PAGE  \* MERGEFORMAT </w:instrText>
    </w:r>
    <w:r w:rsidRPr="007F0928">
      <w:rPr>
        <w:b/>
        <w:bCs/>
        <w:sz w:val="18"/>
      </w:rPr>
      <w:fldChar w:fldCharType="separate"/>
    </w:r>
    <w:r w:rsidRPr="007F0928">
      <w:rPr>
        <w:b/>
        <w:bCs/>
        <w:noProof/>
        <w:sz w:val="18"/>
      </w:rPr>
      <w:t>2</w:t>
    </w:r>
    <w:r w:rsidRPr="007F0928">
      <w:rPr>
        <w:b/>
        <w:bCs/>
        <w:sz w:val="18"/>
      </w:rPr>
      <w:fldChar w:fldCharType="end"/>
    </w:r>
    <w:r>
      <w:tab/>
      <w:t>GE.23-06583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1B039" w14:textId="77777777" w:rsidR="007F0928" w:rsidRDefault="007F0928" w:rsidP="007F0928">
    <w:pPr>
      <w:pStyle w:val="Footer"/>
      <w:tabs>
        <w:tab w:val="right" w:pos="9638"/>
      </w:tabs>
    </w:pPr>
    <w:r>
      <w:t>GE.23-06583</w:t>
    </w:r>
    <w:r>
      <w:tab/>
    </w:r>
    <w:r w:rsidRPr="007F0928">
      <w:rPr>
        <w:b/>
        <w:bCs/>
        <w:sz w:val="18"/>
      </w:rPr>
      <w:fldChar w:fldCharType="begin"/>
    </w:r>
    <w:r w:rsidRPr="007F0928">
      <w:rPr>
        <w:b/>
        <w:bCs/>
        <w:sz w:val="18"/>
      </w:rPr>
      <w:instrText xml:space="preserve"> PAGE  \* MERGEFORMAT </w:instrText>
    </w:r>
    <w:r w:rsidRPr="007F0928">
      <w:rPr>
        <w:b/>
        <w:bCs/>
        <w:sz w:val="18"/>
      </w:rPr>
      <w:fldChar w:fldCharType="separate"/>
    </w:r>
    <w:r w:rsidRPr="007F0928">
      <w:rPr>
        <w:b/>
        <w:bCs/>
        <w:noProof/>
        <w:sz w:val="18"/>
      </w:rPr>
      <w:t>3</w:t>
    </w:r>
    <w:r w:rsidRPr="007F09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9C5BA" w14:textId="77777777" w:rsidR="007F0928" w:rsidRDefault="007F0928">
    <w:pPr>
      <w:pStyle w:val="Footer"/>
      <w:rPr>
        <w:sz w:val="20"/>
      </w:rPr>
    </w:pPr>
    <w:r>
      <w:rPr>
        <w:noProof/>
        <w:lang w:val="en-US"/>
      </w:rPr>
      <w:drawing>
        <wp:anchor distT="0" distB="0" distL="114300" distR="114300" simplePos="0" relativeHeight="251659264" behindDoc="1" locked="1" layoutInCell="1" allowOverlap="1" wp14:anchorId="54C40ADD" wp14:editId="7FE1944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E3349C" w14:textId="0191FAAB" w:rsidR="007F0928" w:rsidRPr="007F0928" w:rsidRDefault="007F0928" w:rsidP="007F0928">
    <w:pPr>
      <w:pStyle w:val="Footer"/>
      <w:tabs>
        <w:tab w:val="right" w:pos="7370"/>
      </w:tabs>
      <w:rPr>
        <w:sz w:val="20"/>
      </w:rPr>
    </w:pPr>
    <w:r>
      <w:rPr>
        <w:sz w:val="20"/>
      </w:rPr>
      <w:t>GE.23-06583  (E)</w:t>
    </w:r>
    <w:r>
      <w:rPr>
        <w:noProof/>
        <w:sz w:val="20"/>
      </w:rPr>
      <w:drawing>
        <wp:anchor distT="0" distB="0" distL="114300" distR="114300" simplePos="0" relativeHeight="251660288" behindDoc="0" locked="0" layoutInCell="1" allowOverlap="1" wp14:anchorId="0C025963" wp14:editId="512BEC87">
          <wp:simplePos x="0" y="0"/>
          <wp:positionH relativeFrom="margin">
            <wp:posOffset>5583555</wp:posOffset>
          </wp:positionH>
          <wp:positionV relativeFrom="margin">
            <wp:posOffset>8981440</wp:posOffset>
          </wp:positionV>
          <wp:extent cx="561975" cy="561975"/>
          <wp:effectExtent l="0" t="0" r="9525" b="9525"/>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29E4">
      <w:rPr>
        <w:sz w:val="20"/>
      </w:rPr>
      <w:t xml:space="preserve">    250423    250423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4386339"/>
      <w:docPartObj>
        <w:docPartGallery w:val="Page Numbers (Bottom of Page)"/>
        <w:docPartUnique/>
      </w:docPartObj>
    </w:sdtPr>
    <w:sdtEndPr>
      <w:rPr>
        <w:b/>
        <w:bCs/>
        <w:noProof/>
        <w:sz w:val="18"/>
        <w:szCs w:val="22"/>
      </w:rPr>
    </w:sdtEndPr>
    <w:sdtContent>
      <w:p w14:paraId="68EDBBE9" w14:textId="647D0AEF" w:rsidR="00FA230A" w:rsidRPr="00FA230A" w:rsidRDefault="00FA230A" w:rsidP="00FA230A">
        <w:pPr>
          <w:pStyle w:val="Footer"/>
          <w:tabs>
            <w:tab w:val="right" w:pos="9638"/>
          </w:tabs>
          <w:rPr>
            <w:b/>
            <w:bCs/>
            <w:sz w:val="18"/>
            <w:szCs w:val="22"/>
          </w:rPr>
        </w:pPr>
        <w:r w:rsidRPr="00FA230A">
          <w:rPr>
            <w:b/>
            <w:bCs/>
            <w:sz w:val="18"/>
            <w:szCs w:val="22"/>
          </w:rPr>
          <w:fldChar w:fldCharType="begin"/>
        </w:r>
        <w:r w:rsidRPr="00FA230A">
          <w:rPr>
            <w:b/>
            <w:bCs/>
            <w:sz w:val="18"/>
            <w:szCs w:val="22"/>
          </w:rPr>
          <w:instrText xml:space="preserve"> PAGE   \* MERGEFORMAT </w:instrText>
        </w:r>
        <w:r w:rsidRPr="00FA230A">
          <w:rPr>
            <w:b/>
            <w:bCs/>
            <w:sz w:val="18"/>
            <w:szCs w:val="22"/>
          </w:rPr>
          <w:fldChar w:fldCharType="separate"/>
        </w:r>
        <w:r w:rsidRPr="00FA230A">
          <w:rPr>
            <w:b/>
            <w:bCs/>
            <w:noProof/>
            <w:sz w:val="18"/>
            <w:szCs w:val="22"/>
          </w:rPr>
          <w:t>2</w:t>
        </w:r>
        <w:r w:rsidRPr="00FA230A">
          <w:rPr>
            <w:b/>
            <w:bCs/>
            <w:noProof/>
            <w:sz w:val="18"/>
            <w:szCs w:val="22"/>
          </w:rPr>
          <w:fldChar w:fldCharType="end"/>
        </w:r>
        <w:r>
          <w:tab/>
          <w:t>GE.23-06583</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6E55C" w14:textId="5E584C0F" w:rsidR="00523763" w:rsidRDefault="00523763" w:rsidP="00523763">
    <w:pPr>
      <w:pStyle w:val="Footer"/>
      <w:tabs>
        <w:tab w:val="right" w:pos="9638"/>
      </w:tabs>
    </w:pP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2</w:t>
    </w:r>
    <w:r w:rsidRPr="007F0928">
      <w:rPr>
        <w:b/>
        <w:bCs/>
        <w:sz w:val="18"/>
      </w:rPr>
      <w:fldChar w:fldCharType="end"/>
    </w:r>
    <w:r>
      <w:tab/>
      <w:t>GE.23-06583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6EFC7" w14:textId="77777777" w:rsidR="007E141F" w:rsidRPr="00317DC1" w:rsidRDefault="007E141F" w:rsidP="00317DC1">
      <w:pPr>
        <w:tabs>
          <w:tab w:val="right" w:pos="2155"/>
        </w:tabs>
        <w:spacing w:after="80" w:line="240" w:lineRule="auto"/>
        <w:ind w:left="680"/>
      </w:pPr>
      <w:r>
        <w:rPr>
          <w:u w:val="single"/>
        </w:rPr>
        <w:tab/>
      </w:r>
    </w:p>
  </w:footnote>
  <w:footnote w:type="continuationSeparator" w:id="0">
    <w:p w14:paraId="154C6938" w14:textId="77777777" w:rsidR="007E141F" w:rsidRPr="00317DC1" w:rsidRDefault="007E141F" w:rsidP="00317DC1">
      <w:pPr>
        <w:tabs>
          <w:tab w:val="right" w:pos="2155"/>
        </w:tabs>
        <w:spacing w:after="80" w:line="240" w:lineRule="auto"/>
        <w:ind w:left="680"/>
      </w:pPr>
      <w:r>
        <w:rPr>
          <w:u w:val="single"/>
        </w:rPr>
        <w:tab/>
      </w:r>
    </w:p>
  </w:footnote>
  <w:footnote w:id="1">
    <w:p w14:paraId="7BD7DAD8" w14:textId="72AB6DA2" w:rsidR="00257AC6" w:rsidRDefault="00257AC6" w:rsidP="00257AC6">
      <w:pPr>
        <w:pStyle w:val="FootnoteText"/>
      </w:pPr>
      <w:r>
        <w:tab/>
      </w:r>
      <w:r w:rsidRPr="003B68C1">
        <w:rPr>
          <w:rStyle w:val="FootnoteReference"/>
        </w:rPr>
        <w:footnoteRef/>
      </w:r>
      <w:r w:rsidRPr="003B68C1">
        <w:rPr>
          <w:rStyle w:val="FootnoteReference"/>
        </w:rPr>
        <w:tab/>
      </w:r>
      <w:hyperlink r:id="rId1" w:history="1">
        <w:r w:rsidR="002C18F8">
          <w:rPr>
            <w:rStyle w:val="Hyperlink"/>
          </w:rPr>
          <w:t>CRPD/C/28/1</w:t>
        </w:r>
      </w:hyperlink>
      <w:r>
        <w:t>.</w:t>
      </w:r>
    </w:p>
  </w:footnote>
  <w:footnote w:id="2">
    <w:p w14:paraId="22F396D1" w14:textId="6E1F254E" w:rsidR="00257AC6" w:rsidRPr="0040594A" w:rsidRDefault="00257AC6" w:rsidP="00257AC6">
      <w:pPr>
        <w:pStyle w:val="FootnoteText"/>
      </w:pPr>
      <w:r w:rsidRPr="00D0399E">
        <w:tab/>
      </w:r>
      <w:r w:rsidRPr="003B68C1">
        <w:rPr>
          <w:rStyle w:val="FootnoteReference"/>
        </w:rPr>
        <w:footnoteRef/>
      </w:r>
      <w:r w:rsidRPr="003B68C1">
        <w:rPr>
          <w:rStyle w:val="FootnoteReference"/>
        </w:rPr>
        <w:tab/>
      </w:r>
      <w:hyperlink r:id="rId2" w:history="1">
        <w:r w:rsidR="002C18F8" w:rsidRPr="00CD6A9C">
          <w:rPr>
            <w:rStyle w:val="Hyperlink"/>
          </w:rPr>
          <w:t>CRPD/C/28/D/67/2019-CRPD/C/28/D/68/2019</w:t>
        </w:r>
      </w:hyperlink>
      <w:r w:rsidRPr="0040594A">
        <w:rPr>
          <w:szCs w:val="18"/>
        </w:rPr>
        <w:t>.</w:t>
      </w:r>
    </w:p>
  </w:footnote>
  <w:footnote w:id="3">
    <w:p w14:paraId="75ED9DA0" w14:textId="4A059861" w:rsidR="00257AC6" w:rsidRPr="00D0399E" w:rsidRDefault="00257AC6" w:rsidP="00257AC6">
      <w:pPr>
        <w:pStyle w:val="FootnoteText"/>
      </w:pPr>
      <w:r w:rsidRPr="0040594A">
        <w:tab/>
      </w:r>
      <w:r w:rsidRPr="003B68C1">
        <w:rPr>
          <w:rStyle w:val="FootnoteReference"/>
        </w:rPr>
        <w:footnoteRef/>
      </w:r>
      <w:r w:rsidRPr="003B68C1">
        <w:rPr>
          <w:rStyle w:val="FootnoteReference"/>
        </w:rPr>
        <w:tab/>
      </w:r>
      <w:hyperlink r:id="rId3" w:history="1">
        <w:r w:rsidR="002C18F8" w:rsidRPr="00CD6A9C">
          <w:rPr>
            <w:rStyle w:val="Hyperlink"/>
          </w:rPr>
          <w:t>CRPD/C/28/D/59/2019</w:t>
        </w:r>
      </w:hyperlink>
      <w:r>
        <w:rPr>
          <w:szCs w:val="18"/>
        </w:rPr>
        <w:t>.</w:t>
      </w:r>
    </w:p>
  </w:footnote>
  <w:footnote w:id="4">
    <w:p w14:paraId="37C4EAD4" w14:textId="77777777" w:rsidR="00257AC6" w:rsidRPr="00A07AB4" w:rsidRDefault="00257AC6" w:rsidP="00257AC6">
      <w:pPr>
        <w:pStyle w:val="FootnoteText"/>
        <w:rPr>
          <w:lang w:val="en-US"/>
        </w:rPr>
      </w:pPr>
      <w:r>
        <w:tab/>
      </w:r>
      <w:r w:rsidRPr="003B68C1">
        <w:rPr>
          <w:rStyle w:val="FootnoteReference"/>
        </w:rPr>
        <w:footnoteRef/>
      </w:r>
      <w:r w:rsidRPr="003B68C1">
        <w:rPr>
          <w:rStyle w:val="FootnoteReference"/>
        </w:rPr>
        <w:tab/>
      </w:r>
      <w:r>
        <w:t xml:space="preserve">See </w:t>
      </w:r>
      <w:r w:rsidRPr="00002D80">
        <w:t>https://documents.un.org/</w:t>
      </w:r>
      <w:r>
        <w:t>.</w:t>
      </w:r>
    </w:p>
  </w:footnote>
  <w:footnote w:id="5">
    <w:p w14:paraId="1871897B" w14:textId="133D7E72" w:rsidR="00257AC6" w:rsidRPr="00D30BB0" w:rsidRDefault="00257AC6" w:rsidP="00257AC6">
      <w:pPr>
        <w:pStyle w:val="FootnoteText"/>
      </w:pPr>
      <w:r w:rsidRPr="00D0399E">
        <w:tab/>
      </w:r>
      <w:r w:rsidRPr="003B68C1">
        <w:rPr>
          <w:rStyle w:val="FootnoteReference"/>
        </w:rPr>
        <w:footnoteRef/>
      </w:r>
      <w:r w:rsidRPr="003B68C1">
        <w:rPr>
          <w:rStyle w:val="FootnoteReference"/>
        </w:rPr>
        <w:tab/>
      </w:r>
      <w:hyperlink r:id="rId4" w:history="1">
        <w:r w:rsidR="002C18F8">
          <w:rPr>
            <w:rStyle w:val="Hyperlink"/>
          </w:rPr>
          <w:t>CRPD/C/AGO/1</w:t>
        </w:r>
      </w:hyperlink>
      <w:r w:rsidRPr="00D30BB0">
        <w:t xml:space="preserve">, </w:t>
      </w:r>
      <w:hyperlink r:id="rId5" w:history="1">
        <w:r w:rsidR="002C18F8">
          <w:rPr>
            <w:rStyle w:val="Hyperlink"/>
          </w:rPr>
          <w:t>CRPD/C/GEO/1</w:t>
        </w:r>
      </w:hyperlink>
      <w:r>
        <w:t xml:space="preserve"> and</w:t>
      </w:r>
      <w:r w:rsidRPr="00880D48">
        <w:t xml:space="preserve"> </w:t>
      </w:r>
      <w:hyperlink r:id="rId6" w:history="1">
        <w:r w:rsidR="002C18F8">
          <w:rPr>
            <w:rStyle w:val="Hyperlink"/>
          </w:rPr>
          <w:t>CRPD/C/TGO/1</w:t>
        </w:r>
      </w:hyperlink>
      <w:r w:rsidRPr="00D30BB0">
        <w:t>.</w:t>
      </w:r>
    </w:p>
  </w:footnote>
  <w:footnote w:id="6">
    <w:p w14:paraId="56B3EB94" w14:textId="6B58C6FA" w:rsidR="00257AC6" w:rsidRDefault="00257AC6" w:rsidP="00257AC6">
      <w:pPr>
        <w:pStyle w:val="FootnoteText"/>
      </w:pPr>
      <w:r>
        <w:tab/>
      </w:r>
      <w:r w:rsidRPr="003B68C1">
        <w:rPr>
          <w:rStyle w:val="FootnoteReference"/>
        </w:rPr>
        <w:footnoteRef/>
      </w:r>
      <w:r w:rsidRPr="003B68C1">
        <w:rPr>
          <w:rStyle w:val="FootnoteReference"/>
        </w:rPr>
        <w:tab/>
      </w:r>
      <w:hyperlink r:id="rId7" w:history="1">
        <w:r w:rsidR="002C18F8">
          <w:rPr>
            <w:rStyle w:val="Hyperlink"/>
          </w:rPr>
          <w:t>CRPD/C/ARG/2-3</w:t>
        </w:r>
      </w:hyperlink>
      <w:r w:rsidRPr="00D30BB0">
        <w:t xml:space="preserve">, </w:t>
      </w:r>
      <w:hyperlink r:id="rId8" w:history="1">
        <w:r w:rsidR="002C18F8">
          <w:rPr>
            <w:rStyle w:val="Hyperlink"/>
          </w:rPr>
          <w:t>CRPD/C/PER/2-3</w:t>
        </w:r>
      </w:hyperlink>
      <w:r w:rsidRPr="00D30BB0">
        <w:t xml:space="preserve"> and </w:t>
      </w:r>
      <w:hyperlink r:id="rId9" w:history="1">
        <w:r w:rsidR="002C18F8">
          <w:rPr>
            <w:rStyle w:val="Hyperlink"/>
          </w:rPr>
          <w:t>CRPD/C/TUN/2-3</w:t>
        </w:r>
      </w:hyperlink>
      <w:r>
        <w:t>.</w:t>
      </w:r>
    </w:p>
  </w:footnote>
  <w:footnote w:id="7">
    <w:p w14:paraId="4F6179EF" w14:textId="6204ADEE" w:rsidR="00257AC6" w:rsidRPr="00D30BB0" w:rsidRDefault="00257AC6" w:rsidP="00257AC6">
      <w:pPr>
        <w:pStyle w:val="FootnoteText"/>
      </w:pPr>
      <w:r w:rsidRPr="00D30BB0">
        <w:tab/>
      </w:r>
      <w:r w:rsidRPr="003B68C1">
        <w:rPr>
          <w:rStyle w:val="FootnoteReference"/>
        </w:rPr>
        <w:footnoteRef/>
      </w:r>
      <w:r w:rsidRPr="003B68C1">
        <w:rPr>
          <w:rStyle w:val="FootnoteReference"/>
        </w:rPr>
        <w:tab/>
      </w:r>
      <w:hyperlink r:id="rId10" w:history="1">
        <w:r w:rsidRPr="00B41541">
          <w:rPr>
            <w:rStyle w:val="Hyperlink"/>
          </w:rPr>
          <w:t>CRPD/C/AGO/CO/1</w:t>
        </w:r>
      </w:hyperlink>
      <w:r w:rsidRPr="00D30BB0">
        <w:t xml:space="preserve">, </w:t>
      </w:r>
      <w:hyperlink r:id="rId11" w:history="1">
        <w:r w:rsidRPr="00B41541">
          <w:rPr>
            <w:rStyle w:val="Hyperlink"/>
          </w:rPr>
          <w:t>CRPD/C/ARG/CO/2-3</w:t>
        </w:r>
      </w:hyperlink>
      <w:r w:rsidRPr="00D30BB0">
        <w:t xml:space="preserve">, </w:t>
      </w:r>
      <w:hyperlink r:id="rId12" w:history="1">
        <w:r w:rsidR="002C18F8">
          <w:rPr>
            <w:rStyle w:val="Hyperlink"/>
          </w:rPr>
          <w:t>CRPD/C/GEO/CO/1</w:t>
        </w:r>
      </w:hyperlink>
      <w:r w:rsidRPr="00D30BB0">
        <w:t xml:space="preserve">, </w:t>
      </w:r>
      <w:hyperlink r:id="rId13" w:history="1">
        <w:r w:rsidRPr="00B41541">
          <w:rPr>
            <w:rStyle w:val="Hyperlink"/>
          </w:rPr>
          <w:t>CRPD/C/TGO/CO/1</w:t>
        </w:r>
      </w:hyperlink>
      <w:r w:rsidRPr="00880D48">
        <w:t xml:space="preserve">, </w:t>
      </w:r>
      <w:hyperlink r:id="rId14" w:history="1">
        <w:r w:rsidRPr="00B41541">
          <w:rPr>
            <w:rStyle w:val="Hyperlink"/>
          </w:rPr>
          <w:t>CRPD/C/PER/CO/2-3</w:t>
        </w:r>
      </w:hyperlink>
      <w:r>
        <w:t xml:space="preserve"> and</w:t>
      </w:r>
      <w:r w:rsidRPr="00880D48">
        <w:t xml:space="preserve"> </w:t>
      </w:r>
      <w:hyperlink r:id="rId15" w:history="1">
        <w:r w:rsidRPr="00B41541">
          <w:rPr>
            <w:rStyle w:val="Hyperlink"/>
          </w:rPr>
          <w:t>CRPD/C/TUN/CO/2-3</w:t>
        </w:r>
      </w:hyperlink>
      <w:r w:rsidRPr="002C18F8">
        <w:t xml:space="preserve">. </w:t>
      </w:r>
    </w:p>
  </w:footnote>
  <w:footnote w:id="8">
    <w:p w14:paraId="698FB89D" w14:textId="6B44A94B" w:rsidR="00257AC6" w:rsidRPr="00D30BB0" w:rsidRDefault="00257AC6" w:rsidP="00257AC6">
      <w:pPr>
        <w:pStyle w:val="FootnoteText"/>
      </w:pPr>
      <w:r w:rsidRPr="00D30BB0">
        <w:tab/>
      </w:r>
      <w:r w:rsidRPr="003B68C1">
        <w:rPr>
          <w:rStyle w:val="FootnoteReference"/>
        </w:rPr>
        <w:footnoteRef/>
      </w:r>
      <w:r w:rsidRPr="003B68C1">
        <w:rPr>
          <w:rStyle w:val="FootnoteReference"/>
        </w:rPr>
        <w:tab/>
      </w:r>
      <w:hyperlink r:id="rId16" w:history="1">
        <w:r w:rsidRPr="00B41541">
          <w:rPr>
            <w:rStyle w:val="Hyperlink"/>
          </w:rPr>
          <w:t>CRPD/C/AGO/CO/1</w:t>
        </w:r>
      </w:hyperlink>
      <w:r>
        <w:t xml:space="preserve">, </w:t>
      </w:r>
      <w:hyperlink r:id="rId17" w:history="1">
        <w:r w:rsidRPr="00B41541">
          <w:rPr>
            <w:rStyle w:val="Hyperlink"/>
          </w:rPr>
          <w:t>CRPD/C/GEO/CO/1</w:t>
        </w:r>
      </w:hyperlink>
      <w:r>
        <w:t xml:space="preserve"> and</w:t>
      </w:r>
      <w:r w:rsidRPr="00D30BB0">
        <w:t xml:space="preserve"> </w:t>
      </w:r>
      <w:hyperlink r:id="rId18" w:history="1">
        <w:r w:rsidRPr="00B41541">
          <w:rPr>
            <w:rStyle w:val="Hyperlink"/>
          </w:rPr>
          <w:t>CRPD/C/TGO/CO/1</w:t>
        </w:r>
      </w:hyperlink>
      <w:r w:rsidRPr="00087031">
        <w:t xml:space="preserve">. </w:t>
      </w:r>
    </w:p>
  </w:footnote>
  <w:footnote w:id="9">
    <w:p w14:paraId="49AA435D" w14:textId="50405EDB" w:rsidR="00257AC6" w:rsidRPr="00D30BB0" w:rsidRDefault="00257AC6" w:rsidP="00257AC6">
      <w:pPr>
        <w:pStyle w:val="FootnoteText"/>
      </w:pPr>
      <w:r w:rsidRPr="00D30BB0">
        <w:tab/>
      </w:r>
      <w:r w:rsidRPr="003B68C1">
        <w:rPr>
          <w:rStyle w:val="FootnoteReference"/>
        </w:rPr>
        <w:footnoteRef/>
      </w:r>
      <w:r w:rsidRPr="003B68C1">
        <w:rPr>
          <w:rStyle w:val="FootnoteReference"/>
        </w:rPr>
        <w:tab/>
      </w:r>
      <w:hyperlink r:id="rId19" w:history="1">
        <w:r w:rsidRPr="00B41541">
          <w:rPr>
            <w:rStyle w:val="Hyperlink"/>
          </w:rPr>
          <w:t>CRPD/C/ARG/CO/2-3</w:t>
        </w:r>
      </w:hyperlink>
      <w:r>
        <w:t xml:space="preserve">, </w:t>
      </w:r>
      <w:hyperlink r:id="rId20" w:history="1">
        <w:r w:rsidRPr="00B41541">
          <w:rPr>
            <w:rStyle w:val="Hyperlink"/>
          </w:rPr>
          <w:t>CRPD/C/PER/CO/2-3</w:t>
        </w:r>
      </w:hyperlink>
      <w:r>
        <w:t xml:space="preserve"> and</w:t>
      </w:r>
      <w:r w:rsidRPr="00880D48">
        <w:t xml:space="preserve"> </w:t>
      </w:r>
      <w:hyperlink r:id="rId21" w:history="1">
        <w:r w:rsidRPr="00B41541">
          <w:rPr>
            <w:rStyle w:val="Hyperlink"/>
          </w:rPr>
          <w:t>CRPD/C/TUN/CO/2-3</w:t>
        </w:r>
      </w:hyperlink>
      <w:r w:rsidRPr="00CD6A9C">
        <w:t>.</w:t>
      </w:r>
      <w:r w:rsidRPr="00D30BB0">
        <w:t xml:space="preserve"> </w:t>
      </w:r>
    </w:p>
  </w:footnote>
  <w:footnote w:id="10">
    <w:p w14:paraId="23E728F1" w14:textId="284479B2" w:rsidR="00257AC6" w:rsidRPr="0040594A" w:rsidRDefault="00257AC6" w:rsidP="00257AC6">
      <w:pPr>
        <w:pStyle w:val="FootnoteText"/>
      </w:pPr>
      <w:r w:rsidRPr="00D0399E">
        <w:tab/>
      </w:r>
      <w:r w:rsidRPr="003B68C1">
        <w:rPr>
          <w:rStyle w:val="FootnoteReference"/>
        </w:rPr>
        <w:footnoteRef/>
      </w:r>
      <w:r w:rsidRPr="003B68C1">
        <w:rPr>
          <w:rStyle w:val="FootnoteReference"/>
        </w:rPr>
        <w:tab/>
      </w:r>
      <w:hyperlink r:id="rId22" w:history="1">
        <w:r w:rsidRPr="00B41541">
          <w:rPr>
            <w:rStyle w:val="Hyperlink"/>
          </w:rPr>
          <w:t>CRPD/C/28/D/67</w:t>
        </w:r>
        <w:r w:rsidRPr="00B41541">
          <w:rPr>
            <w:rStyle w:val="Hyperlink"/>
            <w:szCs w:val="18"/>
          </w:rPr>
          <w:t>/2019</w:t>
        </w:r>
        <w:r w:rsidRPr="00B41541">
          <w:rPr>
            <w:rStyle w:val="Hyperlink"/>
          </w:rPr>
          <w:t>-</w:t>
        </w:r>
        <w:r w:rsidRPr="00B41541">
          <w:rPr>
            <w:rStyle w:val="Hyperlink"/>
            <w:szCs w:val="18"/>
          </w:rPr>
          <w:t>CRPD/C/28/D/</w:t>
        </w:r>
        <w:r w:rsidRPr="00B41541">
          <w:rPr>
            <w:rStyle w:val="Hyperlink"/>
          </w:rPr>
          <w:t>68/2019</w:t>
        </w:r>
      </w:hyperlink>
      <w:r w:rsidRPr="0040594A">
        <w:rPr>
          <w:szCs w:val="18"/>
        </w:rPr>
        <w:t>.</w:t>
      </w:r>
    </w:p>
  </w:footnote>
  <w:footnote w:id="11">
    <w:p w14:paraId="761A7D70" w14:textId="63F9790E" w:rsidR="00257AC6" w:rsidRPr="00D0399E" w:rsidRDefault="00257AC6" w:rsidP="00257AC6">
      <w:pPr>
        <w:pStyle w:val="FootnoteText"/>
      </w:pPr>
      <w:r w:rsidRPr="0040594A">
        <w:tab/>
      </w:r>
      <w:r w:rsidRPr="003B68C1">
        <w:rPr>
          <w:rStyle w:val="FootnoteReference"/>
        </w:rPr>
        <w:footnoteRef/>
      </w:r>
      <w:r w:rsidRPr="003B68C1">
        <w:rPr>
          <w:rStyle w:val="FootnoteReference"/>
        </w:rPr>
        <w:tab/>
      </w:r>
      <w:hyperlink r:id="rId23" w:history="1">
        <w:r w:rsidRPr="00B41541">
          <w:rPr>
            <w:rStyle w:val="Hyperlink"/>
          </w:rPr>
          <w:t>CRPD/C/28/D/</w:t>
        </w:r>
        <w:r w:rsidRPr="00B41541">
          <w:rPr>
            <w:rStyle w:val="Hyperlink"/>
            <w:szCs w:val="18"/>
          </w:rPr>
          <w:t>59</w:t>
        </w:r>
        <w:r w:rsidRPr="00B41541">
          <w:rPr>
            <w:rStyle w:val="Hyperlink"/>
          </w:rPr>
          <w:t>/201</w:t>
        </w:r>
        <w:r w:rsidRPr="00B41541">
          <w:rPr>
            <w:rStyle w:val="Hyperlink"/>
            <w:szCs w:val="18"/>
          </w:rPr>
          <w:t>9</w:t>
        </w:r>
      </w:hyperlink>
      <w:r>
        <w:rPr>
          <w:szCs w:val="18"/>
        </w:rPr>
        <w:t>.</w:t>
      </w:r>
    </w:p>
  </w:footnote>
  <w:footnote w:id="12">
    <w:p w14:paraId="03E08B1C" w14:textId="5FCEB2D2" w:rsidR="00257AC6" w:rsidRPr="006075B6" w:rsidRDefault="00257AC6" w:rsidP="00257AC6">
      <w:pPr>
        <w:pStyle w:val="FootnoteText"/>
        <w:rPr>
          <w:szCs w:val="18"/>
        </w:rPr>
      </w:pPr>
      <w:r>
        <w:rPr>
          <w:szCs w:val="18"/>
        </w:rPr>
        <w:tab/>
      </w:r>
      <w:r w:rsidRPr="003B68C1">
        <w:rPr>
          <w:rStyle w:val="FootnoteReference"/>
        </w:rPr>
        <w:footnoteRef/>
      </w:r>
      <w:bookmarkStart w:id="9" w:name="_Hlk131588477"/>
      <w:r w:rsidRPr="003B68C1">
        <w:rPr>
          <w:rStyle w:val="FootnoteReference"/>
        </w:rPr>
        <w:tab/>
      </w:r>
      <w:hyperlink r:id="rId24" w:history="1">
        <w:r w:rsidRPr="00B41541">
          <w:rPr>
            <w:rStyle w:val="Hyperlink"/>
            <w:szCs w:val="18"/>
          </w:rPr>
          <w:t>CRPD/C/28/D/59/2019</w:t>
        </w:r>
      </w:hyperlink>
      <w:r>
        <w:rPr>
          <w:szCs w:val="18"/>
        </w:rPr>
        <w:t>.</w:t>
      </w:r>
      <w:bookmarkEnd w:id="9"/>
    </w:p>
  </w:footnote>
  <w:footnote w:id="13">
    <w:p w14:paraId="58455416" w14:textId="37D55AE7" w:rsidR="00257AC6" w:rsidRPr="00EA2F2E" w:rsidRDefault="00257AC6" w:rsidP="00257AC6">
      <w:pPr>
        <w:pStyle w:val="FootnoteText"/>
        <w:rPr>
          <w:lang w:val="en-US"/>
        </w:rPr>
      </w:pPr>
      <w:r>
        <w:tab/>
      </w:r>
      <w:r w:rsidRPr="003B68C1">
        <w:rPr>
          <w:rStyle w:val="FootnoteReference"/>
        </w:rPr>
        <w:footnoteRef/>
      </w:r>
      <w:r w:rsidRPr="003B68C1">
        <w:rPr>
          <w:rStyle w:val="FootnoteReference"/>
        </w:rPr>
        <w:tab/>
      </w:r>
      <w:r>
        <w:t>A</w:t>
      </w:r>
      <w:r w:rsidRPr="00EF2349">
        <w:t xml:space="preserve">mended by the </w:t>
      </w:r>
      <w:r>
        <w:t>a</w:t>
      </w:r>
      <w:r w:rsidRPr="00EF2349">
        <w:t xml:space="preserve">ct on </w:t>
      </w:r>
      <w:r>
        <w:t>p</w:t>
      </w:r>
      <w:r w:rsidRPr="00EF2349">
        <w:t>atients</w:t>
      </w:r>
      <w:r w:rsidR="003B68C1">
        <w:t>’</w:t>
      </w:r>
      <w:r w:rsidRPr="00EF2349">
        <w:t xml:space="preserve"> </w:t>
      </w:r>
      <w:r>
        <w:t>r</w:t>
      </w:r>
      <w:r w:rsidRPr="00EF2349">
        <w:t xml:space="preserve">ights and </w:t>
      </w:r>
      <w:r>
        <w:t>e</w:t>
      </w:r>
      <w:r w:rsidRPr="00EF2349">
        <w:t>nd-of-</w:t>
      </w:r>
      <w:r>
        <w:t>l</w:t>
      </w:r>
      <w:r w:rsidRPr="00EF2349">
        <w:t xml:space="preserve">ife </w:t>
      </w:r>
      <w:r>
        <w:t>s</w:t>
      </w:r>
      <w:r w:rsidRPr="00EF2349">
        <w:t>ituations</w:t>
      </w:r>
      <w:r>
        <w:t xml:space="preserve"> of </w:t>
      </w:r>
      <w:r w:rsidRPr="00EF2349">
        <w:t>22 April 2005</w:t>
      </w:r>
      <w:r>
        <w:t xml:space="preserve"> (known as the </w:t>
      </w:r>
      <w:r w:rsidR="003B68C1">
        <w:t>“</w:t>
      </w:r>
      <w:r w:rsidRPr="00EF2349">
        <w:t>L</w:t>
      </w:r>
      <w:r>
        <w:t>e</w:t>
      </w:r>
      <w:r w:rsidRPr="00EF2349">
        <w:t xml:space="preserve">onetti </w:t>
      </w:r>
      <w:r>
        <w:t>a</w:t>
      </w:r>
      <w:r w:rsidRPr="00EF2349">
        <w:t>ct</w:t>
      </w:r>
      <w:r w:rsidR="003B68C1">
        <w:t>”</w:t>
      </w:r>
      <w:r>
        <w:t>).</w:t>
      </w:r>
    </w:p>
  </w:footnote>
  <w:footnote w:id="14">
    <w:p w14:paraId="76B7C28E" w14:textId="11C9A0F6" w:rsidR="00257AC6" w:rsidRPr="00951D06" w:rsidRDefault="00257AC6" w:rsidP="00257AC6">
      <w:pPr>
        <w:pStyle w:val="FootnoteText"/>
      </w:pPr>
      <w:r>
        <w:tab/>
      </w:r>
      <w:r w:rsidRPr="003B68C1">
        <w:rPr>
          <w:rStyle w:val="FootnoteReference"/>
        </w:rPr>
        <w:footnoteRef/>
      </w:r>
      <w:bookmarkStart w:id="11" w:name="_Hlk131588153"/>
      <w:r w:rsidRPr="003B68C1">
        <w:rPr>
          <w:rStyle w:val="FootnoteReference"/>
        </w:rPr>
        <w:tab/>
      </w:r>
      <w:hyperlink r:id="rId25" w:history="1">
        <w:r w:rsidR="0069310C" w:rsidRPr="00523763">
          <w:rPr>
            <w:rStyle w:val="Hyperlink"/>
          </w:rPr>
          <w:t>CRPD/C/28/D/67/2019-CRPD/C/28/D/68/2019</w:t>
        </w:r>
      </w:hyperlink>
      <w:r>
        <w:t>.</w:t>
      </w:r>
      <w:bookmarkEnd w:id="11"/>
    </w:p>
  </w:footnote>
  <w:footnote w:id="15">
    <w:p w14:paraId="02AFB761" w14:textId="1B7988A4" w:rsidR="00257AC6" w:rsidRPr="003266E7" w:rsidRDefault="00257AC6" w:rsidP="00257AC6">
      <w:pPr>
        <w:pStyle w:val="FootnoteText"/>
        <w:rPr>
          <w:lang w:val="en-US"/>
        </w:rPr>
      </w:pPr>
      <w:r>
        <w:tab/>
      </w:r>
      <w:r w:rsidRPr="003B68C1">
        <w:rPr>
          <w:rStyle w:val="FootnoteReference"/>
        </w:rPr>
        <w:footnoteRef/>
      </w:r>
      <w:r w:rsidRPr="003B68C1">
        <w:rPr>
          <w:rStyle w:val="FootnoteReference"/>
        </w:rPr>
        <w:tab/>
      </w:r>
      <w:hyperlink r:id="rId26" w:history="1">
        <w:r w:rsidRPr="00B41541">
          <w:rPr>
            <w:rStyle w:val="Hyperlink"/>
          </w:rPr>
          <w:t>CRPD/C/28/D/70/2019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9D7F5" w14:textId="77777777" w:rsidR="007F0928" w:rsidRDefault="007F0928" w:rsidP="007F0928">
    <w:pPr>
      <w:pStyle w:val="Header"/>
    </w:pPr>
    <w:r>
      <w:t>CRPD/C/28/2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778B6" w14:textId="77777777" w:rsidR="007F0928" w:rsidRDefault="007F0928" w:rsidP="007F0928">
    <w:pPr>
      <w:pStyle w:val="Header"/>
      <w:jc w:val="right"/>
    </w:pPr>
    <w:r>
      <w:t>CRPD/C/28/2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6DA27" w14:textId="77777777" w:rsidR="00663DB9" w:rsidRDefault="00663DB9" w:rsidP="00663DB9">
    <w:pPr>
      <w:pStyle w:val="Header"/>
    </w:pPr>
    <w:r>
      <w:t>CRPD/C/28/2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AA608" w14:textId="77777777" w:rsidR="00760C4E" w:rsidRDefault="00B82029" w:rsidP="00EA5DF2">
    <w:pPr>
      <w:pStyle w:val="Header"/>
    </w:pPr>
    <w:r>
      <w:t>CRPD/C/28/2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FF0A3B"/>
    <w:multiLevelType w:val="hybridMultilevel"/>
    <w:tmpl w:val="78F25CF2"/>
    <w:lvl w:ilvl="0" w:tplc="35A21826">
      <w:start w:val="1"/>
      <w:numFmt w:val="decimal"/>
      <w:lvlText w:val="%1."/>
      <w:lvlJc w:val="left"/>
      <w:pPr>
        <w:ind w:left="1494" w:hanging="360"/>
      </w:pPr>
      <w:rPr>
        <w:rFonts w:hint="default"/>
        <w:b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2572664">
    <w:abstractNumId w:val="4"/>
  </w:num>
  <w:num w:numId="2" w16cid:durableId="1052459143">
    <w:abstractNumId w:val="3"/>
  </w:num>
  <w:num w:numId="3" w16cid:durableId="1193761727">
    <w:abstractNumId w:val="0"/>
  </w:num>
  <w:num w:numId="4" w16cid:durableId="1619214799">
    <w:abstractNumId w:val="5"/>
  </w:num>
  <w:num w:numId="5" w16cid:durableId="380835473">
    <w:abstractNumId w:val="6"/>
  </w:num>
  <w:num w:numId="6" w16cid:durableId="435638969">
    <w:abstractNumId w:val="7"/>
  </w:num>
  <w:num w:numId="7" w16cid:durableId="1627809513">
    <w:abstractNumId w:val="2"/>
  </w:num>
  <w:num w:numId="8" w16cid:durableId="2069961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41F"/>
    <w:rsid w:val="00046E92"/>
    <w:rsid w:val="00087031"/>
    <w:rsid w:val="000C291C"/>
    <w:rsid w:val="001C3DE4"/>
    <w:rsid w:val="002371C9"/>
    <w:rsid w:val="00247E2C"/>
    <w:rsid w:val="00257A7C"/>
    <w:rsid w:val="00257AC6"/>
    <w:rsid w:val="002C18F8"/>
    <w:rsid w:val="002C29E4"/>
    <w:rsid w:val="002D5B06"/>
    <w:rsid w:val="002D6C53"/>
    <w:rsid w:val="002F238A"/>
    <w:rsid w:val="002F5595"/>
    <w:rsid w:val="00317DC1"/>
    <w:rsid w:val="00334F6A"/>
    <w:rsid w:val="00342AC8"/>
    <w:rsid w:val="003B4550"/>
    <w:rsid w:val="003B68C1"/>
    <w:rsid w:val="003C21B1"/>
    <w:rsid w:val="003F3FA0"/>
    <w:rsid w:val="00461253"/>
    <w:rsid w:val="004A1DC4"/>
    <w:rsid w:val="00502AC4"/>
    <w:rsid w:val="005042C2"/>
    <w:rsid w:val="00523763"/>
    <w:rsid w:val="005E08DF"/>
    <w:rsid w:val="00663DB9"/>
    <w:rsid w:val="00671529"/>
    <w:rsid w:val="0069310C"/>
    <w:rsid w:val="006B6980"/>
    <w:rsid w:val="006E4390"/>
    <w:rsid w:val="006E4EC6"/>
    <w:rsid w:val="007268F9"/>
    <w:rsid w:val="0078772B"/>
    <w:rsid w:val="00787AF0"/>
    <w:rsid w:val="007A1191"/>
    <w:rsid w:val="007C52B0"/>
    <w:rsid w:val="007E141F"/>
    <w:rsid w:val="007F0928"/>
    <w:rsid w:val="00816928"/>
    <w:rsid w:val="0086105F"/>
    <w:rsid w:val="008D7A55"/>
    <w:rsid w:val="008F7ED1"/>
    <w:rsid w:val="00932DC8"/>
    <w:rsid w:val="009411B4"/>
    <w:rsid w:val="009C7535"/>
    <w:rsid w:val="009D0139"/>
    <w:rsid w:val="009F5CDC"/>
    <w:rsid w:val="00A775CF"/>
    <w:rsid w:val="00AA4968"/>
    <w:rsid w:val="00B06045"/>
    <w:rsid w:val="00B275CB"/>
    <w:rsid w:val="00B41541"/>
    <w:rsid w:val="00B5070A"/>
    <w:rsid w:val="00B65055"/>
    <w:rsid w:val="00B82029"/>
    <w:rsid w:val="00B92E9C"/>
    <w:rsid w:val="00BE04BA"/>
    <w:rsid w:val="00C35A27"/>
    <w:rsid w:val="00C9007B"/>
    <w:rsid w:val="00CA1543"/>
    <w:rsid w:val="00CC0CA7"/>
    <w:rsid w:val="00CC3AB5"/>
    <w:rsid w:val="00CD6A9C"/>
    <w:rsid w:val="00E02C2B"/>
    <w:rsid w:val="00ED6C48"/>
    <w:rsid w:val="00F0722E"/>
    <w:rsid w:val="00F47C2D"/>
    <w:rsid w:val="00F65F5D"/>
    <w:rsid w:val="00F67417"/>
    <w:rsid w:val="00F86A3A"/>
    <w:rsid w:val="00FA230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4640B"/>
  <w15:docId w15:val="{870D3491-CE6F-4274-9646-F9286C797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257AC6"/>
    <w:rPr>
      <w:color w:val="0000FF"/>
      <w:u w:val="none"/>
    </w:rPr>
  </w:style>
  <w:style w:type="character" w:styleId="FollowedHyperlink">
    <w:name w:val="FollowedHyperlink"/>
    <w:basedOn w:val="DefaultParagraphFont"/>
    <w:uiPriority w:val="99"/>
    <w:semiHidden/>
    <w:unhideWhenUsed/>
    <w:rsid w:val="00B41541"/>
    <w:rPr>
      <w:color w:val="0000FF"/>
      <w:u w:val="single"/>
    </w:rPr>
  </w:style>
  <w:style w:type="character" w:styleId="UnresolvedMention">
    <w:name w:val="Unresolved Mention"/>
    <w:basedOn w:val="DefaultParagraphFont"/>
    <w:uiPriority w:val="99"/>
    <w:semiHidden/>
    <w:unhideWhenUsed/>
    <w:rsid w:val="00B415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file:///C:\Users\araya\Downloads\27th%20Session%20Report%20(AB)%20(1).docx"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file:///C:\Users\araya\Downloads\27th%20Session%20Report%20(AB)%20(1).docx" TargetMode="Externa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file:///C:\Users\araya\Downloads\27th%20Session%20Report%20(AB)%20(1).docx" TargetMode="Externa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PER/2-3" TargetMode="External"/><Relationship Id="rId13" Type="http://schemas.openxmlformats.org/officeDocument/2006/relationships/hyperlink" Target="http://undocs.org/en/CRPD/C/TGO/CO/1" TargetMode="External"/><Relationship Id="rId18" Type="http://schemas.openxmlformats.org/officeDocument/2006/relationships/hyperlink" Target="http://undocs.org/en/CRPD/C/TGO/CO/1" TargetMode="External"/><Relationship Id="rId26" Type="http://schemas.openxmlformats.org/officeDocument/2006/relationships/hyperlink" Target="http://undocs.org/en/CRPD/C/28/D/70/2019" TargetMode="External"/><Relationship Id="rId3" Type="http://schemas.openxmlformats.org/officeDocument/2006/relationships/hyperlink" Target="http://undocs.org/en/CRPD/C/28/D/59/2019" TargetMode="External"/><Relationship Id="rId21" Type="http://schemas.openxmlformats.org/officeDocument/2006/relationships/hyperlink" Target="http://undocs.org/en/CRPD/C/TUN/CO/2-3" TargetMode="External"/><Relationship Id="rId7" Type="http://schemas.openxmlformats.org/officeDocument/2006/relationships/hyperlink" Target="http://undocs.org/en/CRPD/C/ARG/2-3" TargetMode="External"/><Relationship Id="rId12" Type="http://schemas.openxmlformats.org/officeDocument/2006/relationships/hyperlink" Target="http://undocs.org/en/CRPD/C/GEO/CO/1" TargetMode="External"/><Relationship Id="rId17" Type="http://schemas.openxmlformats.org/officeDocument/2006/relationships/hyperlink" Target="http://undocs.org/en/CRPD/C/GEO/CO/1" TargetMode="External"/><Relationship Id="rId25" Type="http://schemas.openxmlformats.org/officeDocument/2006/relationships/hyperlink" Target="http://undocs.org/en/CRPD/C/28/D/67/2019" TargetMode="External"/><Relationship Id="rId2" Type="http://schemas.openxmlformats.org/officeDocument/2006/relationships/hyperlink" Target="http://undocs.org/en/CRPD/C/28/D/67/2019" TargetMode="External"/><Relationship Id="rId16" Type="http://schemas.openxmlformats.org/officeDocument/2006/relationships/hyperlink" Target="http://undocs.org/en/CRPD/C/AGO/CO/1" TargetMode="External"/><Relationship Id="rId20" Type="http://schemas.openxmlformats.org/officeDocument/2006/relationships/hyperlink" Target="http://undocs.org/en/CRPD/C/PER/CO/2-3" TargetMode="External"/><Relationship Id="rId1" Type="http://schemas.openxmlformats.org/officeDocument/2006/relationships/hyperlink" Target="http://undocs.org/en/CRPD/C/28/1" TargetMode="External"/><Relationship Id="rId6" Type="http://schemas.openxmlformats.org/officeDocument/2006/relationships/hyperlink" Target="http://undocs.org/en/CRPD/C/TGO/1" TargetMode="External"/><Relationship Id="rId11" Type="http://schemas.openxmlformats.org/officeDocument/2006/relationships/hyperlink" Target="http://undocs.org/en/CRPD/C/ARG/CO/2-3" TargetMode="External"/><Relationship Id="rId24" Type="http://schemas.openxmlformats.org/officeDocument/2006/relationships/hyperlink" Target="http://undocs.org/en/CRPD/C/28/D/59/2019" TargetMode="External"/><Relationship Id="rId5" Type="http://schemas.openxmlformats.org/officeDocument/2006/relationships/hyperlink" Target="http://undocs.org/en/CRPD/C/GEO/1" TargetMode="External"/><Relationship Id="rId15" Type="http://schemas.openxmlformats.org/officeDocument/2006/relationships/hyperlink" Target="http://undocs.org/en/CRPD/C/TUN/CO/2-3" TargetMode="External"/><Relationship Id="rId23" Type="http://schemas.openxmlformats.org/officeDocument/2006/relationships/hyperlink" Target="http://undocs.org/en/CRPD/C/28/D/59/2019" TargetMode="External"/><Relationship Id="rId10" Type="http://schemas.openxmlformats.org/officeDocument/2006/relationships/hyperlink" Target="http://undocs.org/en/CRPD/C/AGO/CO/1" TargetMode="External"/><Relationship Id="rId19" Type="http://schemas.openxmlformats.org/officeDocument/2006/relationships/hyperlink" Target="http://undocs.org/en/CRPD/C/ARG/CO/2-3" TargetMode="External"/><Relationship Id="rId4" Type="http://schemas.openxmlformats.org/officeDocument/2006/relationships/hyperlink" Target="http://undocs.org/en/CRPD/C/AGO/1" TargetMode="External"/><Relationship Id="rId9" Type="http://schemas.openxmlformats.org/officeDocument/2006/relationships/hyperlink" Target="http://undocs.org/en/CRPD/C/TUN/2-3" TargetMode="External"/><Relationship Id="rId14" Type="http://schemas.openxmlformats.org/officeDocument/2006/relationships/hyperlink" Target="http://undocs.org/en/CRPD/C/PER/CO/2-3" TargetMode="External"/><Relationship Id="rId22" Type="http://schemas.openxmlformats.org/officeDocument/2006/relationships/hyperlink" Target="http://undocs.org/en/CRPD/C/28/D/67/2019-CRPD/C/28/D/68/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3913</Words>
  <Characters>21335</Characters>
  <Application>Microsoft Office Word</Application>
  <DocSecurity>0</DocSecurity>
  <Lines>372</Lines>
  <Paragraphs>124</Paragraphs>
  <ScaleCrop>false</ScaleCrop>
  <HeadingPairs>
    <vt:vector size="2" baseType="variant">
      <vt:variant>
        <vt:lpstr>Title</vt:lpstr>
      </vt:variant>
      <vt:variant>
        <vt:i4>1</vt:i4>
      </vt:variant>
    </vt:vector>
  </HeadingPairs>
  <TitlesOfParts>
    <vt:vector size="1" baseType="lpstr">
      <vt:lpstr>CRPD/C/28/2</vt:lpstr>
    </vt:vector>
  </TitlesOfParts>
  <Company>DCM</Company>
  <LinksUpToDate>false</LinksUpToDate>
  <CharactersWithSpaces>25178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CRPD/C/28/2</dc:title>
  <dc:subject>2306583</dc:subject>
  <dc:creator>AVT</dc:creator>
  <cp:keywords/>
  <dc:description/>
  <cp:lastModifiedBy>Maria Rosario Corazon Gatmaytan</cp:lastModifiedBy>
  <cp:revision>2</cp:revision>
  <cp:lastPrinted>2023-04-25T14:37:00Z</cp:lastPrinted>
  <dcterms:created xsi:type="dcterms:W3CDTF">2023-04-25T14:40:00Z</dcterms:created>
  <dcterms:modified xsi:type="dcterms:W3CDTF">2023-04-25T14:40:00Z</dcterms:modified>
</cp:coreProperties>
</file>