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6.7pt;margin-top:710.4pt;width:198pt;height:18pt;z-index:1;mso-position-horizontal-relative:page" stroked="f">
            <v:textbox style="mso-next-textbox:#_x0000_s1028" inset="0,0,0,0">
              <w:txbxContent>
                <w:p w:rsidR="00000000" w:rsidRDefault="00000000">
                  <w:pPr>
                    <w:rPr>
                      <w:lang w:val="en-US"/>
                    </w:rPr>
                  </w:pPr>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41117</w:t>
                  </w:r>
                  <w:r>
                    <w:rPr>
                      <w:lang w:val="en-US"/>
                    </w:rPr>
                    <w:fldChar w:fldCharType="end"/>
                  </w:r>
                  <w:r>
                    <w:rPr>
                      <w:lang w:val="en-US"/>
                    </w:rPr>
                    <w:t xml:space="preserve">   (R)</w:t>
                  </w:r>
                  <w:r>
                    <w:rPr>
                      <w:lang w:val="en-US"/>
                    </w:rPr>
                    <w:tab/>
                    <w:t>120606    300606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7206"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CERD/C/IND/19</w:t>
            </w:r>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 xml:space="preserve">29 </w:t>
            </w:r>
            <w:r>
              <w:rPr>
                <w:sz w:val="22"/>
                <w:lang w:val="en-US"/>
              </w:rPr>
              <w:t>March</w:t>
            </w:r>
            <w:r>
              <w:rPr>
                <w:sz w:val="22"/>
              </w:rPr>
              <w:t xml:space="preserve"> 2006</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r>
        <w:t xml:space="preserve">КОМИТЕТ ПО ЛИКВИДАЦИИ </w:t>
      </w:r>
    </w:p>
    <w:p w:rsidR="00000000" w:rsidRDefault="00000000">
      <w:r>
        <w:t>РАСОВОЙ ДИСКРИМИНАЦИИ</w:t>
      </w:r>
    </w:p>
    <w:p w:rsidR="00000000" w:rsidRDefault="00000000"/>
    <w:p w:rsidR="00000000" w:rsidRDefault="00000000">
      <w:pPr>
        <w:rPr>
          <w:lang w:val="en-US"/>
        </w:rPr>
      </w:pPr>
    </w:p>
    <w:p w:rsidR="00000000" w:rsidRDefault="00000000">
      <w:pPr>
        <w:rPr>
          <w:lang w:val="en-US"/>
        </w:rPr>
      </w:pPr>
    </w:p>
    <w:p w:rsidR="00000000" w:rsidRDefault="00000000">
      <w:pPr>
        <w:jc w:val="center"/>
        <w:rPr>
          <w:b/>
          <w:bCs/>
        </w:rPr>
      </w:pPr>
      <w:r>
        <w:rPr>
          <w:b/>
          <w:bCs/>
        </w:rPr>
        <w:t>РАССМОТРЕНИЕ ДОКЛАДОВ, ПРЕДСТАВЛЯЕМЫХ ГОСУДАРСТВАМИ-УЧАСТНИКАМИ В СООТВЕТСТВИИ СО СТАТЬЕЙ 9 КОНВЕНЦИИ</w:t>
      </w:r>
    </w:p>
    <w:p w:rsidR="00000000" w:rsidRDefault="00000000">
      <w:pPr>
        <w:jc w:val="center"/>
        <w:rPr>
          <w:b/>
          <w:bCs/>
        </w:rPr>
      </w:pPr>
    </w:p>
    <w:p w:rsidR="00000000" w:rsidRDefault="00000000">
      <w:pPr>
        <w:jc w:val="center"/>
        <w:rPr>
          <w:b/>
          <w:bCs/>
        </w:rPr>
      </w:pPr>
      <w:r>
        <w:rPr>
          <w:b/>
          <w:bCs/>
        </w:rPr>
        <w:t>Девятнадцатые периодические доклады государств-участников,</w:t>
      </w:r>
    </w:p>
    <w:p w:rsidR="00000000" w:rsidRDefault="00000000">
      <w:pPr>
        <w:jc w:val="center"/>
        <w:rPr>
          <w:b/>
          <w:bCs/>
        </w:rPr>
      </w:pPr>
      <w:r>
        <w:rPr>
          <w:b/>
          <w:bCs/>
        </w:rPr>
        <w:t>подлежащие представлению в 2006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rPr>
          <w:b/>
          <w:bCs/>
        </w:rPr>
      </w:pPr>
    </w:p>
    <w:p w:rsidR="00000000" w:rsidRDefault="00000000">
      <w:pPr>
        <w:jc w:val="center"/>
        <w:rPr>
          <w:b/>
          <w:bCs/>
        </w:rPr>
      </w:pPr>
      <w:r>
        <w:rPr>
          <w:b/>
          <w:bCs/>
        </w:rPr>
        <w:t>ИНДИЯ</w:t>
      </w:r>
      <w:r>
        <w:rPr>
          <w:rStyle w:val="FootnoteReference"/>
          <w:b w:val="0"/>
          <w:bCs/>
          <w:vertAlign w:val="baseline"/>
        </w:rPr>
        <w:footnoteReference w:customMarkFollows="1" w:id="1"/>
        <w:t>*</w:t>
      </w:r>
      <w:r>
        <w:rPr>
          <w:b/>
          <w:bCs/>
        </w:rPr>
        <w:t xml:space="preserve">  </w:t>
      </w:r>
      <w:r>
        <w:rPr>
          <w:rStyle w:val="FootnoteReference"/>
          <w:b w:val="0"/>
          <w:bCs/>
          <w:vertAlign w:val="baseline"/>
        </w:rPr>
        <w:footnoteReference w:customMarkFollows="1" w:id="2"/>
        <w:t>**</w:t>
      </w:r>
    </w:p>
    <w:p w:rsidR="00000000" w:rsidRDefault="00000000">
      <w:pPr>
        <w:jc w:val="center"/>
      </w:pPr>
    </w:p>
    <w:p w:rsidR="00000000" w:rsidRDefault="00000000">
      <w:pPr>
        <w:jc w:val="right"/>
      </w:pPr>
      <w:r>
        <w:t>[26 января 2006 года]</w:t>
      </w:r>
    </w:p>
    <w:p w:rsidR="00000000" w:rsidRDefault="00000000">
      <w:pPr>
        <w:jc w:val="right"/>
      </w:pPr>
    </w:p>
    <w:p w:rsidR="00000000" w:rsidRDefault="00000000">
      <w:pPr>
        <w:jc w:val="center"/>
        <w:rPr>
          <w:b/>
          <w:bCs/>
          <w:szCs w:val="28"/>
        </w:rPr>
      </w:pPr>
      <w:r>
        <w:br w:type="page"/>
      </w:r>
      <w:r>
        <w:rPr>
          <w:b/>
          <w:bCs/>
          <w:szCs w:val="28"/>
        </w:rPr>
        <w:t>СОДЕРЖАНИЕ</w:t>
      </w:r>
    </w:p>
    <w:p w:rsidR="00000000" w:rsidRDefault="00000000">
      <w:pPr>
        <w:jc w:val="center"/>
        <w:rPr>
          <w:szCs w:val="28"/>
        </w:rPr>
      </w:pPr>
    </w:p>
    <w:p w:rsidR="00000000" w:rsidRDefault="00000000">
      <w:pPr>
        <w:tabs>
          <w:tab w:val="clear" w:pos="6237"/>
          <w:tab w:val="left" w:pos="567"/>
          <w:tab w:val="left" w:pos="1134"/>
          <w:tab w:val="left" w:pos="1701"/>
          <w:tab w:val="left" w:pos="2268"/>
          <w:tab w:val="center" w:pos="8222"/>
          <w:tab w:val="center" w:pos="9122"/>
        </w:tabs>
        <w:rPr>
          <w:szCs w:val="28"/>
        </w:rPr>
      </w:pPr>
      <w:r>
        <w:rPr>
          <w:szCs w:val="28"/>
        </w:rPr>
        <w:tab/>
      </w:r>
      <w:r>
        <w:rPr>
          <w:szCs w:val="28"/>
        </w:rPr>
        <w:tab/>
      </w:r>
      <w:r>
        <w:rPr>
          <w:szCs w:val="28"/>
        </w:rPr>
        <w:tab/>
      </w:r>
      <w:r>
        <w:rPr>
          <w:szCs w:val="28"/>
        </w:rPr>
        <w:tab/>
      </w:r>
      <w:r>
        <w:rPr>
          <w:szCs w:val="28"/>
        </w:rPr>
        <w:tab/>
      </w:r>
      <w:r>
        <w:rPr>
          <w:i/>
          <w:iCs/>
          <w:szCs w:val="28"/>
        </w:rPr>
        <w:t>Пункты</w:t>
      </w:r>
      <w:r>
        <w:rPr>
          <w:szCs w:val="28"/>
        </w:rPr>
        <w:tab/>
      </w:r>
      <w:r>
        <w:rPr>
          <w:i/>
          <w:iCs/>
          <w:szCs w:val="28"/>
        </w:rPr>
        <w:t>Стр</w:t>
      </w:r>
      <w:r>
        <w:rPr>
          <w:szCs w:val="28"/>
        </w:rPr>
        <w:t>.</w:t>
      </w:r>
    </w:p>
    <w:p w:rsidR="00000000" w:rsidRDefault="00000000">
      <w:pPr>
        <w:tabs>
          <w:tab w:val="clear" w:pos="6237"/>
          <w:tab w:val="left" w:pos="567"/>
          <w:tab w:val="left" w:pos="1134"/>
          <w:tab w:val="left" w:pos="1701"/>
          <w:tab w:val="left" w:pos="2268"/>
          <w:tab w:val="right" w:leader="dot" w:pos="7172"/>
          <w:tab w:val="center" w:pos="8222"/>
          <w:tab w:val="center" w:pos="9122"/>
        </w:tabs>
        <w:rPr>
          <w:szCs w:val="28"/>
        </w:rPr>
      </w:pPr>
    </w:p>
    <w:p w:rsidR="00000000" w:rsidRDefault="00000000">
      <w:pPr>
        <w:tabs>
          <w:tab w:val="clear" w:pos="1701"/>
          <w:tab w:val="clear" w:pos="2268"/>
          <w:tab w:val="clear" w:pos="6237"/>
          <w:tab w:val="left" w:pos="567"/>
          <w:tab w:val="left" w:pos="1134"/>
          <w:tab w:val="right" w:leader="dot" w:pos="7655"/>
          <w:tab w:val="center" w:pos="8222"/>
          <w:tab w:val="center" w:pos="9072"/>
        </w:tabs>
        <w:spacing w:line="240" w:lineRule="auto"/>
        <w:rPr>
          <w:szCs w:val="28"/>
          <w:lang w:val="en-US"/>
        </w:rPr>
      </w:pPr>
      <w:r>
        <w:rPr>
          <w:szCs w:val="28"/>
        </w:rPr>
        <w:t>Вступление</w:t>
      </w:r>
      <w:r>
        <w:rPr>
          <w:szCs w:val="28"/>
        </w:rPr>
        <w:tab/>
      </w:r>
      <w:r>
        <w:rPr>
          <w:szCs w:val="28"/>
        </w:rPr>
        <w:tab/>
        <w:t>1 - 2</w:t>
      </w:r>
      <w:r>
        <w:rPr>
          <w:szCs w:val="28"/>
        </w:rPr>
        <w:tab/>
      </w:r>
      <w:r>
        <w:rPr>
          <w:szCs w:val="28"/>
          <w:lang w:val="en-US"/>
        </w:rPr>
        <w:t>5</w:t>
      </w:r>
    </w:p>
    <w:p w:rsidR="00000000" w:rsidRDefault="00000000">
      <w:pPr>
        <w:tabs>
          <w:tab w:val="clear" w:pos="1701"/>
          <w:tab w:val="clear" w:pos="2268"/>
          <w:tab w:val="clear" w:pos="6237"/>
          <w:tab w:val="left" w:pos="567"/>
          <w:tab w:val="left" w:pos="1134"/>
          <w:tab w:val="right" w:leader="dot" w:pos="7655"/>
          <w:tab w:val="center" w:pos="8222"/>
          <w:tab w:val="center" w:pos="9072"/>
        </w:tabs>
        <w:spacing w:line="240" w:lineRule="auto"/>
        <w:rPr>
          <w:szCs w:val="28"/>
        </w:rPr>
      </w:pPr>
    </w:p>
    <w:p w:rsidR="00000000" w:rsidRDefault="00000000">
      <w:pPr>
        <w:tabs>
          <w:tab w:val="clear" w:pos="1701"/>
          <w:tab w:val="clear" w:pos="2268"/>
          <w:tab w:val="clear" w:pos="6237"/>
          <w:tab w:val="left" w:pos="567"/>
          <w:tab w:val="left" w:pos="1134"/>
          <w:tab w:val="right" w:leader="dot" w:pos="7655"/>
          <w:tab w:val="center" w:pos="8222"/>
          <w:tab w:val="center" w:pos="9072"/>
        </w:tabs>
        <w:spacing w:line="240" w:lineRule="auto"/>
        <w:rPr>
          <w:szCs w:val="28"/>
          <w:lang w:val="en-US"/>
        </w:rPr>
      </w:pPr>
      <w:r>
        <w:rPr>
          <w:szCs w:val="28"/>
        </w:rPr>
        <w:t>Часть 1.  ОБЩАЯ ИНФОРМАЦИЯ</w:t>
      </w:r>
      <w:r>
        <w:rPr>
          <w:szCs w:val="28"/>
        </w:rPr>
        <w:tab/>
      </w:r>
      <w:r>
        <w:rPr>
          <w:szCs w:val="28"/>
        </w:rPr>
        <w:tab/>
        <w:t xml:space="preserve">  3 - 43</w:t>
      </w:r>
      <w:r>
        <w:rPr>
          <w:szCs w:val="28"/>
        </w:rPr>
        <w:tab/>
      </w:r>
      <w:r>
        <w:rPr>
          <w:szCs w:val="28"/>
          <w:lang w:val="en-US"/>
        </w:rPr>
        <w:t>5</w:t>
      </w:r>
    </w:p>
    <w:p w:rsidR="00000000" w:rsidRDefault="00000000">
      <w:pPr>
        <w:tabs>
          <w:tab w:val="clear" w:pos="1701"/>
          <w:tab w:val="clear" w:pos="2268"/>
          <w:tab w:val="clear" w:pos="6237"/>
          <w:tab w:val="left" w:pos="567"/>
          <w:tab w:val="left" w:pos="1134"/>
          <w:tab w:val="right" w:leader="dot" w:pos="7655"/>
          <w:tab w:val="center" w:pos="8222"/>
          <w:tab w:val="center" w:pos="9072"/>
        </w:tabs>
        <w:rPr>
          <w:szCs w:val="28"/>
        </w:rPr>
      </w:pPr>
    </w:p>
    <w:p w:rsidR="00000000" w:rsidRDefault="00000000">
      <w:pPr>
        <w:tabs>
          <w:tab w:val="clear" w:pos="1701"/>
          <w:tab w:val="clear" w:pos="2268"/>
          <w:tab w:val="clear" w:pos="6237"/>
          <w:tab w:val="left" w:pos="567"/>
          <w:tab w:val="left" w:pos="1134"/>
          <w:tab w:val="right" w:leader="dot" w:pos="7655"/>
          <w:tab w:val="center" w:pos="8222"/>
          <w:tab w:val="center" w:pos="9072"/>
        </w:tabs>
        <w:ind w:left="567" w:hanging="567"/>
      </w:pPr>
      <w:r>
        <w:tab/>
        <w:t xml:space="preserve">Ответы на заключительные замечания Комитета по </w:t>
      </w:r>
    </w:p>
    <w:p w:rsidR="00000000" w:rsidRDefault="00000000">
      <w:pPr>
        <w:tabs>
          <w:tab w:val="clear" w:pos="1701"/>
          <w:tab w:val="clear" w:pos="2268"/>
          <w:tab w:val="clear" w:pos="6237"/>
          <w:tab w:val="left" w:pos="567"/>
          <w:tab w:val="left" w:pos="1134"/>
          <w:tab w:val="right" w:leader="dot" w:pos="7655"/>
          <w:tab w:val="center" w:pos="8222"/>
          <w:tab w:val="center" w:pos="9072"/>
        </w:tabs>
      </w:pPr>
      <w:r>
        <w:tab/>
        <w:t>ликвидации расовой дискриминации</w:t>
      </w:r>
      <w:r>
        <w:tab/>
      </w:r>
      <w:r>
        <w:tab/>
        <w:t>15 - 19</w:t>
      </w:r>
      <w:r>
        <w:tab/>
        <w:t>8</w:t>
      </w:r>
    </w:p>
    <w:p w:rsidR="00000000" w:rsidRDefault="00000000">
      <w:pPr>
        <w:tabs>
          <w:tab w:val="clear" w:pos="1701"/>
          <w:tab w:val="clear" w:pos="2268"/>
          <w:tab w:val="clear" w:pos="6237"/>
          <w:tab w:val="left" w:pos="567"/>
          <w:tab w:val="left" w:pos="1134"/>
          <w:tab w:val="right" w:leader="dot" w:pos="7655"/>
          <w:tab w:val="center" w:pos="8222"/>
          <w:tab w:val="center" w:pos="9072"/>
        </w:tabs>
        <w:spacing w:line="240" w:lineRule="auto"/>
        <w:rPr>
          <w:szCs w:val="28"/>
        </w:rPr>
      </w:pPr>
    </w:p>
    <w:p w:rsidR="00000000" w:rsidRDefault="00000000">
      <w:pPr>
        <w:tabs>
          <w:tab w:val="clear" w:pos="6237"/>
          <w:tab w:val="left" w:pos="567"/>
          <w:tab w:val="left" w:pos="1134"/>
          <w:tab w:val="left" w:pos="1701"/>
          <w:tab w:val="left" w:pos="2268"/>
          <w:tab w:val="right" w:leader="dot" w:pos="7655"/>
          <w:tab w:val="center" w:pos="8222"/>
          <w:tab w:val="center" w:pos="9072"/>
        </w:tabs>
        <w:spacing w:line="240" w:lineRule="auto"/>
        <w:rPr>
          <w:szCs w:val="28"/>
        </w:rPr>
      </w:pPr>
      <w:r>
        <w:tab/>
        <w:t>Начальное образование, как основное право</w:t>
      </w:r>
      <w:r>
        <w:tab/>
      </w:r>
      <w:r>
        <w:tab/>
        <w:t>20 - 22</w:t>
      </w:r>
      <w:r>
        <w:tab/>
        <w:t>10</w:t>
      </w:r>
    </w:p>
    <w:p w:rsidR="00000000" w:rsidRDefault="00000000">
      <w:pPr>
        <w:tabs>
          <w:tab w:val="clear" w:pos="6237"/>
          <w:tab w:val="left" w:pos="567"/>
          <w:tab w:val="left" w:pos="1134"/>
          <w:tab w:val="left" w:pos="1701"/>
          <w:tab w:val="left" w:pos="2268"/>
          <w:tab w:val="right" w:leader="dot" w:pos="7655"/>
          <w:tab w:val="center" w:pos="8222"/>
          <w:tab w:val="center" w:pos="9072"/>
        </w:tabs>
        <w:spacing w:line="240" w:lineRule="auto"/>
        <w:rPr>
          <w:szCs w:val="28"/>
        </w:rPr>
      </w:pPr>
    </w:p>
    <w:p w:rsidR="00000000" w:rsidRDefault="00000000">
      <w:pPr>
        <w:tabs>
          <w:tab w:val="clear" w:pos="6237"/>
          <w:tab w:val="left" w:pos="567"/>
          <w:tab w:val="left" w:pos="1134"/>
          <w:tab w:val="left" w:pos="1701"/>
          <w:tab w:val="left" w:pos="2268"/>
          <w:tab w:val="right" w:leader="dot" w:pos="7655"/>
          <w:tab w:val="center" w:pos="8222"/>
          <w:tab w:val="center" w:pos="9072"/>
        </w:tabs>
        <w:spacing w:line="240" w:lineRule="auto"/>
        <w:rPr>
          <w:szCs w:val="28"/>
        </w:rPr>
      </w:pPr>
      <w:r>
        <w:rPr>
          <w:szCs w:val="28"/>
        </w:rPr>
        <w:tab/>
        <w:t>Общие стратегии</w:t>
      </w:r>
      <w:r>
        <w:rPr>
          <w:szCs w:val="28"/>
        </w:rPr>
        <w:tab/>
      </w:r>
      <w:r>
        <w:rPr>
          <w:szCs w:val="28"/>
        </w:rPr>
        <w:tab/>
        <w:t>23 - 27</w:t>
      </w:r>
      <w:r>
        <w:rPr>
          <w:szCs w:val="28"/>
        </w:rPr>
        <w:tab/>
        <w:t>11</w:t>
      </w:r>
    </w:p>
    <w:p w:rsidR="00000000" w:rsidRDefault="00000000">
      <w:pPr>
        <w:tabs>
          <w:tab w:val="clear" w:pos="6237"/>
          <w:tab w:val="left" w:pos="567"/>
          <w:tab w:val="left" w:pos="1134"/>
          <w:tab w:val="left" w:pos="1701"/>
          <w:tab w:val="left" w:pos="2268"/>
          <w:tab w:val="right" w:leader="dot" w:pos="7655"/>
          <w:tab w:val="center" w:pos="8222"/>
          <w:tab w:val="center" w:pos="9072"/>
        </w:tabs>
        <w:spacing w:line="240" w:lineRule="auto"/>
        <w:rPr>
          <w:szCs w:val="28"/>
        </w:rPr>
      </w:pPr>
    </w:p>
    <w:p w:rsidR="00000000" w:rsidRDefault="00000000">
      <w:pPr>
        <w:tabs>
          <w:tab w:val="clear" w:pos="6237"/>
          <w:tab w:val="left" w:pos="567"/>
          <w:tab w:val="left" w:pos="1134"/>
          <w:tab w:val="left" w:pos="1701"/>
          <w:tab w:val="left" w:pos="2268"/>
          <w:tab w:val="right" w:leader="dot" w:pos="7655"/>
          <w:tab w:val="center" w:pos="8222"/>
          <w:tab w:val="center" w:pos="9072"/>
        </w:tabs>
        <w:spacing w:line="240" w:lineRule="auto"/>
        <w:rPr>
          <w:szCs w:val="28"/>
        </w:rPr>
      </w:pPr>
      <w:r>
        <w:rPr>
          <w:szCs w:val="28"/>
        </w:rPr>
        <w:tab/>
        <w:t>Местное самоуправление (Панчаяти Радж)</w:t>
      </w:r>
      <w:r>
        <w:rPr>
          <w:szCs w:val="28"/>
        </w:rPr>
        <w:tab/>
      </w:r>
      <w:r>
        <w:rPr>
          <w:szCs w:val="28"/>
        </w:rPr>
        <w:tab/>
        <w:t>28 - 34</w:t>
      </w:r>
      <w:r>
        <w:rPr>
          <w:szCs w:val="28"/>
        </w:rPr>
        <w:tab/>
        <w:t>12</w:t>
      </w:r>
    </w:p>
    <w:p w:rsidR="00000000" w:rsidRDefault="00000000">
      <w:pPr>
        <w:tabs>
          <w:tab w:val="clear" w:pos="6237"/>
          <w:tab w:val="left" w:pos="567"/>
          <w:tab w:val="left" w:pos="1134"/>
          <w:tab w:val="left" w:pos="1701"/>
          <w:tab w:val="left" w:pos="2268"/>
          <w:tab w:val="right" w:leader="dot" w:pos="7655"/>
          <w:tab w:val="center" w:pos="8222"/>
          <w:tab w:val="center" w:pos="9072"/>
        </w:tabs>
        <w:spacing w:line="240" w:lineRule="auto"/>
        <w:rPr>
          <w:szCs w:val="28"/>
        </w:rPr>
      </w:pPr>
    </w:p>
    <w:p w:rsidR="00000000" w:rsidRDefault="00000000">
      <w:pPr>
        <w:tabs>
          <w:tab w:val="clear" w:pos="2268"/>
          <w:tab w:val="clear" w:pos="6237"/>
          <w:tab w:val="left" w:pos="567"/>
          <w:tab w:val="left" w:pos="1134"/>
          <w:tab w:val="left" w:pos="1701"/>
          <w:tab w:val="right" w:leader="dot" w:pos="7655"/>
          <w:tab w:val="center" w:pos="8222"/>
          <w:tab w:val="center" w:pos="9072"/>
        </w:tabs>
        <w:spacing w:line="240" w:lineRule="auto"/>
        <w:rPr>
          <w:szCs w:val="28"/>
        </w:rPr>
      </w:pPr>
      <w:r>
        <w:rPr>
          <w:szCs w:val="28"/>
        </w:rPr>
        <w:tab/>
        <w:t>Право на труд</w:t>
      </w:r>
      <w:r>
        <w:rPr>
          <w:szCs w:val="28"/>
        </w:rPr>
        <w:tab/>
      </w:r>
      <w:r>
        <w:rPr>
          <w:szCs w:val="28"/>
        </w:rPr>
        <w:tab/>
        <w:t>35 - 42</w:t>
      </w:r>
      <w:r>
        <w:rPr>
          <w:szCs w:val="28"/>
        </w:rPr>
        <w:tab/>
        <w:t>14</w:t>
      </w:r>
    </w:p>
    <w:p w:rsidR="00000000" w:rsidRDefault="00000000">
      <w:pPr>
        <w:tabs>
          <w:tab w:val="clear" w:pos="2268"/>
          <w:tab w:val="clear" w:pos="6237"/>
          <w:tab w:val="left" w:pos="567"/>
          <w:tab w:val="left" w:pos="1134"/>
          <w:tab w:val="left" w:pos="1701"/>
          <w:tab w:val="right" w:leader="dot" w:pos="7655"/>
          <w:tab w:val="center" w:pos="8222"/>
          <w:tab w:val="center" w:pos="9072"/>
        </w:tabs>
        <w:spacing w:line="240" w:lineRule="auto"/>
        <w:rPr>
          <w:szCs w:val="28"/>
        </w:rPr>
      </w:pPr>
    </w:p>
    <w:p w:rsidR="00000000" w:rsidRDefault="00000000">
      <w:pPr>
        <w:tabs>
          <w:tab w:val="clear" w:pos="2268"/>
          <w:tab w:val="clear" w:pos="6237"/>
          <w:tab w:val="left" w:pos="567"/>
          <w:tab w:val="left" w:pos="1134"/>
          <w:tab w:val="left" w:pos="1701"/>
          <w:tab w:val="right" w:leader="dot" w:pos="7655"/>
          <w:tab w:val="center" w:pos="8222"/>
          <w:tab w:val="center" w:pos="9072"/>
        </w:tabs>
        <w:spacing w:line="240" w:lineRule="auto"/>
        <w:rPr>
          <w:szCs w:val="28"/>
          <w:lang w:val="en-US"/>
        </w:rPr>
      </w:pPr>
      <w:r>
        <w:rPr>
          <w:szCs w:val="28"/>
        </w:rPr>
        <w:tab/>
        <w:t>Право на информацию</w:t>
      </w:r>
      <w:r>
        <w:rPr>
          <w:szCs w:val="28"/>
        </w:rPr>
        <w:tab/>
      </w:r>
      <w:r>
        <w:rPr>
          <w:szCs w:val="28"/>
        </w:rPr>
        <w:tab/>
        <w:t>43</w:t>
      </w:r>
      <w:r>
        <w:rPr>
          <w:szCs w:val="28"/>
        </w:rPr>
        <w:tab/>
      </w:r>
      <w:r>
        <w:rPr>
          <w:szCs w:val="28"/>
          <w:lang w:val="en-US"/>
        </w:rPr>
        <w:t>16</w:t>
      </w:r>
    </w:p>
    <w:p w:rsidR="00000000" w:rsidRDefault="00000000">
      <w:pPr>
        <w:tabs>
          <w:tab w:val="clear" w:pos="2268"/>
          <w:tab w:val="clear" w:pos="6237"/>
          <w:tab w:val="left" w:pos="567"/>
          <w:tab w:val="left" w:pos="1134"/>
          <w:tab w:val="left" w:pos="1701"/>
          <w:tab w:val="right" w:leader="dot" w:pos="7655"/>
          <w:tab w:val="center" w:pos="8222"/>
          <w:tab w:val="center" w:pos="9072"/>
        </w:tabs>
        <w:spacing w:line="240" w:lineRule="auto"/>
        <w:rPr>
          <w:szCs w:val="28"/>
        </w:rPr>
      </w:pPr>
    </w:p>
    <w:p w:rsidR="00000000" w:rsidRDefault="00000000">
      <w:pPr>
        <w:tabs>
          <w:tab w:val="clear" w:pos="2268"/>
          <w:tab w:val="clear" w:pos="6237"/>
          <w:tab w:val="left" w:pos="567"/>
          <w:tab w:val="left" w:pos="1134"/>
          <w:tab w:val="left" w:pos="1701"/>
          <w:tab w:val="right" w:leader="dot" w:pos="7655"/>
          <w:tab w:val="center" w:pos="8222"/>
          <w:tab w:val="center" w:pos="9072"/>
        </w:tabs>
        <w:spacing w:line="240" w:lineRule="auto"/>
        <w:rPr>
          <w:szCs w:val="28"/>
        </w:rPr>
      </w:pPr>
      <w:r>
        <w:rPr>
          <w:szCs w:val="28"/>
        </w:rPr>
        <w:t>Часть 2.  ВЫПОЛНЕНИЕ СТАТЕЙ 2-7 КОНВЕНЦИИ</w:t>
      </w:r>
      <w:r>
        <w:rPr>
          <w:szCs w:val="28"/>
        </w:rPr>
        <w:tab/>
      </w:r>
      <w:r>
        <w:rPr>
          <w:szCs w:val="28"/>
        </w:rPr>
        <w:tab/>
        <w:t xml:space="preserve">  44 - 167</w:t>
      </w:r>
      <w:r>
        <w:rPr>
          <w:szCs w:val="28"/>
        </w:rPr>
        <w:tab/>
        <w:t>17</w:t>
      </w:r>
    </w:p>
    <w:p w:rsidR="00000000" w:rsidRDefault="00000000">
      <w:pPr>
        <w:tabs>
          <w:tab w:val="clear" w:pos="2268"/>
          <w:tab w:val="clear" w:pos="6237"/>
          <w:tab w:val="left" w:pos="567"/>
          <w:tab w:val="left" w:pos="1134"/>
          <w:tab w:val="left" w:pos="1701"/>
          <w:tab w:val="right" w:leader="dot" w:pos="7655"/>
          <w:tab w:val="center" w:pos="8222"/>
          <w:tab w:val="center" w:pos="9072"/>
        </w:tabs>
        <w:spacing w:line="240" w:lineRule="auto"/>
        <w:rPr>
          <w:szCs w:val="28"/>
        </w:rPr>
      </w:pPr>
    </w:p>
    <w:p w:rsidR="00000000" w:rsidRDefault="00000000">
      <w:pPr>
        <w:tabs>
          <w:tab w:val="clear" w:pos="1134"/>
          <w:tab w:val="clear" w:pos="1701"/>
          <w:tab w:val="clear" w:pos="2268"/>
          <w:tab w:val="clear" w:pos="6237"/>
          <w:tab w:val="left" w:pos="567"/>
          <w:tab w:val="right" w:leader="dot" w:pos="7655"/>
          <w:tab w:val="center" w:pos="8222"/>
          <w:tab w:val="center" w:pos="9072"/>
        </w:tabs>
        <w:spacing w:line="240" w:lineRule="auto"/>
        <w:rPr>
          <w:szCs w:val="28"/>
        </w:rPr>
      </w:pPr>
      <w:r>
        <w:rPr>
          <w:szCs w:val="28"/>
        </w:rPr>
        <w:tab/>
        <w:t>Статья 2</w:t>
      </w:r>
      <w:r>
        <w:rPr>
          <w:szCs w:val="28"/>
        </w:rPr>
        <w:tab/>
      </w:r>
      <w:r>
        <w:rPr>
          <w:szCs w:val="28"/>
        </w:rPr>
        <w:tab/>
        <w:t>44 - 52</w:t>
      </w:r>
      <w:r>
        <w:rPr>
          <w:szCs w:val="28"/>
        </w:rPr>
        <w:tab/>
        <w:t>17</w:t>
      </w:r>
    </w:p>
    <w:p w:rsidR="00000000" w:rsidRDefault="00000000">
      <w:pPr>
        <w:tabs>
          <w:tab w:val="clear" w:pos="1134"/>
          <w:tab w:val="clear" w:pos="1701"/>
          <w:tab w:val="clear" w:pos="2268"/>
          <w:tab w:val="clear" w:pos="6237"/>
          <w:tab w:val="left" w:pos="567"/>
          <w:tab w:val="right" w:leader="dot" w:pos="7655"/>
          <w:tab w:val="center" w:pos="8222"/>
          <w:tab w:val="center" w:pos="9072"/>
        </w:tabs>
        <w:spacing w:line="240" w:lineRule="auto"/>
        <w:rPr>
          <w:szCs w:val="28"/>
        </w:rPr>
      </w:pPr>
    </w:p>
    <w:p w:rsidR="00000000" w:rsidRDefault="00000000">
      <w:pPr>
        <w:tabs>
          <w:tab w:val="clear" w:pos="1134"/>
          <w:tab w:val="clear" w:pos="1701"/>
          <w:tab w:val="clear" w:pos="2268"/>
          <w:tab w:val="clear" w:pos="6237"/>
          <w:tab w:val="left" w:pos="567"/>
          <w:tab w:val="right" w:leader="dot" w:pos="7655"/>
          <w:tab w:val="center" w:pos="8222"/>
          <w:tab w:val="center" w:pos="9072"/>
        </w:tabs>
        <w:spacing w:line="240" w:lineRule="auto"/>
        <w:rPr>
          <w:szCs w:val="28"/>
        </w:rPr>
      </w:pPr>
      <w:r>
        <w:rPr>
          <w:szCs w:val="28"/>
        </w:rPr>
        <w:tab/>
        <w:t>Статья 3</w:t>
      </w:r>
      <w:r>
        <w:rPr>
          <w:szCs w:val="28"/>
        </w:rPr>
        <w:tab/>
      </w:r>
      <w:r>
        <w:rPr>
          <w:szCs w:val="28"/>
        </w:rPr>
        <w:tab/>
        <w:t>53 - 56</w:t>
      </w:r>
      <w:r>
        <w:rPr>
          <w:szCs w:val="28"/>
        </w:rPr>
        <w:tab/>
        <w:t>19</w:t>
      </w:r>
    </w:p>
    <w:p w:rsidR="00000000" w:rsidRDefault="00000000">
      <w:pPr>
        <w:tabs>
          <w:tab w:val="clear" w:pos="1134"/>
          <w:tab w:val="clear" w:pos="1701"/>
          <w:tab w:val="clear" w:pos="2268"/>
          <w:tab w:val="clear" w:pos="6237"/>
          <w:tab w:val="left" w:pos="567"/>
          <w:tab w:val="right" w:leader="dot" w:pos="7655"/>
          <w:tab w:val="center" w:pos="8222"/>
          <w:tab w:val="center" w:pos="9072"/>
        </w:tabs>
        <w:spacing w:line="240" w:lineRule="auto"/>
        <w:rPr>
          <w:szCs w:val="28"/>
        </w:rPr>
      </w:pPr>
    </w:p>
    <w:p w:rsidR="00000000" w:rsidRDefault="00000000">
      <w:pPr>
        <w:tabs>
          <w:tab w:val="clear" w:pos="1134"/>
          <w:tab w:val="clear" w:pos="1701"/>
          <w:tab w:val="clear" w:pos="2268"/>
          <w:tab w:val="clear" w:pos="6237"/>
          <w:tab w:val="left" w:pos="567"/>
          <w:tab w:val="right" w:leader="dot" w:pos="7655"/>
          <w:tab w:val="center" w:pos="8222"/>
          <w:tab w:val="center" w:pos="9072"/>
        </w:tabs>
        <w:spacing w:line="240" w:lineRule="auto"/>
        <w:rPr>
          <w:szCs w:val="28"/>
        </w:rPr>
      </w:pPr>
      <w:r>
        <w:rPr>
          <w:szCs w:val="28"/>
        </w:rPr>
        <w:tab/>
        <w:t>Статья 4</w:t>
      </w:r>
      <w:r>
        <w:rPr>
          <w:szCs w:val="28"/>
        </w:rPr>
        <w:tab/>
      </w:r>
      <w:r>
        <w:rPr>
          <w:szCs w:val="28"/>
        </w:rPr>
        <w:tab/>
        <w:t>57 - 63</w:t>
      </w:r>
      <w:r>
        <w:rPr>
          <w:szCs w:val="28"/>
        </w:rPr>
        <w:tab/>
        <w:t>20</w:t>
      </w:r>
    </w:p>
    <w:p w:rsidR="00000000" w:rsidRDefault="00000000">
      <w:pPr>
        <w:tabs>
          <w:tab w:val="clear" w:pos="1134"/>
          <w:tab w:val="clear" w:pos="1701"/>
          <w:tab w:val="clear" w:pos="2268"/>
          <w:tab w:val="clear" w:pos="6237"/>
          <w:tab w:val="left" w:pos="567"/>
          <w:tab w:val="right" w:leader="dot" w:pos="7655"/>
          <w:tab w:val="center" w:pos="8222"/>
          <w:tab w:val="center" w:pos="9072"/>
        </w:tabs>
        <w:spacing w:line="240" w:lineRule="auto"/>
        <w:rPr>
          <w:szCs w:val="28"/>
        </w:rPr>
      </w:pPr>
    </w:p>
    <w:p w:rsidR="00000000" w:rsidRDefault="00000000">
      <w:pPr>
        <w:tabs>
          <w:tab w:val="clear" w:pos="1134"/>
          <w:tab w:val="clear" w:pos="1701"/>
          <w:tab w:val="clear" w:pos="2268"/>
          <w:tab w:val="clear" w:pos="6237"/>
          <w:tab w:val="left" w:pos="567"/>
          <w:tab w:val="right" w:leader="dot" w:pos="7655"/>
          <w:tab w:val="center" w:pos="8222"/>
          <w:tab w:val="center" w:pos="9072"/>
        </w:tabs>
        <w:spacing w:line="240" w:lineRule="auto"/>
        <w:rPr>
          <w:szCs w:val="28"/>
        </w:rPr>
      </w:pPr>
      <w:r>
        <w:rPr>
          <w:szCs w:val="28"/>
        </w:rPr>
        <w:tab/>
        <w:t>Статья 5</w:t>
      </w:r>
      <w:r>
        <w:rPr>
          <w:szCs w:val="28"/>
        </w:rPr>
        <w:tab/>
      </w:r>
      <w:r>
        <w:rPr>
          <w:szCs w:val="28"/>
        </w:rPr>
        <w:tab/>
        <w:t xml:space="preserve">  64 - 135</w:t>
      </w:r>
      <w:r>
        <w:rPr>
          <w:szCs w:val="28"/>
        </w:rPr>
        <w:tab/>
        <w:t>23</w:t>
      </w:r>
    </w:p>
    <w:p w:rsidR="00000000" w:rsidRDefault="00000000">
      <w:pPr>
        <w:tabs>
          <w:tab w:val="clear" w:pos="1701"/>
          <w:tab w:val="clear" w:pos="2268"/>
          <w:tab w:val="clear" w:pos="6237"/>
          <w:tab w:val="left" w:pos="567"/>
          <w:tab w:val="left" w:pos="1134"/>
          <w:tab w:val="right" w:leader="dot" w:pos="7655"/>
          <w:tab w:val="center" w:pos="8222"/>
          <w:tab w:val="center" w:pos="9072"/>
        </w:tabs>
        <w:spacing w:line="240" w:lineRule="auto"/>
        <w:rPr>
          <w:szCs w:val="28"/>
        </w:rPr>
      </w:pPr>
    </w:p>
    <w:p w:rsidR="00000000" w:rsidRDefault="00000000">
      <w:pPr>
        <w:tabs>
          <w:tab w:val="clear" w:pos="1701"/>
          <w:tab w:val="clear" w:pos="2268"/>
          <w:tab w:val="clear" w:pos="6237"/>
          <w:tab w:val="left" w:pos="567"/>
          <w:tab w:val="left" w:pos="1134"/>
          <w:tab w:val="right" w:leader="dot" w:pos="7655"/>
          <w:tab w:val="center" w:pos="8222"/>
          <w:tab w:val="center" w:pos="9072"/>
        </w:tabs>
      </w:pPr>
      <w:r>
        <w:rPr>
          <w:szCs w:val="28"/>
        </w:rPr>
        <w:tab/>
      </w:r>
      <w:r>
        <w:rPr>
          <w:szCs w:val="28"/>
        </w:rPr>
        <w:tab/>
      </w:r>
      <w:r>
        <w:t xml:space="preserve">Статья 5 (а):  Право на равенство перед судом и всеми </w:t>
      </w:r>
    </w:p>
    <w:p w:rsidR="00000000" w:rsidRDefault="00000000">
      <w:pPr>
        <w:tabs>
          <w:tab w:val="clear" w:pos="1701"/>
          <w:tab w:val="clear" w:pos="2268"/>
          <w:tab w:val="clear" w:pos="6237"/>
          <w:tab w:val="left" w:pos="567"/>
          <w:tab w:val="left" w:pos="1134"/>
          <w:tab w:val="right" w:leader="dot" w:pos="7655"/>
          <w:tab w:val="center" w:pos="8222"/>
          <w:tab w:val="center" w:pos="9072"/>
        </w:tabs>
        <w:rPr>
          <w:szCs w:val="28"/>
        </w:rPr>
      </w:pPr>
      <w:r>
        <w:tab/>
      </w:r>
      <w:r>
        <w:tab/>
        <w:t>другими органами, отправляющими правосудие</w:t>
      </w:r>
      <w:r>
        <w:tab/>
      </w:r>
      <w:r>
        <w:tab/>
        <w:t>67 - 68</w:t>
      </w:r>
      <w:r>
        <w:tab/>
        <w:t>24</w:t>
      </w:r>
    </w:p>
    <w:p w:rsidR="00000000" w:rsidRDefault="00000000">
      <w:pPr>
        <w:tabs>
          <w:tab w:val="clear" w:pos="1701"/>
          <w:tab w:val="clear" w:pos="2268"/>
          <w:tab w:val="clear" w:pos="6237"/>
          <w:tab w:val="left" w:pos="567"/>
          <w:tab w:val="left" w:pos="1134"/>
          <w:tab w:val="right" w:leader="dot" w:pos="7655"/>
          <w:tab w:val="center" w:pos="8222"/>
          <w:tab w:val="center" w:pos="9072"/>
        </w:tabs>
        <w:rPr>
          <w:sz w:val="20"/>
          <w:szCs w:val="28"/>
        </w:rPr>
      </w:pPr>
    </w:p>
    <w:p w:rsidR="00000000" w:rsidRDefault="00000000">
      <w:pPr>
        <w:tabs>
          <w:tab w:val="clear" w:pos="1701"/>
          <w:tab w:val="clear" w:pos="6237"/>
          <w:tab w:val="left" w:pos="567"/>
          <w:tab w:val="left" w:pos="1134"/>
          <w:tab w:val="left" w:pos="2268"/>
          <w:tab w:val="right" w:leader="dot" w:pos="7655"/>
          <w:tab w:val="center" w:pos="8222"/>
          <w:tab w:val="center" w:pos="9072"/>
        </w:tabs>
      </w:pPr>
      <w:r>
        <w:rPr>
          <w:szCs w:val="28"/>
        </w:rPr>
        <w:tab/>
      </w:r>
      <w:r>
        <w:rPr>
          <w:szCs w:val="28"/>
        </w:rPr>
        <w:tab/>
      </w:r>
      <w:r>
        <w:t>Статья 5 (</w:t>
      </w:r>
      <w:r>
        <w:rPr>
          <w:lang w:val="en-US"/>
        </w:rPr>
        <w:t>b</w:t>
      </w:r>
      <w:r>
        <w:t xml:space="preserve">):  Право на личную безопасность и защиту со </w:t>
      </w:r>
    </w:p>
    <w:p w:rsidR="00000000" w:rsidRDefault="00000000">
      <w:pPr>
        <w:tabs>
          <w:tab w:val="clear" w:pos="1701"/>
          <w:tab w:val="clear" w:pos="6237"/>
          <w:tab w:val="left" w:pos="567"/>
          <w:tab w:val="left" w:pos="1134"/>
          <w:tab w:val="left" w:pos="2268"/>
          <w:tab w:val="right" w:leader="dot" w:pos="7655"/>
          <w:tab w:val="center" w:pos="8222"/>
          <w:tab w:val="center" w:pos="9072"/>
        </w:tabs>
      </w:pPr>
      <w:r>
        <w:tab/>
      </w:r>
      <w:r>
        <w:tab/>
        <w:t xml:space="preserve">стороны государства от насилия или телесных повреждений, </w:t>
      </w:r>
    </w:p>
    <w:p w:rsidR="00000000" w:rsidRDefault="00000000">
      <w:pPr>
        <w:tabs>
          <w:tab w:val="clear" w:pos="1701"/>
          <w:tab w:val="clear" w:pos="6237"/>
          <w:tab w:val="left" w:pos="567"/>
          <w:tab w:val="left" w:pos="1134"/>
          <w:tab w:val="left" w:pos="2268"/>
          <w:tab w:val="right" w:leader="dot" w:pos="7655"/>
          <w:tab w:val="center" w:pos="8222"/>
          <w:tab w:val="center" w:pos="9072"/>
        </w:tabs>
      </w:pPr>
      <w:r>
        <w:tab/>
      </w:r>
      <w:r>
        <w:tab/>
        <w:t xml:space="preserve">причиняемых как правительственными должностными </w:t>
      </w:r>
    </w:p>
    <w:p w:rsidR="00000000" w:rsidRDefault="00000000">
      <w:pPr>
        <w:tabs>
          <w:tab w:val="clear" w:pos="1701"/>
          <w:tab w:val="clear" w:pos="6237"/>
          <w:tab w:val="left" w:pos="567"/>
          <w:tab w:val="left" w:pos="1134"/>
          <w:tab w:val="left" w:pos="2268"/>
          <w:tab w:val="right" w:leader="dot" w:pos="7655"/>
          <w:tab w:val="center" w:pos="8222"/>
          <w:tab w:val="center" w:pos="9072"/>
        </w:tabs>
      </w:pPr>
      <w:r>
        <w:tab/>
      </w:r>
      <w:r>
        <w:tab/>
        <w:t>лицами, так и какими бы то ни было отдельными лицами,</w:t>
      </w:r>
    </w:p>
    <w:p w:rsidR="00000000" w:rsidRDefault="00000000">
      <w:pPr>
        <w:tabs>
          <w:tab w:val="clear" w:pos="1701"/>
          <w:tab w:val="clear" w:pos="6237"/>
          <w:tab w:val="left" w:pos="567"/>
          <w:tab w:val="left" w:pos="1134"/>
          <w:tab w:val="left" w:pos="2268"/>
          <w:tab w:val="right" w:leader="dot" w:pos="7655"/>
          <w:tab w:val="center" w:pos="8222"/>
          <w:tab w:val="center" w:pos="9072"/>
        </w:tabs>
      </w:pPr>
      <w:r>
        <w:tab/>
      </w:r>
      <w:r>
        <w:tab/>
        <w:t>группами или учреждениями</w:t>
      </w:r>
      <w:r>
        <w:tab/>
      </w:r>
      <w:r>
        <w:tab/>
        <w:t>69</w:t>
      </w:r>
      <w:r>
        <w:tab/>
        <w:t>24</w:t>
      </w:r>
    </w:p>
    <w:p w:rsidR="00000000" w:rsidRDefault="00000000">
      <w:pPr>
        <w:tabs>
          <w:tab w:val="clear" w:pos="1701"/>
          <w:tab w:val="clear" w:pos="2268"/>
          <w:tab w:val="clear" w:pos="6237"/>
          <w:tab w:val="left" w:pos="567"/>
          <w:tab w:val="left" w:pos="1134"/>
          <w:tab w:val="right" w:leader="dot" w:pos="7655"/>
          <w:tab w:val="center" w:pos="8222"/>
          <w:tab w:val="center" w:pos="9072"/>
        </w:tabs>
        <w:rPr>
          <w:sz w:val="20"/>
          <w:szCs w:val="28"/>
        </w:rPr>
      </w:pPr>
    </w:p>
    <w:p w:rsidR="00000000" w:rsidRDefault="00000000">
      <w:pPr>
        <w:tabs>
          <w:tab w:val="clear" w:pos="1701"/>
          <w:tab w:val="clear" w:pos="2268"/>
          <w:tab w:val="clear" w:pos="6237"/>
          <w:tab w:val="left" w:pos="567"/>
          <w:tab w:val="left" w:pos="1134"/>
          <w:tab w:val="right" w:leader="dot" w:pos="7655"/>
          <w:tab w:val="center" w:pos="8222"/>
          <w:tab w:val="center" w:pos="9072"/>
        </w:tabs>
      </w:pPr>
      <w:r>
        <w:tab/>
      </w:r>
      <w:r>
        <w:tab/>
        <w:t>Статья 5 (с):  Право участвовать в выборах</w:t>
      </w:r>
      <w:r>
        <w:tab/>
      </w:r>
      <w:r>
        <w:tab/>
        <w:t>70 - 76</w:t>
      </w:r>
      <w:r>
        <w:tab/>
        <w:t>24</w:t>
      </w:r>
    </w:p>
    <w:p w:rsidR="00000000" w:rsidRDefault="00000000">
      <w:pPr>
        <w:tabs>
          <w:tab w:val="clear" w:pos="1701"/>
          <w:tab w:val="clear" w:pos="2268"/>
          <w:tab w:val="clear" w:pos="6237"/>
          <w:tab w:val="left" w:pos="567"/>
          <w:tab w:val="left" w:pos="1134"/>
          <w:tab w:val="right" w:leader="dot" w:pos="7655"/>
          <w:tab w:val="center" w:pos="8222"/>
          <w:tab w:val="center" w:pos="9072"/>
        </w:tabs>
        <w:rPr>
          <w:sz w:val="20"/>
          <w:szCs w:val="28"/>
        </w:rPr>
      </w:pPr>
    </w:p>
    <w:p w:rsidR="00000000" w:rsidRDefault="00000000">
      <w:pPr>
        <w:tabs>
          <w:tab w:val="right" w:leader="dot" w:pos="7655"/>
          <w:tab w:val="center" w:pos="8222"/>
          <w:tab w:val="center" w:pos="9072"/>
        </w:tabs>
        <w:spacing w:line="240" w:lineRule="auto"/>
        <w:jc w:val="center"/>
        <w:rPr>
          <w:b/>
          <w:bCs/>
          <w:szCs w:val="28"/>
        </w:rPr>
      </w:pPr>
      <w:r>
        <w:rPr>
          <w:bCs/>
        </w:rPr>
        <w:br w:type="page"/>
      </w:r>
      <w:r>
        <w:rPr>
          <w:b/>
          <w:bCs/>
          <w:szCs w:val="28"/>
        </w:rPr>
        <w:t>СОДЕРЖАНИЕ (</w:t>
      </w:r>
      <w:r>
        <w:rPr>
          <w:b/>
          <w:bCs/>
          <w:i/>
          <w:iCs/>
          <w:szCs w:val="28"/>
        </w:rPr>
        <w:t>продолжение</w:t>
      </w:r>
      <w:r>
        <w:rPr>
          <w:b/>
          <w:bCs/>
          <w:szCs w:val="28"/>
        </w:rPr>
        <w:t>)</w:t>
      </w:r>
    </w:p>
    <w:p w:rsidR="00000000" w:rsidRDefault="00000000">
      <w:pPr>
        <w:tabs>
          <w:tab w:val="right" w:leader="dot" w:pos="7655"/>
          <w:tab w:val="center" w:pos="8222"/>
          <w:tab w:val="center" w:pos="9072"/>
        </w:tabs>
        <w:spacing w:line="240" w:lineRule="auto"/>
        <w:jc w:val="center"/>
        <w:rPr>
          <w:szCs w:val="28"/>
        </w:rPr>
      </w:pPr>
    </w:p>
    <w:p w:rsidR="00000000" w:rsidRDefault="00000000">
      <w:pPr>
        <w:tabs>
          <w:tab w:val="clear" w:pos="6237"/>
          <w:tab w:val="left" w:pos="567"/>
          <w:tab w:val="left" w:pos="1134"/>
          <w:tab w:val="left" w:pos="1701"/>
          <w:tab w:val="left" w:pos="2268"/>
          <w:tab w:val="center" w:pos="8222"/>
          <w:tab w:val="center" w:pos="9072"/>
          <w:tab w:val="center" w:pos="9122"/>
        </w:tabs>
        <w:spacing w:line="240" w:lineRule="auto"/>
        <w:rPr>
          <w:szCs w:val="28"/>
        </w:rPr>
      </w:pPr>
      <w:r>
        <w:rPr>
          <w:szCs w:val="28"/>
        </w:rPr>
        <w:tab/>
      </w:r>
      <w:r>
        <w:rPr>
          <w:szCs w:val="28"/>
        </w:rPr>
        <w:tab/>
      </w:r>
      <w:r>
        <w:rPr>
          <w:szCs w:val="28"/>
        </w:rPr>
        <w:tab/>
      </w:r>
      <w:r>
        <w:rPr>
          <w:szCs w:val="28"/>
        </w:rPr>
        <w:tab/>
      </w:r>
      <w:r>
        <w:rPr>
          <w:szCs w:val="28"/>
        </w:rPr>
        <w:tab/>
      </w:r>
      <w:r>
        <w:rPr>
          <w:i/>
          <w:iCs/>
          <w:szCs w:val="28"/>
        </w:rPr>
        <w:t>Пункты</w:t>
      </w:r>
      <w:r>
        <w:rPr>
          <w:szCs w:val="28"/>
        </w:rPr>
        <w:tab/>
      </w:r>
      <w:r>
        <w:rPr>
          <w:i/>
          <w:iCs/>
          <w:szCs w:val="28"/>
        </w:rPr>
        <w:t>Стр</w:t>
      </w:r>
      <w:r>
        <w:rPr>
          <w:szCs w:val="28"/>
        </w:rPr>
        <w:t>.</w:t>
      </w:r>
    </w:p>
    <w:p w:rsidR="00000000" w:rsidRDefault="00000000">
      <w:pPr>
        <w:tabs>
          <w:tab w:val="clear" w:pos="1701"/>
          <w:tab w:val="clear" w:pos="2268"/>
          <w:tab w:val="clear" w:pos="6237"/>
          <w:tab w:val="left" w:pos="567"/>
          <w:tab w:val="left" w:pos="1134"/>
          <w:tab w:val="center" w:pos="8222"/>
          <w:tab w:val="center" w:pos="9072"/>
        </w:tabs>
        <w:spacing w:line="240" w:lineRule="auto"/>
        <w:rPr>
          <w:bCs/>
        </w:rPr>
      </w:pP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r>
        <w:rPr>
          <w:bCs/>
        </w:rPr>
        <w:tab/>
      </w:r>
      <w:r>
        <w:rPr>
          <w:bCs/>
        </w:rPr>
        <w:tab/>
        <w:t>Статья 5 (</w:t>
      </w:r>
      <w:r>
        <w:rPr>
          <w:bCs/>
          <w:lang w:val="en-US"/>
        </w:rPr>
        <w:t>d</w:t>
      </w:r>
      <w:r>
        <w:rPr>
          <w:bCs/>
        </w:rPr>
        <w:t>) (</w:t>
      </w:r>
      <w:r>
        <w:rPr>
          <w:bCs/>
          <w:lang w:val="en-US"/>
        </w:rPr>
        <w:t>i</w:t>
      </w:r>
      <w:r>
        <w:rPr>
          <w:bCs/>
        </w:rPr>
        <w:t>) и (</w:t>
      </w:r>
      <w:r>
        <w:rPr>
          <w:bCs/>
          <w:lang w:val="en-US"/>
        </w:rPr>
        <w:t>ii</w:t>
      </w:r>
      <w:r>
        <w:rPr>
          <w:bCs/>
        </w:rPr>
        <w:t xml:space="preserve">):  Право на свободу передвижения и </w:t>
      </w: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r>
        <w:rPr>
          <w:bCs/>
        </w:rPr>
        <w:tab/>
      </w:r>
      <w:r>
        <w:rPr>
          <w:bCs/>
        </w:rPr>
        <w:tab/>
        <w:t xml:space="preserve">проживания в пределах государства и право покидать </w:t>
      </w: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r>
        <w:rPr>
          <w:bCs/>
        </w:rPr>
        <w:tab/>
      </w:r>
      <w:r>
        <w:rPr>
          <w:bCs/>
        </w:rPr>
        <w:tab/>
        <w:t xml:space="preserve">любую страну, включая свою собственную, </w:t>
      </w: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r>
        <w:rPr>
          <w:bCs/>
        </w:rPr>
        <w:tab/>
      </w:r>
      <w:r>
        <w:rPr>
          <w:bCs/>
        </w:rPr>
        <w:tab/>
        <w:t>и возвращаться в свою страну</w:t>
      </w:r>
      <w:r>
        <w:rPr>
          <w:bCs/>
        </w:rPr>
        <w:tab/>
      </w:r>
      <w:r>
        <w:rPr>
          <w:bCs/>
        </w:rPr>
        <w:tab/>
        <w:t>77 - 78</w:t>
      </w:r>
      <w:r>
        <w:rPr>
          <w:bCs/>
        </w:rPr>
        <w:tab/>
        <w:t>26</w:t>
      </w: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r>
        <w:rPr>
          <w:bCs/>
        </w:rPr>
        <w:tab/>
      </w:r>
      <w:r>
        <w:rPr>
          <w:bCs/>
        </w:rPr>
        <w:tab/>
        <w:t>Статья 5 (</w:t>
      </w:r>
      <w:r>
        <w:rPr>
          <w:bCs/>
          <w:lang w:val="en-US"/>
        </w:rPr>
        <w:t>d</w:t>
      </w:r>
      <w:r>
        <w:rPr>
          <w:bCs/>
        </w:rPr>
        <w:t>) (</w:t>
      </w:r>
      <w:r>
        <w:rPr>
          <w:bCs/>
          <w:lang w:val="en-US"/>
        </w:rPr>
        <w:t>iii</w:t>
      </w:r>
      <w:r>
        <w:rPr>
          <w:bCs/>
        </w:rPr>
        <w:t>):  Право на гражданство</w:t>
      </w:r>
      <w:r>
        <w:rPr>
          <w:bCs/>
        </w:rPr>
        <w:tab/>
      </w:r>
      <w:r>
        <w:rPr>
          <w:bCs/>
        </w:rPr>
        <w:tab/>
        <w:t>79 - 80</w:t>
      </w:r>
      <w:r>
        <w:rPr>
          <w:bCs/>
        </w:rPr>
        <w:tab/>
        <w:t>26</w:t>
      </w: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r>
        <w:rPr>
          <w:bCs/>
        </w:rPr>
        <w:tab/>
      </w:r>
      <w:r>
        <w:rPr>
          <w:bCs/>
        </w:rPr>
        <w:tab/>
        <w:t>Статья 5 (</w:t>
      </w:r>
      <w:r>
        <w:rPr>
          <w:bCs/>
          <w:lang w:val="en-US"/>
        </w:rPr>
        <w:t>d</w:t>
      </w:r>
      <w:r>
        <w:rPr>
          <w:bCs/>
        </w:rPr>
        <w:t>) (</w:t>
      </w:r>
      <w:r>
        <w:rPr>
          <w:bCs/>
          <w:lang w:val="en-US"/>
        </w:rPr>
        <w:t>iv</w:t>
      </w:r>
      <w:r>
        <w:rPr>
          <w:bCs/>
        </w:rPr>
        <w:t xml:space="preserve">):  Право на вступление в брак и на выбор </w:t>
      </w: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r>
        <w:rPr>
          <w:bCs/>
        </w:rPr>
        <w:tab/>
      </w:r>
      <w:r>
        <w:rPr>
          <w:bCs/>
        </w:rPr>
        <w:tab/>
        <w:t>супруга</w:t>
      </w:r>
      <w:r>
        <w:rPr>
          <w:bCs/>
        </w:rPr>
        <w:tab/>
      </w:r>
      <w:r>
        <w:rPr>
          <w:bCs/>
        </w:rPr>
        <w:tab/>
        <w:t>81 - 82</w:t>
      </w:r>
      <w:r>
        <w:rPr>
          <w:bCs/>
        </w:rPr>
        <w:tab/>
        <w:t>27</w:t>
      </w: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r>
        <w:rPr>
          <w:bCs/>
        </w:rPr>
        <w:tab/>
      </w:r>
      <w:r>
        <w:rPr>
          <w:bCs/>
        </w:rPr>
        <w:tab/>
        <w:t>Статья 5 (</w:t>
      </w:r>
      <w:r>
        <w:rPr>
          <w:bCs/>
          <w:lang w:val="en-US"/>
        </w:rPr>
        <w:t>d</w:t>
      </w:r>
      <w:r>
        <w:rPr>
          <w:bCs/>
        </w:rPr>
        <w:t>) (</w:t>
      </w:r>
      <w:r>
        <w:rPr>
          <w:bCs/>
          <w:lang w:val="en-US"/>
        </w:rPr>
        <w:t>v</w:t>
      </w:r>
      <w:r>
        <w:rPr>
          <w:bCs/>
        </w:rPr>
        <w:t>):  Право на владение имуществом</w:t>
      </w:r>
      <w:r>
        <w:rPr>
          <w:bCs/>
        </w:rPr>
        <w:tab/>
      </w:r>
      <w:r>
        <w:rPr>
          <w:bCs/>
        </w:rPr>
        <w:tab/>
        <w:t>83</w:t>
      </w:r>
      <w:r>
        <w:rPr>
          <w:bCs/>
        </w:rPr>
        <w:tab/>
        <w:t>27</w:t>
      </w: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r>
        <w:rPr>
          <w:bCs/>
        </w:rPr>
        <w:tab/>
      </w:r>
      <w:r>
        <w:rPr>
          <w:bCs/>
        </w:rPr>
        <w:tab/>
        <w:t>Статья 5 (</w:t>
      </w:r>
      <w:r>
        <w:rPr>
          <w:bCs/>
          <w:lang w:val="en-US"/>
        </w:rPr>
        <w:t>d</w:t>
      </w:r>
      <w:r>
        <w:rPr>
          <w:bCs/>
        </w:rPr>
        <w:t>) (</w:t>
      </w:r>
      <w:r>
        <w:rPr>
          <w:bCs/>
          <w:lang w:val="en-US"/>
        </w:rPr>
        <w:t>vi</w:t>
      </w:r>
      <w:r>
        <w:rPr>
          <w:bCs/>
        </w:rPr>
        <w:t>):  Право наследования</w:t>
      </w:r>
      <w:r>
        <w:rPr>
          <w:bCs/>
        </w:rPr>
        <w:tab/>
      </w:r>
      <w:r>
        <w:rPr>
          <w:bCs/>
        </w:rPr>
        <w:tab/>
        <w:t>84</w:t>
      </w:r>
      <w:r>
        <w:rPr>
          <w:bCs/>
        </w:rPr>
        <w:tab/>
        <w:t>27</w:t>
      </w: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r>
        <w:rPr>
          <w:sz w:val="20"/>
          <w:szCs w:val="28"/>
        </w:rPr>
        <w:tab/>
      </w:r>
      <w:r>
        <w:rPr>
          <w:sz w:val="20"/>
          <w:szCs w:val="28"/>
        </w:rPr>
        <w:tab/>
      </w:r>
      <w:r>
        <w:rPr>
          <w:bCs/>
        </w:rPr>
        <w:t>Статья 5 (</w:t>
      </w:r>
      <w:r>
        <w:rPr>
          <w:bCs/>
          <w:lang w:val="en-US"/>
        </w:rPr>
        <w:t>d</w:t>
      </w:r>
      <w:r>
        <w:rPr>
          <w:bCs/>
        </w:rPr>
        <w:t>) (</w:t>
      </w:r>
      <w:r>
        <w:rPr>
          <w:bCs/>
          <w:lang w:val="en-US"/>
        </w:rPr>
        <w:t>vii</w:t>
      </w:r>
      <w:r>
        <w:rPr>
          <w:bCs/>
        </w:rPr>
        <w:t xml:space="preserve">):  Право на свободу мысли, совести </w:t>
      </w: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r>
        <w:rPr>
          <w:bCs/>
        </w:rPr>
        <w:tab/>
      </w:r>
      <w:r>
        <w:rPr>
          <w:bCs/>
        </w:rPr>
        <w:tab/>
        <w:t>и религии</w:t>
      </w:r>
      <w:r>
        <w:rPr>
          <w:bCs/>
        </w:rPr>
        <w:tab/>
      </w:r>
      <w:r>
        <w:rPr>
          <w:bCs/>
        </w:rPr>
        <w:tab/>
        <w:t>85 - 90</w:t>
      </w:r>
      <w:r>
        <w:rPr>
          <w:bCs/>
        </w:rPr>
        <w:tab/>
        <w:t>28</w:t>
      </w: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p>
    <w:p w:rsidR="00000000" w:rsidRDefault="00000000">
      <w:pPr>
        <w:tabs>
          <w:tab w:val="clear" w:pos="1701"/>
          <w:tab w:val="clear" w:pos="2268"/>
          <w:tab w:val="clear" w:pos="6237"/>
          <w:tab w:val="left" w:pos="567"/>
          <w:tab w:val="left" w:pos="1134"/>
          <w:tab w:val="right" w:leader="dot" w:pos="7655"/>
          <w:tab w:val="right" w:leader="dot" w:pos="7750"/>
          <w:tab w:val="center" w:pos="8222"/>
          <w:tab w:val="center" w:pos="8759"/>
        </w:tabs>
        <w:rPr>
          <w:bCs/>
        </w:rPr>
      </w:pPr>
      <w:r>
        <w:rPr>
          <w:bCs/>
        </w:rPr>
        <w:tab/>
      </w:r>
      <w:r>
        <w:rPr>
          <w:bCs/>
        </w:rPr>
        <w:tab/>
        <w:t>Статья 5 (</w:t>
      </w:r>
      <w:r>
        <w:rPr>
          <w:bCs/>
          <w:lang w:val="en-US"/>
        </w:rPr>
        <w:t>d</w:t>
      </w:r>
      <w:r>
        <w:rPr>
          <w:bCs/>
        </w:rPr>
        <w:t>) (</w:t>
      </w:r>
      <w:r>
        <w:rPr>
          <w:bCs/>
          <w:lang w:val="en-US"/>
        </w:rPr>
        <w:t>viii</w:t>
      </w:r>
      <w:r>
        <w:rPr>
          <w:bCs/>
        </w:rPr>
        <w:t xml:space="preserve">):  Право на свободу убеждений и на их </w:t>
      </w: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r>
        <w:rPr>
          <w:bCs/>
        </w:rPr>
        <w:tab/>
      </w:r>
      <w:r>
        <w:rPr>
          <w:bCs/>
        </w:rPr>
        <w:tab/>
        <w:t>свободное выражение</w:t>
      </w:r>
      <w:r>
        <w:rPr>
          <w:bCs/>
        </w:rPr>
        <w:tab/>
      </w:r>
      <w:r>
        <w:rPr>
          <w:bCs/>
        </w:rPr>
        <w:tab/>
        <w:t>91-94</w:t>
      </w:r>
      <w:r>
        <w:rPr>
          <w:bCs/>
        </w:rPr>
        <w:tab/>
        <w:t>29</w:t>
      </w: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r>
        <w:rPr>
          <w:bCs/>
        </w:rPr>
        <w:tab/>
      </w:r>
      <w:r>
        <w:rPr>
          <w:bCs/>
        </w:rPr>
        <w:tab/>
        <w:t xml:space="preserve">Статья 5 (е):  Права в экономической, социальной и </w:t>
      </w: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r>
        <w:rPr>
          <w:bCs/>
        </w:rPr>
        <w:tab/>
      </w:r>
      <w:r>
        <w:rPr>
          <w:bCs/>
        </w:rPr>
        <w:tab/>
        <w:t xml:space="preserve">культурной областях, в частности право на труд, </w:t>
      </w: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r>
        <w:rPr>
          <w:bCs/>
        </w:rPr>
        <w:tab/>
      </w:r>
      <w:r>
        <w:rPr>
          <w:bCs/>
        </w:rPr>
        <w:tab/>
        <w:t xml:space="preserve">свободный выбор работы, справедливые и благоприятные </w:t>
      </w: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r>
        <w:rPr>
          <w:bCs/>
        </w:rPr>
        <w:tab/>
      </w:r>
      <w:r>
        <w:rPr>
          <w:bCs/>
        </w:rPr>
        <w:tab/>
        <w:t xml:space="preserve">условия труда, защиту от безработицы, равную плату за </w:t>
      </w: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r>
        <w:rPr>
          <w:bCs/>
        </w:rPr>
        <w:tab/>
      </w:r>
      <w:r>
        <w:rPr>
          <w:bCs/>
        </w:rPr>
        <w:tab/>
        <w:t xml:space="preserve">равный труд, справедливое и удовлетворительное </w:t>
      </w:r>
    </w:p>
    <w:p w:rsidR="00000000" w:rsidRDefault="00000000">
      <w:pPr>
        <w:tabs>
          <w:tab w:val="clear" w:pos="1701"/>
          <w:tab w:val="clear" w:pos="2268"/>
          <w:tab w:val="clear" w:pos="6237"/>
          <w:tab w:val="left" w:pos="567"/>
          <w:tab w:val="left" w:pos="1134"/>
          <w:tab w:val="right" w:leader="dot" w:pos="7655"/>
          <w:tab w:val="center" w:pos="8222"/>
          <w:tab w:val="center" w:pos="9072"/>
        </w:tabs>
        <w:rPr>
          <w:bCs/>
          <w:lang w:val="en-US"/>
        </w:rPr>
      </w:pPr>
      <w:r>
        <w:rPr>
          <w:bCs/>
        </w:rPr>
        <w:tab/>
      </w:r>
      <w:r>
        <w:rPr>
          <w:bCs/>
        </w:rPr>
        <w:tab/>
        <w:t>вознаграждение</w:t>
      </w:r>
      <w:r>
        <w:rPr>
          <w:bCs/>
        </w:rPr>
        <w:tab/>
      </w:r>
      <w:r>
        <w:rPr>
          <w:bCs/>
        </w:rPr>
        <w:tab/>
        <w:t xml:space="preserve">  95 - 109</w:t>
      </w:r>
      <w:r>
        <w:rPr>
          <w:bCs/>
        </w:rPr>
        <w:tab/>
      </w:r>
      <w:r>
        <w:rPr>
          <w:bCs/>
          <w:lang w:val="en-US"/>
        </w:rPr>
        <w:t>31</w:t>
      </w: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r>
        <w:rPr>
          <w:bCs/>
        </w:rPr>
        <w:tab/>
      </w:r>
      <w:r>
        <w:rPr>
          <w:bCs/>
        </w:rPr>
        <w:tab/>
        <w:t>Статья 5 (е) (</w:t>
      </w:r>
      <w:r>
        <w:rPr>
          <w:bCs/>
          <w:lang w:val="en-US"/>
        </w:rPr>
        <w:t>ii</w:t>
      </w:r>
      <w:r>
        <w:rPr>
          <w:bCs/>
        </w:rPr>
        <w:t xml:space="preserve">):  Право создавать профессиональные союзы </w:t>
      </w: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r>
        <w:rPr>
          <w:bCs/>
        </w:rPr>
        <w:tab/>
      </w:r>
      <w:r>
        <w:rPr>
          <w:bCs/>
        </w:rPr>
        <w:tab/>
        <w:t>и вступать в них</w:t>
      </w:r>
      <w:r>
        <w:rPr>
          <w:bCs/>
        </w:rPr>
        <w:tab/>
      </w:r>
      <w:r>
        <w:rPr>
          <w:bCs/>
        </w:rPr>
        <w:tab/>
        <w:t>110 - 111</w:t>
      </w:r>
      <w:r>
        <w:rPr>
          <w:bCs/>
        </w:rPr>
        <w:tab/>
        <w:t>35</w:t>
      </w: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r>
        <w:rPr>
          <w:bCs/>
        </w:rPr>
        <w:tab/>
      </w:r>
      <w:r>
        <w:rPr>
          <w:bCs/>
        </w:rPr>
        <w:tab/>
        <w:t>Статья 5 (е) (</w:t>
      </w:r>
      <w:r>
        <w:rPr>
          <w:bCs/>
          <w:lang w:val="en-US"/>
        </w:rPr>
        <w:t>iii</w:t>
      </w:r>
      <w:r>
        <w:rPr>
          <w:bCs/>
        </w:rPr>
        <w:t>):  Право на жилище</w:t>
      </w:r>
      <w:r>
        <w:rPr>
          <w:bCs/>
        </w:rPr>
        <w:tab/>
      </w:r>
      <w:r>
        <w:rPr>
          <w:bCs/>
        </w:rPr>
        <w:tab/>
        <w:t>112 - 117</w:t>
      </w:r>
      <w:r>
        <w:rPr>
          <w:bCs/>
        </w:rPr>
        <w:tab/>
        <w:t>35</w:t>
      </w: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r>
        <w:rPr>
          <w:bCs/>
        </w:rPr>
        <w:tab/>
      </w:r>
      <w:r>
        <w:rPr>
          <w:bCs/>
        </w:rPr>
        <w:tab/>
        <w:t>Статья 5 (е) (</w:t>
      </w:r>
      <w:r>
        <w:rPr>
          <w:bCs/>
          <w:lang w:val="en-US"/>
        </w:rPr>
        <w:t>iv</w:t>
      </w:r>
      <w:r>
        <w:rPr>
          <w:bCs/>
        </w:rPr>
        <w:t>):  Право на здравоохранение</w:t>
      </w:r>
      <w:r>
        <w:rPr>
          <w:bCs/>
        </w:rPr>
        <w:tab/>
      </w:r>
      <w:r>
        <w:rPr>
          <w:bCs/>
        </w:rPr>
        <w:tab/>
        <w:t>118 - 120</w:t>
      </w:r>
      <w:r>
        <w:rPr>
          <w:bCs/>
        </w:rPr>
        <w:tab/>
        <w:t>37</w:t>
      </w: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r>
        <w:rPr>
          <w:bCs/>
        </w:rPr>
        <w:tab/>
      </w:r>
      <w:r>
        <w:rPr>
          <w:bCs/>
        </w:rPr>
        <w:tab/>
        <w:t>Статья 5 (е) (</w:t>
      </w:r>
      <w:r>
        <w:rPr>
          <w:bCs/>
          <w:lang w:val="en-US"/>
        </w:rPr>
        <w:t>v</w:t>
      </w:r>
      <w:r>
        <w:rPr>
          <w:bCs/>
        </w:rPr>
        <w:t xml:space="preserve">):  Право на образование и профессиональную </w:t>
      </w:r>
    </w:p>
    <w:p w:rsidR="00000000" w:rsidRDefault="00000000">
      <w:pPr>
        <w:tabs>
          <w:tab w:val="clear" w:pos="1701"/>
          <w:tab w:val="clear" w:pos="2268"/>
          <w:tab w:val="clear" w:pos="6237"/>
          <w:tab w:val="left" w:pos="567"/>
          <w:tab w:val="left" w:pos="1134"/>
          <w:tab w:val="right" w:leader="dot" w:pos="7655"/>
          <w:tab w:val="center" w:pos="8222"/>
          <w:tab w:val="center" w:pos="9072"/>
        </w:tabs>
        <w:rPr>
          <w:bCs/>
          <w:lang w:val="en-US"/>
        </w:rPr>
      </w:pPr>
      <w:r>
        <w:rPr>
          <w:bCs/>
        </w:rPr>
        <w:tab/>
      </w:r>
      <w:r>
        <w:rPr>
          <w:bCs/>
        </w:rPr>
        <w:tab/>
        <w:t>подготовку</w:t>
      </w:r>
      <w:r>
        <w:rPr>
          <w:bCs/>
        </w:rPr>
        <w:tab/>
      </w:r>
      <w:r>
        <w:rPr>
          <w:bCs/>
        </w:rPr>
        <w:tab/>
        <w:t>121 - 125</w:t>
      </w:r>
      <w:r>
        <w:rPr>
          <w:bCs/>
        </w:rPr>
        <w:tab/>
      </w:r>
      <w:r>
        <w:rPr>
          <w:bCs/>
          <w:lang w:val="en-US"/>
        </w:rPr>
        <w:t>38</w:t>
      </w:r>
    </w:p>
    <w:p w:rsidR="00000000" w:rsidRDefault="00000000">
      <w:pPr>
        <w:tabs>
          <w:tab w:val="right" w:leader="dot" w:pos="7655"/>
          <w:tab w:val="center" w:pos="8222"/>
          <w:tab w:val="center" w:pos="9072"/>
        </w:tabs>
        <w:spacing w:line="240" w:lineRule="auto"/>
        <w:jc w:val="center"/>
        <w:rPr>
          <w:b/>
          <w:bCs/>
          <w:szCs w:val="28"/>
        </w:rPr>
      </w:pPr>
      <w:r>
        <w:rPr>
          <w:b/>
          <w:bCs/>
          <w:szCs w:val="28"/>
        </w:rPr>
        <w:t>СОДЕРЖАНИЕ (</w:t>
      </w:r>
      <w:r>
        <w:rPr>
          <w:b/>
          <w:bCs/>
          <w:i/>
          <w:iCs/>
          <w:szCs w:val="28"/>
        </w:rPr>
        <w:t>продолжение</w:t>
      </w:r>
      <w:r>
        <w:rPr>
          <w:b/>
          <w:bCs/>
          <w:szCs w:val="28"/>
        </w:rPr>
        <w:t>)</w:t>
      </w:r>
    </w:p>
    <w:p w:rsidR="00000000" w:rsidRDefault="00000000">
      <w:pPr>
        <w:tabs>
          <w:tab w:val="right" w:leader="dot" w:pos="7655"/>
          <w:tab w:val="center" w:pos="8222"/>
          <w:tab w:val="center" w:pos="9072"/>
        </w:tabs>
        <w:spacing w:line="240" w:lineRule="auto"/>
        <w:jc w:val="center"/>
        <w:rPr>
          <w:szCs w:val="28"/>
        </w:rPr>
      </w:pPr>
    </w:p>
    <w:p w:rsidR="00000000" w:rsidRDefault="00000000">
      <w:pPr>
        <w:tabs>
          <w:tab w:val="clear" w:pos="6237"/>
          <w:tab w:val="left" w:pos="567"/>
          <w:tab w:val="left" w:pos="1134"/>
          <w:tab w:val="left" w:pos="1701"/>
          <w:tab w:val="left" w:pos="2268"/>
          <w:tab w:val="center" w:pos="8222"/>
          <w:tab w:val="center" w:pos="9072"/>
          <w:tab w:val="center" w:pos="9122"/>
        </w:tabs>
        <w:spacing w:line="240" w:lineRule="auto"/>
        <w:rPr>
          <w:szCs w:val="28"/>
        </w:rPr>
      </w:pPr>
      <w:r>
        <w:rPr>
          <w:szCs w:val="28"/>
        </w:rPr>
        <w:tab/>
      </w:r>
      <w:r>
        <w:rPr>
          <w:szCs w:val="28"/>
        </w:rPr>
        <w:tab/>
      </w:r>
      <w:r>
        <w:rPr>
          <w:szCs w:val="28"/>
        </w:rPr>
        <w:tab/>
      </w:r>
      <w:r>
        <w:rPr>
          <w:szCs w:val="28"/>
        </w:rPr>
        <w:tab/>
      </w:r>
      <w:r>
        <w:rPr>
          <w:szCs w:val="28"/>
        </w:rPr>
        <w:tab/>
      </w:r>
      <w:r>
        <w:rPr>
          <w:i/>
          <w:iCs/>
          <w:szCs w:val="28"/>
        </w:rPr>
        <w:t>Пункты</w:t>
      </w:r>
      <w:r>
        <w:rPr>
          <w:szCs w:val="28"/>
        </w:rPr>
        <w:tab/>
      </w:r>
      <w:r>
        <w:rPr>
          <w:i/>
          <w:iCs/>
          <w:szCs w:val="28"/>
        </w:rPr>
        <w:t>Стр</w:t>
      </w:r>
      <w:r>
        <w:rPr>
          <w:szCs w:val="28"/>
        </w:rPr>
        <w:t>.</w:t>
      </w:r>
    </w:p>
    <w:p w:rsidR="00000000" w:rsidRDefault="00000000">
      <w:pPr>
        <w:tabs>
          <w:tab w:val="clear" w:pos="1701"/>
          <w:tab w:val="clear" w:pos="2268"/>
          <w:tab w:val="clear" w:pos="6237"/>
          <w:tab w:val="left" w:pos="567"/>
          <w:tab w:val="left" w:pos="1134"/>
          <w:tab w:val="right" w:leader="dot" w:pos="7655"/>
          <w:tab w:val="center" w:pos="8222"/>
          <w:tab w:val="center" w:pos="9072"/>
        </w:tabs>
        <w:spacing w:line="240" w:lineRule="auto"/>
        <w:rPr>
          <w:bCs/>
        </w:rPr>
      </w:pP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r>
        <w:rPr>
          <w:bCs/>
        </w:rPr>
        <w:tab/>
      </w:r>
      <w:r>
        <w:rPr>
          <w:bCs/>
        </w:rPr>
        <w:tab/>
        <w:t>Статья 5 (е) (</w:t>
      </w:r>
      <w:r>
        <w:rPr>
          <w:bCs/>
          <w:lang w:val="en-US"/>
        </w:rPr>
        <w:t>vi</w:t>
      </w:r>
      <w:r>
        <w:rPr>
          <w:bCs/>
        </w:rPr>
        <w:t xml:space="preserve">):  Право на равное участие в культурной </w:t>
      </w:r>
    </w:p>
    <w:p w:rsidR="00000000" w:rsidRDefault="00000000">
      <w:pPr>
        <w:tabs>
          <w:tab w:val="clear" w:pos="1701"/>
          <w:tab w:val="clear" w:pos="2268"/>
          <w:tab w:val="clear" w:pos="6237"/>
          <w:tab w:val="left" w:pos="567"/>
          <w:tab w:val="left" w:pos="1134"/>
          <w:tab w:val="right" w:leader="dot" w:pos="7655"/>
          <w:tab w:val="center" w:pos="8222"/>
          <w:tab w:val="center" w:pos="9072"/>
        </w:tabs>
        <w:rPr>
          <w:bCs/>
          <w:lang w:val="en-US"/>
        </w:rPr>
      </w:pPr>
      <w:r>
        <w:rPr>
          <w:bCs/>
        </w:rPr>
        <w:tab/>
      </w:r>
      <w:r>
        <w:rPr>
          <w:bCs/>
        </w:rPr>
        <w:tab/>
        <w:t>жизни</w:t>
      </w:r>
      <w:r>
        <w:rPr>
          <w:bCs/>
        </w:rPr>
        <w:tab/>
      </w:r>
      <w:r>
        <w:rPr>
          <w:bCs/>
        </w:rPr>
        <w:tab/>
        <w:t>126 - 133</w:t>
      </w:r>
      <w:r>
        <w:rPr>
          <w:bCs/>
        </w:rPr>
        <w:tab/>
      </w:r>
      <w:r>
        <w:rPr>
          <w:bCs/>
          <w:lang w:val="en-US"/>
        </w:rPr>
        <w:t>39</w:t>
      </w: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r>
        <w:rPr>
          <w:bCs/>
        </w:rPr>
        <w:tab/>
      </w:r>
      <w:r>
        <w:rPr>
          <w:bCs/>
        </w:rPr>
        <w:tab/>
        <w:t>Статья 5 (</w:t>
      </w:r>
      <w:r>
        <w:rPr>
          <w:bCs/>
          <w:lang w:val="en-US"/>
        </w:rPr>
        <w:t>f</w:t>
      </w:r>
      <w:r>
        <w:rPr>
          <w:bCs/>
        </w:rPr>
        <w:t xml:space="preserve">):  Право на доступ к любому месту или любому </w:t>
      </w: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r>
        <w:rPr>
          <w:bCs/>
        </w:rPr>
        <w:tab/>
      </w:r>
      <w:r>
        <w:rPr>
          <w:bCs/>
        </w:rPr>
        <w:tab/>
        <w:t xml:space="preserve">виду обслуживания, предназначенному для общественного </w:t>
      </w: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r>
        <w:rPr>
          <w:bCs/>
        </w:rPr>
        <w:tab/>
      </w:r>
      <w:r>
        <w:rPr>
          <w:bCs/>
        </w:rPr>
        <w:tab/>
        <w:t xml:space="preserve">пользования, как, например, транспорт, гостиницы, </w:t>
      </w: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r>
        <w:rPr>
          <w:bCs/>
        </w:rPr>
        <w:tab/>
      </w:r>
      <w:r>
        <w:rPr>
          <w:bCs/>
        </w:rPr>
        <w:tab/>
        <w:t>рестораны, кафе, театры и парки</w:t>
      </w:r>
      <w:r>
        <w:rPr>
          <w:bCs/>
        </w:rPr>
        <w:tab/>
      </w:r>
      <w:r>
        <w:rPr>
          <w:bCs/>
        </w:rPr>
        <w:tab/>
        <w:t>134 - 135</w:t>
      </w:r>
      <w:r>
        <w:rPr>
          <w:bCs/>
        </w:rPr>
        <w:tab/>
        <w:t>42</w:t>
      </w: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p>
    <w:p w:rsidR="00000000" w:rsidRDefault="00000000">
      <w:pPr>
        <w:tabs>
          <w:tab w:val="clear" w:pos="1701"/>
          <w:tab w:val="clear" w:pos="2268"/>
          <w:tab w:val="clear" w:pos="6237"/>
          <w:tab w:val="left" w:pos="567"/>
          <w:tab w:val="left" w:pos="1134"/>
          <w:tab w:val="right" w:leader="dot" w:pos="7655"/>
          <w:tab w:val="center" w:pos="8222"/>
          <w:tab w:val="center" w:pos="9072"/>
        </w:tabs>
        <w:rPr>
          <w:bCs/>
          <w:lang w:val="en-US"/>
        </w:rPr>
      </w:pPr>
      <w:r>
        <w:rPr>
          <w:bCs/>
        </w:rPr>
        <w:tab/>
        <w:t>Статья 6</w:t>
      </w:r>
      <w:r>
        <w:rPr>
          <w:bCs/>
        </w:rPr>
        <w:tab/>
      </w:r>
      <w:r>
        <w:rPr>
          <w:bCs/>
        </w:rPr>
        <w:tab/>
        <w:t>136 - 157</w:t>
      </w:r>
      <w:r>
        <w:rPr>
          <w:bCs/>
        </w:rPr>
        <w:tab/>
      </w:r>
      <w:r>
        <w:rPr>
          <w:bCs/>
          <w:lang w:val="en-US"/>
        </w:rPr>
        <w:t>42</w:t>
      </w:r>
    </w:p>
    <w:p w:rsidR="00000000" w:rsidRDefault="00000000">
      <w:pPr>
        <w:tabs>
          <w:tab w:val="clear" w:pos="1701"/>
          <w:tab w:val="clear" w:pos="2268"/>
          <w:tab w:val="clear" w:pos="6237"/>
          <w:tab w:val="left" w:pos="567"/>
          <w:tab w:val="left" w:pos="1134"/>
          <w:tab w:val="right" w:leader="dot" w:pos="7655"/>
          <w:tab w:val="center" w:pos="8222"/>
          <w:tab w:val="center" w:pos="9072"/>
        </w:tabs>
        <w:rPr>
          <w:bCs/>
        </w:rPr>
      </w:pPr>
    </w:p>
    <w:p w:rsidR="00000000" w:rsidRDefault="00000000">
      <w:pPr>
        <w:tabs>
          <w:tab w:val="clear" w:pos="1701"/>
          <w:tab w:val="clear" w:pos="2268"/>
          <w:tab w:val="clear" w:pos="6237"/>
          <w:tab w:val="left" w:pos="567"/>
          <w:tab w:val="left" w:pos="1134"/>
          <w:tab w:val="right" w:leader="dot" w:pos="7655"/>
          <w:tab w:val="center" w:pos="8222"/>
          <w:tab w:val="center" w:pos="9072"/>
        </w:tabs>
        <w:rPr>
          <w:bCs/>
          <w:lang w:val="en-US"/>
        </w:rPr>
      </w:pPr>
      <w:r>
        <w:rPr>
          <w:bCs/>
        </w:rPr>
        <w:tab/>
        <w:t>Статья 7</w:t>
      </w:r>
      <w:r>
        <w:rPr>
          <w:bCs/>
        </w:rPr>
        <w:tab/>
      </w:r>
      <w:r>
        <w:rPr>
          <w:bCs/>
        </w:rPr>
        <w:tab/>
        <w:t>158 - 167</w:t>
      </w:r>
      <w:r>
        <w:rPr>
          <w:bCs/>
        </w:rPr>
        <w:tab/>
      </w:r>
      <w:r>
        <w:rPr>
          <w:bCs/>
          <w:lang w:val="en-US"/>
        </w:rPr>
        <w:t>48</w:t>
      </w:r>
    </w:p>
    <w:p w:rsidR="00000000" w:rsidRDefault="00000000">
      <w:pPr>
        <w:rPr>
          <w:bCs/>
        </w:rPr>
      </w:pPr>
    </w:p>
    <w:p w:rsidR="00000000" w:rsidRDefault="00000000">
      <w:pPr>
        <w:jc w:val="center"/>
        <w:rPr>
          <w:b/>
        </w:rPr>
      </w:pPr>
      <w:r>
        <w:rPr>
          <w:b/>
        </w:rPr>
        <w:br w:type="page"/>
        <w:t>Введение</w:t>
      </w:r>
    </w:p>
    <w:p w:rsidR="00000000" w:rsidRDefault="00000000">
      <w:pPr>
        <w:rPr>
          <w:b/>
        </w:rPr>
      </w:pPr>
    </w:p>
    <w:p w:rsidR="00000000" w:rsidRDefault="00000000">
      <w:r>
        <w:t>1.</w:t>
      </w:r>
      <w:r>
        <w:tab/>
        <w:t>Индия является участником Международной конвенции о ликвидации всех форм расовой дискриминации с 1968 года.  До настоящего времени, в соответствии с требованиями статьи 9 Конвенции, Индия представила 14 периодических докладов, охватывающих период до 1996 года.  Информация с 1996 года по январь 2006 года включена в 15-19-й периодические доклады, представленные в настоящем докладе.</w:t>
      </w:r>
    </w:p>
    <w:p w:rsidR="00000000" w:rsidRDefault="00000000"/>
    <w:p w:rsidR="00000000" w:rsidRDefault="00000000">
      <w:r>
        <w:t>2.</w:t>
      </w:r>
      <w:r>
        <w:tab/>
        <w:t xml:space="preserve">Данный доклад состоит из двух частей:  в Части </w:t>
      </w:r>
      <w:r>
        <w:rPr>
          <w:lang w:val="en-US"/>
        </w:rPr>
        <w:t>I</w:t>
      </w:r>
      <w:r>
        <w:t xml:space="preserve"> содержится общая информация о стране и ее населении, общей политической структуре, общеправовой основе защиты прав человека, данные о распространении информации о правах человека и сведения об институциональных  и других изменениях, происшедших после представления последнего доклада;  в Части  </w:t>
      </w:r>
      <w:r>
        <w:rPr>
          <w:lang w:val="en-US"/>
        </w:rPr>
        <w:t>II</w:t>
      </w:r>
      <w:r>
        <w:t xml:space="preserve"> приводится информация по конкретным статьям Конвенции. </w:t>
      </w:r>
    </w:p>
    <w:p w:rsidR="00000000" w:rsidRDefault="00000000"/>
    <w:p w:rsidR="00000000" w:rsidRDefault="00000000">
      <w:pPr>
        <w:jc w:val="center"/>
        <w:rPr>
          <w:b/>
          <w:iCs/>
        </w:rPr>
      </w:pPr>
      <w:r>
        <w:rPr>
          <w:b/>
          <w:iCs/>
        </w:rPr>
        <w:t>Часть 1</w:t>
      </w:r>
    </w:p>
    <w:p w:rsidR="00000000" w:rsidRDefault="00000000">
      <w:pPr>
        <w:jc w:val="center"/>
        <w:rPr>
          <w:b/>
          <w:iCs/>
        </w:rPr>
      </w:pPr>
    </w:p>
    <w:p w:rsidR="00000000" w:rsidRDefault="00000000">
      <w:pPr>
        <w:jc w:val="center"/>
        <w:rPr>
          <w:b/>
          <w:iCs/>
        </w:rPr>
      </w:pPr>
      <w:r>
        <w:rPr>
          <w:b/>
          <w:iCs/>
        </w:rPr>
        <w:t>ОБЩАЯ ИНФОРМАЦИЯ</w:t>
      </w:r>
    </w:p>
    <w:p w:rsidR="00000000" w:rsidRDefault="00000000">
      <w:pPr>
        <w:rPr>
          <w:b/>
          <w:i/>
        </w:rPr>
      </w:pPr>
    </w:p>
    <w:p w:rsidR="00000000" w:rsidRDefault="00000000">
      <w:r>
        <w:t>3.</w:t>
      </w:r>
      <w:r>
        <w:tab/>
        <w:t xml:space="preserve">В Индии проживают более миллиарда человек различного происхождения и религиозных взглядов.  Это - толерантное общество, объединяющее представителей самых различных религий и взглядов, совместно участвующих в построении самой представительной демократии в мире, при которой всем гражданам гарантированы все общепризнанные права человека и основные свободы без какой-либо дискриминации. </w:t>
      </w:r>
    </w:p>
    <w:p w:rsidR="00000000" w:rsidRDefault="00000000"/>
    <w:p w:rsidR="00000000" w:rsidRDefault="00000000">
      <w:r>
        <w:t>4.</w:t>
      </w:r>
      <w:r>
        <w:tab/>
        <w:t xml:space="preserve">О языковом многообразии Индии свидетельствует наличие 18 основных языков, признанных в Приложении </w:t>
      </w:r>
      <w:r>
        <w:rPr>
          <w:lang w:val="en-US"/>
        </w:rPr>
        <w:t>VIII</w:t>
      </w:r>
      <w:r>
        <w:t xml:space="preserve"> Конституции. </w:t>
      </w:r>
    </w:p>
    <w:p w:rsidR="00000000" w:rsidRDefault="00000000"/>
    <w:p w:rsidR="00000000" w:rsidRDefault="00000000">
      <w:r>
        <w:t>5.</w:t>
      </w:r>
      <w:r>
        <w:tab/>
        <w:t xml:space="preserve">Конституцией Индии закреплена парламентская форма правления, которая является федеральной по своей природе, но имеет некую унитарную особенность.  Индия представляет собой союз 28 штатов и 7 союзных территорий. </w:t>
      </w:r>
    </w:p>
    <w:p w:rsidR="00000000" w:rsidRDefault="00000000"/>
    <w:p w:rsidR="00000000" w:rsidRDefault="00000000">
      <w:r>
        <w:t>6.</w:t>
      </w:r>
      <w:r>
        <w:tab/>
        <w:t xml:space="preserve">В такой стране, как Индия с ее этническим, религиозным, языковым и экономическим разнообразием, соблюдение, поощрение и защита прав человека представляют собой сложную задачу.  По существу, в своей политике в области соблюдения, поощрения и защиты прав человека Индии руководствуется глобальным комплексным подходом. </w:t>
      </w:r>
    </w:p>
    <w:p w:rsidR="00000000" w:rsidRDefault="00000000"/>
    <w:p w:rsidR="00000000" w:rsidRDefault="00000000">
      <w:r>
        <w:t xml:space="preserve">7. </w:t>
      </w:r>
      <w:r>
        <w:rPr>
          <w:lang w:val="en-US"/>
        </w:rPr>
        <w:tab/>
      </w:r>
      <w:r>
        <w:t>Основой системы соблюдения, поощрения и защиты прав человека является Конституция Индии, в которой закреплен принцип существования суверенного, светского, демократического и социалистического государства и предусмотрено право каждого гражданина Индии, достигшего 18-летнего возраста на участие в выборах.  В ней гарантируются основные права каждого гражданина Индии, включая свободу слова, выражение своего мнения, убеждений, собраний, ассоциаций, передвижения, выбора работы или профессии без какой-либо дискриминации по признаку расы, религии, касты или пола, которые могут быть оспорены в судебном порядке.</w:t>
      </w:r>
    </w:p>
    <w:p w:rsidR="00000000" w:rsidRDefault="00000000"/>
    <w:p w:rsidR="00000000" w:rsidRDefault="00000000">
      <w:r>
        <w:t xml:space="preserve">8. </w:t>
      </w:r>
      <w:r>
        <w:rPr>
          <w:lang w:val="en-US"/>
        </w:rPr>
        <w:tab/>
      </w:r>
      <w:r>
        <w:t xml:space="preserve">Институциональные гарантии прав, закрепленных в Конституции, включают независимость судебной системы и разделение судебной и исполнительной власти.  В Индии законодательство может рассматриваться судами на предмет его соответствия Конституции, а порядок осуществления исполнительных полномочий подлежит различным формам судебного надзора. В случае нарушения основных прав того или иного человека он может подать иск в Верховный суд страны с целью незамедлительного восстановления нарушенных прав. </w:t>
      </w:r>
    </w:p>
    <w:p w:rsidR="00000000" w:rsidRDefault="00000000"/>
    <w:p w:rsidR="00000000" w:rsidRDefault="00000000">
      <w:r>
        <w:t xml:space="preserve">9. </w:t>
      </w:r>
      <w:r>
        <w:rPr>
          <w:lang w:val="en-US"/>
        </w:rPr>
        <w:tab/>
      </w:r>
      <w:r>
        <w:t xml:space="preserve">Для обеспечения защиты от произвольных или незаконных административных действий Верховный и Высокий суды уполномочены издавать соответствующие указания/распоряжения или приказы, судебные приказы </w:t>
      </w:r>
      <w:r>
        <w:rPr>
          <w:lang w:val="en-US"/>
        </w:rPr>
        <w:t>mandamus</w:t>
      </w:r>
      <w:r>
        <w:t xml:space="preserve"> и хабеас корпус, приказ о запрещении производства по делу, судебный приказ </w:t>
      </w:r>
      <w:r>
        <w:rPr>
          <w:lang w:val="en-US"/>
        </w:rPr>
        <w:t>quo</w:t>
      </w:r>
      <w:r>
        <w:t xml:space="preserve"> </w:t>
      </w:r>
      <w:r>
        <w:rPr>
          <w:lang w:val="en-US"/>
        </w:rPr>
        <w:t>warranto</w:t>
      </w:r>
      <w:r>
        <w:t xml:space="preserve"> и истребование дела (</w:t>
      </w:r>
      <w:r>
        <w:rPr>
          <w:lang w:val="en-US"/>
        </w:rPr>
        <w:t>certiorari</w:t>
      </w:r>
      <w:r>
        <w:t>).  С целью повышения эффективности защиты и осуществления прав человека Верховный суд разработал весьма прогрессивные нормы публичного судопроизводства.</w:t>
      </w:r>
    </w:p>
    <w:p w:rsidR="00000000" w:rsidRDefault="00000000"/>
    <w:p w:rsidR="00000000" w:rsidRDefault="00000000">
      <w:r>
        <w:t xml:space="preserve">10. </w:t>
      </w:r>
      <w:r>
        <w:rPr>
          <w:lang w:val="en-US"/>
        </w:rPr>
        <w:tab/>
      </w:r>
      <w:r>
        <w:t xml:space="preserve">Для дальнейшего укрепления и защиты основных прав человека уязвимых групп населения Индии предусмотрены дополнительные механизмы.  К ним относятся Национальная комиссия по делам женщин, Национальная комиссия по делам меньшинств, Национальная комиссия по делам зарегистрированных каст, Национальная комиссия по делам зарегистрированных племен и Национальная комиссия по правам человека.  В обязанность этих комиссий входит защита прав, гарантированных конкретным целевым группам населения согласно Конституции, а также в соответствии с различными законами, принятыми законодательными органами.  При расследовании случаев нарушений этих прав </w:t>
      </w:r>
      <w:r>
        <w:rPr>
          <w:i/>
          <w:lang w:val="en-US"/>
        </w:rPr>
        <w:t>suo</w:t>
      </w:r>
      <w:r>
        <w:rPr>
          <w:i/>
        </w:rPr>
        <w:t xml:space="preserve"> </w:t>
      </w:r>
      <w:r>
        <w:rPr>
          <w:i/>
          <w:lang w:val="en-US"/>
        </w:rPr>
        <w:t>motu</w:t>
      </w:r>
      <w:r>
        <w:t xml:space="preserve"> или на основании жалобы данные комиссии наделены полномочиями гражданских судов и могут вызывать и допрашивать свидетелей и изучать представленные документы. Их доклады должны представляться парламенту для рассмотрения.  Эти механизмы используются для защиты прав наиболее уязвимых групп населения Индии, включая женщин и детей, с помощью доступных и транспарентных процедур. </w:t>
      </w:r>
    </w:p>
    <w:p w:rsidR="00000000" w:rsidRDefault="00000000"/>
    <w:p w:rsidR="00000000" w:rsidRDefault="00000000">
      <w:r>
        <w:t xml:space="preserve">11. </w:t>
      </w:r>
      <w:r>
        <w:rPr>
          <w:lang w:val="en-US"/>
        </w:rPr>
        <w:tab/>
      </w:r>
      <w:r>
        <w:t xml:space="preserve">Кроме того, важную роль в обеспечении соблюдения прав человека и быстрого восстановления нарушенных прав также играют независимые и эффективные печатные и электронные средства массовой информации, информированное общественное мнение и активное гражданское общество. </w:t>
      </w:r>
    </w:p>
    <w:p w:rsidR="00000000" w:rsidRDefault="00000000"/>
    <w:p w:rsidR="00000000" w:rsidRDefault="00000000">
      <w:r>
        <w:t xml:space="preserve">12. </w:t>
      </w:r>
      <w:r>
        <w:rPr>
          <w:lang w:val="en-US"/>
        </w:rPr>
        <w:tab/>
      </w:r>
      <w:r>
        <w:t>Хотя правительство Индии стремится обеспечить соблюдение, поощрение и защиту прав человека путем создания институциональной структуры и разработки надлежащих гарантий, оно признает, что для полного осуществления этих прав в равной мере всеми гражданами, которых в стране насчитывается около одного миллиарда, необходимо решить проблему нищеты и недостаточного развития, повысить уровень информированности населения и принять позитивные меры в интересах социально и экономически уязвимых групп населения.  Для достижения этой цели правительство Индии старается устранить препятствия на пути осуществления прав человека посредством реализации стратегии, главные задачи которой состоят в следующем:</w:t>
      </w:r>
    </w:p>
    <w:p w:rsidR="00000000" w:rsidRDefault="00000000"/>
    <w:p w:rsidR="00000000" w:rsidRDefault="00000000">
      <w:pPr>
        <w:ind w:left="1134" w:hanging="1134"/>
      </w:pPr>
      <w:r>
        <w:tab/>
        <w:t>а)</w:t>
      </w:r>
      <w:r>
        <w:tab/>
        <w:t>экономическом росте и общем развитии страны, включая политику реформирования и либерализации экономики;</w:t>
      </w:r>
    </w:p>
    <w:p w:rsidR="00000000" w:rsidRDefault="00000000">
      <w:pPr>
        <w:ind w:left="1134" w:hanging="1134"/>
      </w:pPr>
    </w:p>
    <w:p w:rsidR="00000000" w:rsidRDefault="00000000">
      <w:pPr>
        <w:ind w:left="1134" w:hanging="1134"/>
      </w:pPr>
      <w:r>
        <w:tab/>
      </w:r>
      <w:r>
        <w:rPr>
          <w:lang w:val="en-US"/>
        </w:rPr>
        <w:t>b</w:t>
      </w:r>
      <w:r>
        <w:t>)</w:t>
      </w:r>
      <w:r>
        <w:tab/>
        <w:t>развитии прав человека с упором на доступность здравоохранения и образования;</w:t>
      </w:r>
    </w:p>
    <w:p w:rsidR="00000000" w:rsidRDefault="00000000"/>
    <w:p w:rsidR="00000000" w:rsidRDefault="00000000">
      <w:pPr>
        <w:ind w:left="1134" w:hanging="1134"/>
      </w:pPr>
      <w:r>
        <w:tab/>
        <w:t>с)</w:t>
      </w:r>
      <w:r>
        <w:tab/>
        <w:t>реализации ориентированных на бенефициаров программ искоренения нищеты путем создания рабочих мест, привлечения капиталовложений и организации системы профессиональной подготовки.  В рамках этого подхода первоочередное внимание также уделяется развитию сельского хозяйства и сельских районов.</w:t>
      </w:r>
    </w:p>
    <w:p w:rsidR="00000000" w:rsidRDefault="00000000"/>
    <w:p w:rsidR="00000000" w:rsidRDefault="00000000">
      <w:r>
        <w:t>13.</w:t>
      </w:r>
      <w:r>
        <w:tab/>
        <w:t>За последнее десятилетие  основное внимание в сфере планирования развития было переключено с простого расширения производства товаров и услуг и последующего роста доходов на душу населения на планирование повышения благосостояния народа.  К трем главным критериям уровня благосостояния относятся, как известно, продолжительность жизни, уровень образования и система управления ресурсами.  Поэтому основное внимание вновь стало уделяться показателям развития в области образования и здравоохранения, которые считаются определяющими для укрепления национального потенциала.  Уровень развития этих социальных секторов является как основным критерием, так и ключевым элементом, необходимым для уменьшения масштабов нищеты.  Индия добилась существенного улучшения в области образования и здравоохранения.  Вместе с тем между штатами, а также сельскими и городскими районами по</w:t>
      </w:r>
      <w:r>
        <w:noBreakHyphen/>
        <w:t>прежнему существуют значительные различия.</w:t>
      </w:r>
    </w:p>
    <w:p w:rsidR="00000000" w:rsidRDefault="00000000"/>
    <w:p w:rsidR="00000000" w:rsidRDefault="00000000">
      <w:r>
        <w:t>14.</w:t>
      </w:r>
      <w:r>
        <w:tab/>
        <w:t>Продолжительность жизни при рождении увеличилась почти в два раза с 32,1</w:t>
      </w:r>
      <w:r>
        <w:rPr>
          <w:lang w:val="en-US"/>
        </w:rPr>
        <w:t> </w:t>
      </w:r>
      <w:r>
        <w:t>года в 1951 году до 62,5 лет в 1997 году.  Детская смертность, являющаяся еще одним показателем уровня развития здравоохранения, также снизилась со 115 на 1 000 живорождений в 1981</w:t>
      </w:r>
      <w:r>
        <w:rPr>
          <w:lang w:val="en-US"/>
        </w:rPr>
        <w:t> </w:t>
      </w:r>
      <w:r>
        <w:t>году до 70 – в 2001 году.  Уровень грамотности вырос с 16,6% - в 1951 году до 62,38% в 2001 году.</w:t>
      </w:r>
    </w:p>
    <w:p w:rsidR="00000000" w:rsidRDefault="00000000"/>
    <w:p w:rsidR="00000000" w:rsidRDefault="00000000">
      <w:pPr>
        <w:rPr>
          <w:b/>
          <w:bCs/>
        </w:rPr>
      </w:pPr>
      <w:r>
        <w:rPr>
          <w:b/>
          <w:bCs/>
        </w:rPr>
        <w:t>Ответы на заключительные замечания Комитета по ликвидации расовой дискриминации</w:t>
      </w:r>
    </w:p>
    <w:p w:rsidR="00000000" w:rsidRDefault="00000000"/>
    <w:p w:rsidR="00000000" w:rsidRDefault="00000000">
      <w:r>
        <w:t>15.</w:t>
      </w:r>
      <w:r>
        <w:tab/>
        <w:t xml:space="preserve">В своих заключительных замечаниях Комитет просил правительство Индии представить информацию по ряду вопросов, касающихся зарегистрированных каст и племен. </w:t>
      </w:r>
    </w:p>
    <w:p w:rsidR="00000000" w:rsidRDefault="00000000"/>
    <w:p w:rsidR="00000000" w:rsidRDefault="00000000">
      <w:r>
        <w:t>16.</w:t>
      </w:r>
      <w:r>
        <w:tab/>
        <w:t>В этой связи правительство Индии вновь заявляет о своей позиции, согласно которой понятие "каста" не может быть приравнено к понятию "раса" или охватываться понятием "родового происхождения" согласно статье 1 Конвенции.</w:t>
      </w:r>
    </w:p>
    <w:p w:rsidR="00000000" w:rsidRDefault="00000000"/>
    <w:p w:rsidR="00000000" w:rsidRDefault="00000000">
      <w:r>
        <w:t>17.</w:t>
      </w:r>
      <w:r>
        <w:tab/>
        <w:t>Следует напомнить, что, как указывалось в последнем периодическом докладе, Конституция Индии запрещает дискриминацию по признаку расы.  При разработке текста главы об основных правах авторы Конституции Индии руководствовались положениями Конституции Соединенных Штатов и Устава Организации Объединенных Наций.  Другими главными факторами, которые повлияли на включение в Конституцию конкретного упоминания о расе, стали широкомасштабная расовая дискриминация в Индии в период колониального правления и моральное осуждение расизма мировым сообществом после окончания второй мировой войны.  Кроме того, в Конституции Индии "раса" и "каста" упоминаются отдельно друг от друга в качестве запрещенных оснований для дискриминации.  Таким образом, эти понятия нельзя считать взаимозаменяемыми или синонимами.  Если бы понятие "каста" входило в понятие "раса", то не было бы необходимости упоминать их раздельно.  По этой причине, как и в последнем докладе, информация, касающаяся зарегистрированных каст и племен, или вопросы, имеющие отношение к этой группе, не были включены в настоящий доклад.  Вместе с тем в знак уважения к членам Комитета правительство Индии готово поделиться с членами Комитета, если они того пожелают, информацией о зарегистрированных кастах и племенах, но не в рамках обязательного доклада согласно Конвенции.</w:t>
      </w:r>
    </w:p>
    <w:p w:rsidR="00000000" w:rsidRDefault="00000000"/>
    <w:p w:rsidR="00000000" w:rsidRDefault="00000000">
      <w:r>
        <w:t>18.</w:t>
      </w:r>
      <w:r>
        <w:tab/>
        <w:t>Ниже приводится информация, касающаяся замечаний Комитета, не связанных с зарегистрированными кастами и племенами:</w:t>
      </w:r>
    </w:p>
    <w:p w:rsidR="00000000" w:rsidRDefault="00000000"/>
    <w:p w:rsidR="00000000" w:rsidRDefault="00000000">
      <w:pPr>
        <w:ind w:left="567" w:hanging="567"/>
      </w:pPr>
      <w:r>
        <w:tab/>
        <w:t>1.</w:t>
      </w:r>
      <w:r>
        <w:tab/>
        <w:t>Исключение вооруженных сил из компетенции Национальной комиссии по правам человека.  Вооруженные силы Индии остаются в компетенции Национальной комиссии по правам человека.  Согласно статье 19 Закона о защите прав человека 1992 года, Комиссия по собственной инициативе или на основании ходатайств, направленных ей в связи с утверждениями о нарушениях прав человека военнослужащими вооруженных сил, может потребовать от центрального правительства представление соответствующего доклада.  По получении такого доклада она может либо не рассматривать жалобу, либо, в зависимости от конкретного случая, представить свои рекомендации правительству.  В соответствии с вышеуказанным Законом центральное правительство в течение трех месяцев или в течение дополнительного срока, который определит Комиссия, информирует Комиссию о мерах, принятых по ее рекомендации.  Предусматривается также, публикация Комиссией своего доклада с рекомендациями центральному правительству и информацией о мерах, принятых правительством по таким рекомендациям.  Копия доклада также препровождается подателю жалобы.</w:t>
      </w:r>
    </w:p>
    <w:p w:rsidR="00000000" w:rsidRDefault="00000000"/>
    <w:p w:rsidR="00000000" w:rsidRDefault="00000000">
      <w:pPr>
        <w:ind w:left="567" w:hanging="567"/>
      </w:pPr>
      <w:r>
        <w:tab/>
        <w:t>2.</w:t>
      </w:r>
      <w:r>
        <w:tab/>
        <w:t>Комитет отметил, что экстремистские организации, которые предположительно финансируют насильственные действия против определенных национальных меньшинств, не объявлены вне закона.  Вместе с тем следует отметить, что любая организация, замеченная в какой-либо противоправной деятельности, незамедлительно берется на заметку, и против нее принимаются строгие меры.  Несколько организаций были запрещены правительством на основании Закона 1967 года о предотвращении незаконной деятельности.</w:t>
      </w:r>
    </w:p>
    <w:p w:rsidR="00000000" w:rsidRDefault="00000000"/>
    <w:p w:rsidR="00000000" w:rsidRDefault="00000000">
      <w:pPr>
        <w:ind w:left="567" w:hanging="567"/>
      </w:pPr>
      <w:r>
        <w:tab/>
        <w:t>3.</w:t>
      </w:r>
      <w:r>
        <w:tab/>
        <w:t>Что касается замечаний Комитета о выборах в Кашмире, то можно отметить, что в штате Джамму и Кашмир начиная с 1951 года проводятся как парламентские выборы, так и выборы на уровне штата, представляя собой волеизъявление народа путем голосования.  Состоявшиеся в Джамму и Кашмир в 2002 году выборы в Ассамблею штата широко освещались не только индийской прессой, но и иностранными средствами массовой информации и были признаны свободными и справедливыми.  В выборах, по соображениям безопасности проходивших поэтапно с сентября по октябрь 2002 года, явка избирателей составила в среднем 47,9%.  В Джамму и Кашмир действует демократически избранное правительство.</w:t>
      </w:r>
    </w:p>
    <w:p w:rsidR="00000000" w:rsidRDefault="00000000"/>
    <w:p w:rsidR="00000000" w:rsidRDefault="00000000">
      <w:r>
        <w:t>19.</w:t>
      </w:r>
      <w:r>
        <w:tab/>
        <w:t>Комитет запрашивал информацию о мерах по осуществлению принципов поощрения социальных, экономических и культурных прав.  В данном контексте можно отметить, что с момента представления последнего доклада был принят ряд важных инициатив, в частности в области образования, занятости и местного самоуправления.</w:t>
      </w:r>
    </w:p>
    <w:p w:rsidR="00000000" w:rsidRDefault="00000000"/>
    <w:p w:rsidR="00000000" w:rsidRDefault="00000000">
      <w:pPr>
        <w:rPr>
          <w:b/>
          <w:bCs/>
        </w:rPr>
      </w:pPr>
      <w:r>
        <w:rPr>
          <w:b/>
          <w:bCs/>
        </w:rPr>
        <w:t>Начальное образование как основное право</w:t>
      </w:r>
    </w:p>
    <w:p w:rsidR="00000000" w:rsidRDefault="00000000"/>
    <w:p w:rsidR="00000000" w:rsidRDefault="00000000">
      <w:r>
        <w:t>20.</w:t>
      </w:r>
      <w:r>
        <w:tab/>
        <w:t>Правительство Индии в полной мере привержено принципу универсализации начального образования.  Согласно статье 45 Конституции Индии, положение об обязательном и бесплатном образовании детей стало одним из руководящих принципов.  В 2002 году 86-ая поправка к Конституции сделала образование основным правом детей в возрасте от 6 до 14 лет.</w:t>
      </w:r>
    </w:p>
    <w:p w:rsidR="00000000" w:rsidRDefault="00000000"/>
    <w:p w:rsidR="00000000" w:rsidRDefault="00000000">
      <w:r>
        <w:t>21.</w:t>
      </w:r>
      <w:r>
        <w:tab/>
        <w:t xml:space="preserve">Программа </w:t>
      </w:r>
      <w:r>
        <w:rPr>
          <w:i/>
        </w:rPr>
        <w:t xml:space="preserve">Образование для всех </w:t>
      </w:r>
      <w:r>
        <w:rPr>
          <w:iCs/>
        </w:rPr>
        <w:t>(ОДВ)</w:t>
      </w:r>
      <w:r>
        <w:t xml:space="preserve"> (</w:t>
      </w:r>
      <w:r>
        <w:rPr>
          <w:i/>
        </w:rPr>
        <w:t>Sarva Shiksha Abhiyan</w:t>
      </w:r>
      <w:r>
        <w:rPr>
          <w:iCs/>
        </w:rPr>
        <w:t xml:space="preserve"> (SSA)</w:t>
      </w:r>
      <w:r>
        <w:t>), осуществляемая правительством Индии, является средством выполнения обязательств по 86-ой поправке к Конституции.  Это - стратегическая программа правительства Индии, призванная обеспечить достижение цели Всеобщего начального образования (ВНО) в стране.  Это - попытка признать необходимость улучшения работы школьной системы и обеспечить качественное начальное образование на уровне общин.  Она также предусматривает ликвидацию гендерного и социального разрыва.</w:t>
      </w:r>
    </w:p>
    <w:p w:rsidR="00000000" w:rsidRDefault="00000000"/>
    <w:p w:rsidR="00000000" w:rsidRDefault="00000000">
      <w:r>
        <w:t>22.</w:t>
      </w:r>
      <w:r>
        <w:tab/>
        <w:t>Являясь самой масштабной программой такого рода в мире, ОДВ представляет собой комплексный, всеобъемлющий план, осуществляемый в партнерстве с правительствами штатов, органами местного самоуправления, общинами и гражданским обществом.  При ее реализации особое значение придается активному участию местных органов самоуправления и массовых общественных организаций, таких, как Комитет сельского образования, Ассоциация родителей и преподавателей, Ассоциация матерей и преподавателей и т.д.  Целями ОДВ являются:</w:t>
      </w:r>
    </w:p>
    <w:p w:rsidR="00000000" w:rsidRDefault="00000000"/>
    <w:p w:rsidR="00000000" w:rsidRDefault="00000000">
      <w:pPr>
        <w:ind w:left="1134" w:hanging="1134"/>
      </w:pPr>
      <w:r>
        <w:tab/>
      </w:r>
      <w:r>
        <w:sym w:font="Symbol" w:char="F0B7"/>
      </w:r>
      <w:r>
        <w:tab/>
        <w:t>все дети в возрасте от 6 до 14 лет к 2003 году должны посещать школьные/учебные центры, действующие в рамках Плана гарантированного образования, альтернативные школы, лагеря по подготовке к школе;</w:t>
      </w:r>
    </w:p>
    <w:p w:rsidR="00000000" w:rsidRDefault="00000000">
      <w:pPr>
        <w:ind w:left="1134" w:hanging="1134"/>
      </w:pPr>
    </w:p>
    <w:p w:rsidR="00000000" w:rsidRDefault="00000000">
      <w:pPr>
        <w:ind w:left="1134" w:hanging="1134"/>
        <w:rPr>
          <w:u w:val="single"/>
        </w:rPr>
      </w:pPr>
      <w:r>
        <w:tab/>
      </w:r>
      <w:r>
        <w:sym w:font="Symbol" w:char="F0B7"/>
      </w:r>
      <w:r>
        <w:tab/>
        <w:t>все дети в возрасте от 6 до 14 лет к 2007 году должны получить полное пятилетнее начальное образование;</w:t>
      </w:r>
    </w:p>
    <w:p w:rsidR="00000000" w:rsidRDefault="00000000"/>
    <w:p w:rsidR="00000000" w:rsidRDefault="00000000">
      <w:pPr>
        <w:tabs>
          <w:tab w:val="clear" w:pos="567"/>
          <w:tab w:val="left" w:pos="1134"/>
        </w:tabs>
        <w:ind w:left="1134" w:hanging="567"/>
        <w:rPr>
          <w:u w:val="single"/>
        </w:rPr>
      </w:pPr>
      <w:r>
        <w:sym w:font="Symbol" w:char="F0B7"/>
      </w:r>
      <w:r>
        <w:tab/>
        <w:t>все дети в возрасте от 6 до 14 лет к 2010 году должны завершить восьмилетнее школьное обучение;</w:t>
      </w:r>
    </w:p>
    <w:p w:rsidR="00000000" w:rsidRDefault="00000000">
      <w:pPr>
        <w:tabs>
          <w:tab w:val="clear" w:pos="567"/>
          <w:tab w:val="left" w:pos="1134"/>
        </w:tabs>
        <w:ind w:left="1134" w:hanging="567"/>
        <w:rPr>
          <w:u w:val="single"/>
        </w:rPr>
      </w:pPr>
    </w:p>
    <w:p w:rsidR="00000000" w:rsidRDefault="00000000">
      <w:pPr>
        <w:tabs>
          <w:tab w:val="clear" w:pos="567"/>
          <w:tab w:val="left" w:pos="1134"/>
        </w:tabs>
        <w:ind w:left="1134" w:hanging="567"/>
        <w:rPr>
          <w:u w:val="single"/>
        </w:rPr>
      </w:pPr>
      <w:r>
        <w:sym w:font="Symbol" w:char="F0B7"/>
      </w:r>
      <w:r>
        <w:tab/>
        <w:t>уделение внимания качественному начальному образованию с упором на принцип обучения в течение всей жизни;</w:t>
      </w:r>
    </w:p>
    <w:p w:rsidR="00000000" w:rsidRDefault="00000000">
      <w:pPr>
        <w:tabs>
          <w:tab w:val="clear" w:pos="567"/>
          <w:tab w:val="left" w:pos="1134"/>
        </w:tabs>
        <w:ind w:left="1134" w:hanging="567"/>
      </w:pPr>
    </w:p>
    <w:p w:rsidR="00000000" w:rsidRDefault="00000000">
      <w:pPr>
        <w:tabs>
          <w:tab w:val="clear" w:pos="567"/>
          <w:tab w:val="left" w:pos="1134"/>
        </w:tabs>
        <w:ind w:left="1134" w:hanging="567"/>
        <w:rPr>
          <w:u w:val="single"/>
        </w:rPr>
      </w:pPr>
      <w:r>
        <w:sym w:font="Symbol" w:char="F0B7"/>
      </w:r>
      <w:r>
        <w:tab/>
        <w:t>ликвидация гендерного разрыва и разрыва между социальными категориями на уровне  школ первой ступени к 2007 году и на уровне начального образования - к 2010 году; и</w:t>
      </w:r>
    </w:p>
    <w:p w:rsidR="00000000" w:rsidRDefault="00000000">
      <w:pPr>
        <w:tabs>
          <w:tab w:val="clear" w:pos="567"/>
          <w:tab w:val="left" w:pos="1134"/>
        </w:tabs>
        <w:ind w:left="1134" w:hanging="567"/>
      </w:pPr>
    </w:p>
    <w:p w:rsidR="00000000" w:rsidRDefault="00000000">
      <w:pPr>
        <w:tabs>
          <w:tab w:val="clear" w:pos="567"/>
          <w:tab w:val="left" w:pos="1134"/>
        </w:tabs>
        <w:ind w:left="1134" w:hanging="567"/>
        <w:rPr>
          <w:u w:val="single"/>
        </w:rPr>
      </w:pPr>
      <w:r>
        <w:sym w:font="Symbol" w:char="F0B7"/>
      </w:r>
      <w:r>
        <w:tab/>
        <w:t xml:space="preserve">обеспечение всеобщего охвата населения к 2010 году. </w:t>
      </w:r>
    </w:p>
    <w:p w:rsidR="00000000" w:rsidRDefault="00000000">
      <w:pPr>
        <w:tabs>
          <w:tab w:val="clear" w:pos="567"/>
        </w:tabs>
      </w:pPr>
    </w:p>
    <w:p w:rsidR="00000000" w:rsidRDefault="00000000">
      <w:pPr>
        <w:rPr>
          <w:b/>
        </w:rPr>
      </w:pPr>
      <w:r>
        <w:rPr>
          <w:b/>
        </w:rPr>
        <w:t xml:space="preserve">Общие стратегии </w:t>
      </w:r>
    </w:p>
    <w:p w:rsidR="00000000" w:rsidRDefault="00000000">
      <w:pPr>
        <w:rPr>
          <w:b/>
        </w:rPr>
      </w:pPr>
    </w:p>
    <w:p w:rsidR="00000000" w:rsidRDefault="00000000">
      <w:r>
        <w:t>23.</w:t>
      </w:r>
      <w:r>
        <w:tab/>
        <w:t>Общими стратегиями в рамках ОДВ являются:  проведение институциональных реформ в штатах для повышения эффективности системы преподавания; устойчивое долевое финансирование в партнерстве со штатами (9-ый План – 85:15, 10</w:t>
      </w:r>
      <w:r>
        <w:noBreakHyphen/>
        <w:t>ый План </w:t>
      </w:r>
      <w:r>
        <w:noBreakHyphen/>
        <w:t> 75:25, впоследствии - 50:50);  решение вопросов управления школами на уровне общин посредством эффективной децентрализации;  укрепление институциональных возможностей для повышения качества обучения;  контроль на уровне общин в условиях полной транспарентности на всех этапах реализации;  уделение особого внимания девочкам, работающим детям из зарегистрированных каст (ЗК)/зарегистрированных племен (ЗП), детям из обездоленных слоев городского населения, детям с особыми потребностями, детям из маргинализированных семей и детям из групп, проживающих в труднодоступных районах;  упор на качество и необходимость образования;  признание важной роли преподавателя и уделение внимания потребностям преподавателей при разработке планов развития людских ресурсов, а также составление планов начального образования на уровне районов с учетом всех государственных и неправительственных инвестиций.</w:t>
      </w:r>
    </w:p>
    <w:p w:rsidR="00000000" w:rsidRDefault="00000000"/>
    <w:p w:rsidR="00000000" w:rsidRDefault="00000000">
      <w:r>
        <w:t>24.</w:t>
      </w:r>
      <w:r>
        <w:tab/>
        <w:t>Как уже указывалось, лежащая в основе ОДВ стратегия ориентирована на общины.  Планы образования в сельских районах, подготовленные в консультации с учреждениями  системы Панчаяти Радж, сформируют основу планов развития начального образования.  К 2002 году программа ОДВ охватит всю страну;  при этом особое внимание будет уделяться вопросам образования девочек, детей из зарегистрированных каст и племен и детей, находящихся в трудных обстоятельствах.</w:t>
      </w:r>
    </w:p>
    <w:p w:rsidR="00000000" w:rsidRDefault="00000000"/>
    <w:p w:rsidR="00000000" w:rsidRDefault="00000000">
      <w:r>
        <w:t>25.</w:t>
      </w:r>
      <w:r>
        <w:tab/>
        <w:t>Министерство развития людских ресурсов учредило государственную комиссию  под председательством премьер-министра для контроля за осуществлением данного проекта.</w:t>
      </w:r>
    </w:p>
    <w:p w:rsidR="00000000" w:rsidRDefault="00000000">
      <w:pPr>
        <w:rPr>
          <w:u w:val="single"/>
        </w:rPr>
      </w:pPr>
    </w:p>
    <w:p w:rsidR="00000000" w:rsidRDefault="00000000">
      <w:pPr>
        <w:keepNext/>
        <w:rPr>
          <w:i/>
          <w:iCs/>
        </w:rPr>
      </w:pPr>
      <w:r>
        <w:rPr>
          <w:i/>
          <w:iCs/>
        </w:rPr>
        <w:t>Позитивные меры в интересах групп населения, находящихся в неблагоприятном социально-экономическом положении</w:t>
      </w:r>
    </w:p>
    <w:p w:rsidR="00000000" w:rsidRDefault="00000000">
      <w:pPr>
        <w:keepNext/>
      </w:pPr>
    </w:p>
    <w:p w:rsidR="00000000" w:rsidRDefault="00000000">
      <w:pPr>
        <w:keepNext/>
      </w:pPr>
      <w:r>
        <w:t>26.</w:t>
      </w:r>
      <w:r>
        <w:tab/>
        <w:t>Правительство Индии также проводит политику по осуществлению позитивных мер с целью создания благоприятных условий для осуществления прав человека представителями некоторых уязвимых групп населения, которые в силу неблагоприятных социально-исторических факторов находятся в тяжелом положении в социальном или экономическом плане.  С институциональной точки зрения Конституция предусматривает принятие конкретных позитивных мер для осуществления двоякой цели:  обеспечения защиты основных прав таких уязвимых групп населения, включая искоренение негативных социальных явлений, и содействия получению ими образования и удовлетворению их экономических интересов.  Эти меры включают резервирование мест для представителей таких групп в государственных учреждениях, администрации, парламенте (нижней палате) и законодательных органах штатов, а также создание консультативных советов и отдельных департаментов, занимающихся вопросами повышения благосостояния таких уязвимых в социально-экономическом плане групп.  Эти группы перечислены в соответствующих приложениях к Конституции и внесены в категорию зарегистрированных каст/племен.  Национальная комиссия по делам зарегистрированных каст и Национальная комиссия по делам зарегистрированных племен обеспечивают выполнение этих мер и следят за возможными нарушениями этих прав при осуществлении целого ряда ориентированных на конкретных бенефициаров программ и планов в целях повышения уровня образования и расширения возможностей в области занятости.  Эти меры включают создание Национальной корпорации по финансированию и развитию зарегистрированных каст и племен, которая осуществляет и финансирует различные программы по экономическому развитию этих групп населения.</w:t>
      </w:r>
    </w:p>
    <w:p w:rsidR="00000000" w:rsidRDefault="00000000"/>
    <w:p w:rsidR="00000000" w:rsidRDefault="00000000">
      <w:r>
        <w:t>27.</w:t>
      </w:r>
      <w:r>
        <w:tab/>
        <w:t>Аналогичным образом позитивные меры все чаще принимаются в интересах находящихся в неблагоприятном положении групп населения, принадлежащих к другим отсталым в социальном и образовательном плане кастам (ОСК).  Эти меры включают дополнительное резервирование 27 процентов мест для представителей ОСК;  кроме того, была создана Национальная корпорация по финансированию развития отсталых групп населения с целью льготного финансирования деятельности по повышению технической и предпринимательской квалификации и с целью выполнения функций центрального органа по наблюдению за деятельностью аналогичных учреждений на уровне штатов.</w:t>
      </w:r>
    </w:p>
    <w:p w:rsidR="00000000" w:rsidRDefault="00000000">
      <w:pPr>
        <w:spacing w:line="240" w:lineRule="auto"/>
        <w:rPr>
          <w:b/>
        </w:rPr>
      </w:pPr>
    </w:p>
    <w:p w:rsidR="00000000" w:rsidRDefault="00000000">
      <w:pPr>
        <w:spacing w:line="240" w:lineRule="auto"/>
        <w:rPr>
          <w:b/>
        </w:rPr>
      </w:pPr>
      <w:r>
        <w:rPr>
          <w:b/>
        </w:rPr>
        <w:t xml:space="preserve">Местное самоуправление (Панчаяти Радж) </w:t>
      </w:r>
    </w:p>
    <w:p w:rsidR="00000000" w:rsidRDefault="00000000">
      <w:pPr>
        <w:spacing w:line="240" w:lineRule="auto"/>
      </w:pPr>
    </w:p>
    <w:p w:rsidR="00000000" w:rsidRDefault="00000000">
      <w:r>
        <w:t>28.</w:t>
      </w:r>
      <w:r>
        <w:tab/>
        <w:t>В контексте обеспечения социального, политического и экономического равенства на низовом уровне учреждения системы Панчаяти Радж (местного самоуправления) играют ключевую роль в индийской политической жизни. С начала тысячелетия</w:t>
      </w:r>
      <w:r>
        <w:rPr>
          <w:i/>
        </w:rPr>
        <w:t xml:space="preserve"> </w:t>
      </w:r>
      <w:r>
        <w:rPr>
          <w:iCs/>
        </w:rPr>
        <w:t>так называемые панчаяты</w:t>
      </w:r>
      <w:r>
        <w:rPr>
          <w:i/>
        </w:rPr>
        <w:t xml:space="preserve"> </w:t>
      </w:r>
      <w:r>
        <w:t>(дословно - традиционные сельские суды, состоящие из пяти членов) были и остаются стержнем индийской деревни.  Статья 40 Конституции Индии (глава "Руководящие принципы государственной политики") требует от государства принятия мер для организации сельских</w:t>
      </w:r>
      <w:r>
        <w:rPr>
          <w:iCs/>
        </w:rPr>
        <w:t xml:space="preserve"> панчаятов </w:t>
      </w:r>
      <w:r>
        <w:t xml:space="preserve">и наделения их властью и полномочиями, необходимыми для их функционирования в качестве органов самоуправления.  Эта статья предусматривает организацию первичных органов самоуправления в иерархической системе демократических, директивных и административных органов самоуправления. </w:t>
      </w:r>
    </w:p>
    <w:p w:rsidR="00000000" w:rsidRDefault="00000000"/>
    <w:p w:rsidR="00000000" w:rsidRDefault="00000000">
      <w:r>
        <w:t>29.</w:t>
      </w:r>
      <w:r>
        <w:tab/>
        <w:t>Конституционный закон (73-я поправка) 1992 года, более известный как Закон</w:t>
      </w:r>
      <w:r>
        <w:rPr>
          <w:iCs/>
        </w:rPr>
        <w:t xml:space="preserve"> о Панчаяти Радж</w:t>
      </w:r>
      <w:r>
        <w:t xml:space="preserve">, ввел в действие трехуровневую систему привлечения населения к участию в реконструкции сельских районов и предоставил учреждениям системы </w:t>
      </w:r>
      <w:r>
        <w:rPr>
          <w:iCs/>
        </w:rPr>
        <w:t>Панчаяти Радж</w:t>
      </w:r>
      <w:r>
        <w:rPr>
          <w:i/>
        </w:rPr>
        <w:t xml:space="preserve"> </w:t>
      </w:r>
      <w:r>
        <w:rPr>
          <w:iCs/>
        </w:rPr>
        <w:t xml:space="preserve">конституционный статус.  </w:t>
      </w:r>
      <w:r>
        <w:t>Это было сделано для укрепления демократических институтов на низовом уровне и поддержки местной администрации. Основными элементами данного Закона являются:  трехуровневая система</w:t>
      </w:r>
      <w:r>
        <w:rPr>
          <w:iCs/>
        </w:rPr>
        <w:t xml:space="preserve"> Панчаяти Радж</w:t>
      </w:r>
      <w:r>
        <w:t xml:space="preserve"> для всех штатов с населением свыше 2 млн. человек;  регулярное - каждые пять лет - проведение выборов в </w:t>
      </w:r>
      <w:r>
        <w:rPr>
          <w:iCs/>
        </w:rPr>
        <w:t>Панчаяти Радж;</w:t>
      </w:r>
      <w:r>
        <w:t xml:space="preserve">  резервирование мест для зарегистрированных каст и племен, а также женщин (не менее одной трети от общего числа всех мест), формирование финансовых комиссий штатов, призванных выносить рекомендации относительно финансовых полномочий</w:t>
      </w:r>
      <w:r>
        <w:rPr>
          <w:i/>
        </w:rPr>
        <w:t xml:space="preserve"> </w:t>
      </w:r>
      <w:r>
        <w:rPr>
          <w:iCs/>
        </w:rPr>
        <w:t>панчаятов</w:t>
      </w:r>
      <w:r>
        <w:rPr>
          <w:i/>
        </w:rPr>
        <w:t>,</w:t>
      </w:r>
      <w:r>
        <w:t xml:space="preserve"> и образование комитетов по вопросам районного планирования для подготовки проектов планов развития района в целом. </w:t>
      </w:r>
    </w:p>
    <w:p w:rsidR="00000000" w:rsidRDefault="00000000"/>
    <w:p w:rsidR="00000000" w:rsidRDefault="00000000">
      <w:r>
        <w:t>30.</w:t>
      </w:r>
      <w:r>
        <w:tab/>
        <w:t>73-я Поправка к Конституции имеет огромное значение, поскольку она реализует на практике конституционный мандат, законодательно оформляя действенную, эффективную и демократическую местную администрацию.  Она обеспечивает конституционную гарантию основным и наиболее важным элементам демократических институтов самоуправления в сельских и городских районах.</w:t>
      </w:r>
    </w:p>
    <w:p w:rsidR="00000000" w:rsidRDefault="00000000"/>
    <w:p w:rsidR="00000000" w:rsidRDefault="00000000">
      <w:r>
        <w:t>31.</w:t>
      </w:r>
      <w:r>
        <w:tab/>
        <w:t xml:space="preserve">Прямые выборы в </w:t>
      </w:r>
      <w:r>
        <w:rPr>
          <w:i/>
        </w:rPr>
        <w:t>панчаяты</w:t>
      </w:r>
      <w:r>
        <w:t xml:space="preserve"> проводятся в территориальных избирательных округах</w:t>
      </w:r>
      <w:r>
        <w:rPr>
          <w:iCs/>
        </w:rPr>
        <w:t xml:space="preserve">.  </w:t>
      </w:r>
      <w:r>
        <w:t>Подробные положения в этой области разрабатываются правительствами штатов в рамках законодательной деятельности.  Такой порядок предусматривает достаточную степень гибкости для учета местных потребностей.  Правительствам штатов предлагается наделять</w:t>
      </w:r>
      <w:r>
        <w:rPr>
          <w:i/>
        </w:rPr>
        <w:t xml:space="preserve"> Панчаяти Радж </w:t>
      </w:r>
      <w:r>
        <w:t xml:space="preserve">необходимыми полномочиями путем передачи им функций, выделения финансовых средств и предоставления возможности осуществления административного контроля над должностными лицами в вопросах, касающихся 29 субъектов, перечисленных в Приложении </w:t>
      </w:r>
      <w:r>
        <w:rPr>
          <w:lang w:val="en-US"/>
        </w:rPr>
        <w:t>XI</w:t>
      </w:r>
      <w:r>
        <w:t xml:space="preserve"> к Конституции.  Они включают планирование и реализацию программ экономического развития и обеспечения социальной справедливости.</w:t>
      </w:r>
    </w:p>
    <w:p w:rsidR="00000000" w:rsidRDefault="00000000"/>
    <w:p w:rsidR="00000000" w:rsidRDefault="00000000">
      <w:r>
        <w:t>32.</w:t>
      </w:r>
      <w:r>
        <w:tab/>
        <w:t xml:space="preserve">Положения Закона1996 года о </w:t>
      </w:r>
      <w:r>
        <w:rPr>
          <w:i/>
        </w:rPr>
        <w:t>панчаят</w:t>
      </w:r>
      <w:r>
        <w:rPr>
          <w:i/>
          <w:iCs/>
        </w:rPr>
        <w:t>ах</w:t>
      </w:r>
      <w:r>
        <w:t xml:space="preserve"> [расширение сферы применения], распространяет их компетенцию на районы проживания племен в девяти штатах, а именно Андхра Прадеш, Чаттисгарх, Гуджарат, Химачал Прадеш, Джарханд, Махараштра, Мадхъя Прадеш, Орисса и Раджастхан.  Это расширяет возможности племен в сохранении и защите их традиционных прав на природные ресурсы.</w:t>
      </w:r>
    </w:p>
    <w:p w:rsidR="00000000" w:rsidRDefault="00000000"/>
    <w:p w:rsidR="00000000" w:rsidRDefault="00000000">
      <w:r>
        <w:t>33.</w:t>
      </w:r>
      <w:r>
        <w:tab/>
        <w:t xml:space="preserve">Закон о 73-й конституционной поправке придает конституционный статус и сельским советам (Грам Сабха), в состав которых входят лица, зарегистрированные в избирательных бюллетенях населенных пунктов, расположенных в пределах </w:t>
      </w:r>
      <w:r>
        <w:rPr>
          <w:i/>
        </w:rPr>
        <w:t>Грам Панчаята</w:t>
      </w:r>
      <w:r>
        <w:t xml:space="preserve"> (сельских панчаятов).  Этим советам отводится ключевая роль в обеспечении транспарентности функционирования </w:t>
      </w:r>
      <w:r>
        <w:rPr>
          <w:i/>
        </w:rPr>
        <w:t>Грам Панчаятов</w:t>
      </w:r>
      <w:r>
        <w:t xml:space="preserve">, справедливом распределении льгот, в создании общинных фондов и достижении социального согласия.  К их ведению относятся планирование и установление очередности работ по благоустройству деревни, утверждение годового плана </w:t>
      </w:r>
      <w:r>
        <w:rPr>
          <w:i/>
        </w:rPr>
        <w:t>Грам Панчаята</w:t>
      </w:r>
      <w:r>
        <w:t>, обеспечение активного участия женщин и других маргинализированных групп, достижение транспарентности в работе</w:t>
      </w:r>
      <w:r>
        <w:rPr>
          <w:i/>
        </w:rPr>
        <w:t xml:space="preserve"> Грам Панчаята, </w:t>
      </w:r>
      <w:r>
        <w:t xml:space="preserve"> выбор бенефициаров различных программ центрального правительства по развитию сельских районов, а также обеспечение полного контроля над природными ресурсами.  Другими словами, </w:t>
      </w:r>
      <w:r>
        <w:rPr>
          <w:i/>
        </w:rPr>
        <w:t xml:space="preserve">Грам Сабха </w:t>
      </w:r>
      <w:r>
        <w:t xml:space="preserve"> представляет собой своего рода форум, где маргинализированные группы могут влиять на принятие непосредственно затрагивающих их решений.  В результате ряда инициатив центрального правительства, осуществленных в сотрудничестве с правительствами штатов, Грам Сабха стали основой демократии на низовом уровне.</w:t>
      </w:r>
    </w:p>
    <w:p w:rsidR="00000000" w:rsidRDefault="00000000"/>
    <w:p w:rsidR="00000000" w:rsidRDefault="00000000">
      <w:r>
        <w:t>34.</w:t>
      </w:r>
      <w:r>
        <w:tab/>
        <w:t xml:space="preserve">Укрепление системы </w:t>
      </w:r>
      <w:r>
        <w:rPr>
          <w:i/>
          <w:iCs/>
        </w:rPr>
        <w:t>Панчаяти Радж</w:t>
      </w:r>
      <w:r>
        <w:t xml:space="preserve"> в последнее десятилетие привнесло большие изменения в социальную, экономическую и политическую жизнь индийской деревни.  Во многом это произошло благодаря расширению возможностей женщин и более слабых слоев населения, для которых были отведены места в этих учреждениях, включая руководящие посты.</w:t>
      </w:r>
    </w:p>
    <w:p w:rsidR="00000000" w:rsidRDefault="00000000"/>
    <w:p w:rsidR="00000000" w:rsidRDefault="00000000">
      <w:pPr>
        <w:rPr>
          <w:b/>
          <w:bCs/>
        </w:rPr>
      </w:pPr>
      <w:r>
        <w:rPr>
          <w:b/>
          <w:bCs/>
        </w:rPr>
        <w:t xml:space="preserve">Право на труд  </w:t>
      </w:r>
    </w:p>
    <w:p w:rsidR="00000000" w:rsidRDefault="00000000"/>
    <w:p w:rsidR="00000000" w:rsidRDefault="00000000">
      <w:r>
        <w:t>35.</w:t>
      </w:r>
      <w:r>
        <w:tab/>
        <w:t>В Конституции Индии о праве на труд говорится в "Руководящих принципах государственной политики".  Статья 39 призывает государство обеспечить, чтобы "граждане, мужчины и женщины, на равных основаниях имели право на достаточные средства к существованию".  Далее в статье 41 подчеркивается, что "государство в пределах его экономических возможностей и уровня развития принимает эффективные меры для обеспечения права на труд…".  Хотя правительство Индии разработало программы организации работ в сельских районах, предусматривающие привлечение большого числа рабочих рук, они не основаны на праве на труд, а представляют собой дополнительные возможности для трудоустройства или возможности, предоставляемые государством.</w:t>
      </w:r>
    </w:p>
    <w:p w:rsidR="00000000" w:rsidRDefault="00000000"/>
    <w:p w:rsidR="00000000" w:rsidRDefault="00000000">
      <w:r>
        <w:t>36.</w:t>
      </w:r>
      <w:r>
        <w:tab/>
        <w:t>До сих пор единственной попыткой сделать право на труд реальностью была разработанная штатом Махараштра "Программа  гарантированной занятости", которая стала результатом борьбы с нищетой и безработицей и поводом для которой послужила  страшная засуха 1970-1973 годов.  Вышеуказанная программа обеспечивает все взрослое население работой в течение двух недель с момента регистрации в любом квартальном бюро по трудоустройству;  в случае непредоставления работы должно выплачиваться пособие по безработице.  Многочисленные исследования показывают то, что ПГЗ штата Махараштра оказала мощное воздействие на ситуацию с занятостью по сравнению с другими программами по борьбе с нищетой в Индии.  Утверждается, что в 1987</w:t>
      </w:r>
      <w:r>
        <w:noBreakHyphen/>
        <w:t>1988 годах.  СГЗ позволила сократить уровень безработицы в штате на 7 %.</w:t>
      </w:r>
    </w:p>
    <w:p w:rsidR="00000000" w:rsidRDefault="00000000"/>
    <w:p w:rsidR="00000000" w:rsidRDefault="00000000">
      <w:r>
        <w:t>37.</w:t>
      </w:r>
      <w:r>
        <w:tab/>
        <w:t>Воодушевленное опытом штата Махараштра и принимая во внимание необходимость осуществления права на труд, включая принятые на общенациональном уровне и в других штатах законы о гарантированной занятости, правительство ввело в действие Закон 2005 года о гарантиях занятости сельского населения.</w:t>
      </w:r>
    </w:p>
    <w:p w:rsidR="00000000" w:rsidRDefault="00000000"/>
    <w:p w:rsidR="00000000" w:rsidRDefault="00000000">
      <w:r>
        <w:t>38.</w:t>
      </w:r>
      <w:r>
        <w:tab/>
        <w:t>Этот Закон имеет огромное значение.  Во-первых, его реализация станет первой национальной гарантией права на труд.  Во-вторых, хорошо подготовленная Программа гарантированной занятости (ПГЗ) в ближайшие годы может оказать действенное влияние  на уровень нищеты в сельских районах.  В-третьих, в стране, где способность трудиться является единственным экономическим достоянием миллионов людей, приносящая доход занятость становится единственным способом реализации других основных прав – права на жизнь, права на питание и права на образование.</w:t>
      </w:r>
    </w:p>
    <w:p w:rsidR="00000000" w:rsidRDefault="00000000"/>
    <w:p w:rsidR="00000000" w:rsidRDefault="00000000">
      <w:r>
        <w:t>39.</w:t>
      </w:r>
      <w:r>
        <w:tab/>
        <w:t xml:space="preserve">Согласно этому Закону, каждое домашнее хозяйство в сельских районах Индии будет иметь право как минимум на 100 дней гарантированной занятости в год, хотя бы для одного взрослого члена семьи.  Такая занятость будет иметь форму обычного ручного труда, оплачиваемого по установленной законом минимальной ставке, и заработанные средства будут выплачиваться не позднее, чем через семь дней после завершения трудовой недели. </w:t>
      </w:r>
    </w:p>
    <w:p w:rsidR="00000000" w:rsidRDefault="00000000"/>
    <w:p w:rsidR="00000000" w:rsidRDefault="00000000">
      <w:r>
        <w:t>40.</w:t>
      </w:r>
      <w:r>
        <w:tab/>
        <w:t xml:space="preserve">Данный Закон распространяется на все сельские районы Индии, включая пятый и шестой зарегистрированные районы.  Он вступит в силу в сельских районах через пять лет после его принятия, начиная с районов с наиболее высоким уровнем нищеты и постепенно распространяясь на всю Индию. </w:t>
      </w:r>
    </w:p>
    <w:p w:rsidR="00000000" w:rsidRDefault="00000000"/>
    <w:p w:rsidR="00000000" w:rsidRDefault="00000000">
      <w:r>
        <w:t>41.</w:t>
      </w:r>
      <w:r>
        <w:tab/>
        <w:t>Для практической реализации принципа гарантированной занятости правительство каждого штата в течение шести месяцев с момента вступления закона в силу обязано подготовить программу гарантированной занятости.  Основные элементы такой программы должны предусматривать следующее:</w:t>
      </w:r>
    </w:p>
    <w:p w:rsidR="00000000" w:rsidRDefault="00000000"/>
    <w:p w:rsidR="00000000" w:rsidRDefault="00000000">
      <w:pPr>
        <w:numPr>
          <w:ilvl w:val="0"/>
          <w:numId w:val="9"/>
        </w:numPr>
        <w:tabs>
          <w:tab w:val="clear" w:pos="567"/>
          <w:tab w:val="clear" w:pos="921"/>
          <w:tab w:val="clear" w:pos="1134"/>
          <w:tab w:val="num" w:pos="1122"/>
        </w:tabs>
        <w:ind w:left="1134" w:hanging="425"/>
      </w:pPr>
      <w:r>
        <w:t xml:space="preserve">В рамках данной программы признается только производительный труд, основанный на получении экономических, социальных и экологических выгод;  она должна способствовать социальному равенству и давать возможность создания постоянного дохода. </w:t>
      </w:r>
    </w:p>
    <w:p w:rsidR="00000000" w:rsidRDefault="00000000">
      <w:pPr>
        <w:tabs>
          <w:tab w:val="clear" w:pos="567"/>
          <w:tab w:val="clear" w:pos="1134"/>
          <w:tab w:val="num" w:pos="1122"/>
        </w:tabs>
        <w:ind w:left="1134" w:hanging="425"/>
      </w:pPr>
    </w:p>
    <w:p w:rsidR="00000000" w:rsidRDefault="00000000">
      <w:pPr>
        <w:numPr>
          <w:ilvl w:val="0"/>
          <w:numId w:val="9"/>
        </w:numPr>
        <w:tabs>
          <w:tab w:val="clear" w:pos="567"/>
          <w:tab w:val="clear" w:pos="921"/>
          <w:tab w:val="clear" w:pos="1134"/>
          <w:tab w:val="num" w:pos="1122"/>
        </w:tabs>
        <w:ind w:left="1134" w:hanging="425"/>
      </w:pPr>
      <w:r>
        <w:t>Работы должны производиться в сельских районах.</w:t>
      </w:r>
    </w:p>
    <w:p w:rsidR="00000000" w:rsidRDefault="00000000">
      <w:pPr>
        <w:tabs>
          <w:tab w:val="clear" w:pos="567"/>
          <w:tab w:val="clear" w:pos="1134"/>
          <w:tab w:val="num" w:pos="1122"/>
        </w:tabs>
        <w:ind w:left="1134" w:hanging="425"/>
      </w:pPr>
    </w:p>
    <w:p w:rsidR="00000000" w:rsidRDefault="00000000">
      <w:pPr>
        <w:numPr>
          <w:ilvl w:val="0"/>
          <w:numId w:val="9"/>
        </w:numPr>
        <w:tabs>
          <w:tab w:val="clear" w:pos="567"/>
          <w:tab w:val="clear" w:pos="921"/>
          <w:tab w:val="clear" w:pos="1134"/>
          <w:tab w:val="num" w:pos="1122"/>
        </w:tabs>
        <w:ind w:left="1134" w:hanging="425"/>
      </w:pPr>
      <w:r>
        <w:t xml:space="preserve">Насколько это возможно, программа должна предусматривать также профессиональную подготовку неквалифицированных рабочих. </w:t>
      </w:r>
    </w:p>
    <w:p w:rsidR="00000000" w:rsidRDefault="00000000">
      <w:pPr>
        <w:tabs>
          <w:tab w:val="clear" w:pos="567"/>
          <w:tab w:val="clear" w:pos="1134"/>
          <w:tab w:val="num" w:pos="1122"/>
        </w:tabs>
        <w:ind w:left="1134" w:hanging="425"/>
      </w:pPr>
    </w:p>
    <w:p w:rsidR="00000000" w:rsidRDefault="00000000">
      <w:pPr>
        <w:numPr>
          <w:ilvl w:val="0"/>
          <w:numId w:val="9"/>
        </w:numPr>
        <w:tabs>
          <w:tab w:val="clear" w:pos="567"/>
          <w:tab w:val="clear" w:pos="921"/>
          <w:tab w:val="clear" w:pos="1134"/>
          <w:tab w:val="num" w:pos="1122"/>
        </w:tabs>
        <w:ind w:left="1134" w:hanging="425"/>
      </w:pPr>
      <w:r>
        <w:t xml:space="preserve">В случаях, когда заработная плата напрямую связана с количеством произведенной работы, она будет выплачиваться по тарифной сетке, утвержденной правительством штата.  Для неквалифицированных рабочих эта тарифная сетка составляется таким образом, чтобы оплата семи часов работы приравнивалась к минимальной заработной плате сельскохозяйственных рабочих данного штата на данный момент. </w:t>
      </w:r>
    </w:p>
    <w:p w:rsidR="00000000" w:rsidRDefault="00000000"/>
    <w:p w:rsidR="00000000" w:rsidRDefault="00000000">
      <w:r>
        <w:t>42.</w:t>
      </w:r>
      <w:r>
        <w:tab/>
        <w:t>Правительство штата  несет ответственность за предоставление работы в течение 15</w:t>
      </w:r>
      <w:r>
        <w:rPr>
          <w:lang w:val="en-US"/>
        </w:rPr>
        <w:t> </w:t>
      </w:r>
      <w:r>
        <w:t>дней с момента подачи заявления и, по возможности, в пределах 5 км от места проживания подавшего заявление лица.  Если работа в течение 15 дней не предоставляется, заявитель имеет право на получение ежедневного пособия по безработице в течение 100</w:t>
      </w:r>
      <w:r>
        <w:rPr>
          <w:lang w:val="en-US"/>
        </w:rPr>
        <w:t> </w:t>
      </w:r>
      <w:r>
        <w:t>дней финансового года.</w:t>
      </w:r>
    </w:p>
    <w:p w:rsidR="00000000" w:rsidRDefault="00000000">
      <w:pPr>
        <w:rPr>
          <w:b/>
        </w:rPr>
      </w:pPr>
    </w:p>
    <w:p w:rsidR="00000000" w:rsidRDefault="00000000">
      <w:pPr>
        <w:rPr>
          <w:b/>
        </w:rPr>
      </w:pPr>
      <w:r>
        <w:rPr>
          <w:b/>
        </w:rPr>
        <w:t>Право на информацию</w:t>
      </w:r>
    </w:p>
    <w:p w:rsidR="00000000" w:rsidRDefault="00000000">
      <w:pPr>
        <w:rPr>
          <w:b/>
        </w:rPr>
      </w:pPr>
    </w:p>
    <w:p w:rsidR="00000000" w:rsidRDefault="00000000">
      <w:r>
        <w:t>43.</w:t>
      </w:r>
      <w:r>
        <w:tab/>
        <w:t>Правительством Индии принят Закон 2005 года о праве на информацию для обеспечения доступа своих граждан к информации, находящейся под государственным контролем, в целях поощрения открытости и подотчетности работы любых государственных органов.  Этот Закон вступил в силу 12 октября 2005 года.  В соответствии с этим Законом доступ к информации является одним из основных прав граждан.  По этому Закону все правительственные органы или финансируемые правительством учреждения должны назначать сотрудника по вопросам общественной информации (СОП).  В</w:t>
      </w:r>
      <w:r>
        <w:rPr>
          <w:lang w:val="en-US"/>
        </w:rPr>
        <w:t> </w:t>
      </w:r>
      <w:r>
        <w:t>сферу его полномочий входит обеспечение того, чтобы запрошенная информация доводилась до сведения петиционера в течение 30 дней или в течение 48 часов, если речь идет о данных, касающихся жизни или свободы человека.  Стимулом для проработки этого Закона послужили принятые ранее законодательные акты некоторых штатов (включая Махараштру, Гоа, Карнатаку, Дели и др.), предоставлающие гражданам право на информацию (в разной степени) о деятельности любого органа штата.  Этот Закон расценивается как веха на пути Индии к большей открытости и подотчетности.</w:t>
      </w:r>
    </w:p>
    <w:p w:rsidR="00000000" w:rsidRDefault="00000000"/>
    <w:p w:rsidR="00000000" w:rsidRDefault="00000000">
      <w:pPr>
        <w:jc w:val="center"/>
        <w:rPr>
          <w:b/>
        </w:rPr>
      </w:pPr>
      <w:r>
        <w:rPr>
          <w:b/>
        </w:rPr>
        <w:t>Часть 2</w:t>
      </w:r>
    </w:p>
    <w:p w:rsidR="00000000" w:rsidRDefault="00000000">
      <w:pPr>
        <w:jc w:val="center"/>
        <w:rPr>
          <w:b/>
        </w:rPr>
      </w:pPr>
    </w:p>
    <w:p w:rsidR="00000000" w:rsidRDefault="00000000">
      <w:pPr>
        <w:jc w:val="center"/>
        <w:rPr>
          <w:b/>
        </w:rPr>
      </w:pPr>
      <w:r>
        <w:rPr>
          <w:b/>
        </w:rPr>
        <w:t>ВЫПОЛНЕНИЕ СТАТЕЙ 2-7 КОНВЕНЦИИ</w:t>
      </w:r>
    </w:p>
    <w:p w:rsidR="00000000" w:rsidRDefault="00000000"/>
    <w:p w:rsidR="00000000" w:rsidRDefault="00000000">
      <w:pPr>
        <w:jc w:val="center"/>
        <w:rPr>
          <w:b/>
        </w:rPr>
      </w:pPr>
      <w:r>
        <w:rPr>
          <w:b/>
        </w:rPr>
        <w:t>Статья 2</w:t>
      </w:r>
    </w:p>
    <w:p w:rsidR="00000000" w:rsidRDefault="00000000"/>
    <w:p w:rsidR="00000000" w:rsidRDefault="00000000">
      <w:r>
        <w:t>44.</w:t>
      </w:r>
      <w:r>
        <w:tab/>
        <w:t>Эта статья предусматривает, что государство-участник обязуется не совершать в отношении лиц, групп или учреждений каких-либо актов или действий, связанных с расовой дискриминацией, и гарантировать, что все государственные органы и государственные учреждения, как национальные, так и местные, будут действовать в соответствии с этим обязательством;  не поощрять, не защищать и не поддерживать расовую дискриминацию, осуществляемую какими бы то ни было лицами или организациями;  принять эффективные меры для пересмотра политики правительства в национальном и местном масштабе, а также для исправления, отмены или аннулирования любых законов и постановлений, ведущих к возникновению или увековечиванию расовой дискриминации всюду, где она существует;  используя все надлежащие средства, в том числе и законодательные меры, в зависимости от обстоятельств, запретить расовую дискриминацию, проводимую любыми лицами, группами или организациями, и положить ей конец; поощрять, в надлежащих случаях, объединяющие многорасовые организации и движения, равно как и другие мероприятия, направленные на уничтожение расовых барьеров, и не поддерживать те из них, которые способствуют углублению расового разделения.  Эта статья  также налагает на государство-участник обязательство принимать особые  и конкретные меры в социальной, экономической, культурной и других областях с целью обеспечения надлежащего развития и защиты некоторых расовых групп и лиц, к ним принадлежащих, с тем чтобы гарантировать им полное и равное использование прав человека и основных свобод.</w:t>
      </w:r>
    </w:p>
    <w:p w:rsidR="00000000" w:rsidRDefault="00000000"/>
    <w:p w:rsidR="00000000" w:rsidRDefault="00000000">
      <w:r>
        <w:t>45.</w:t>
      </w:r>
      <w:r>
        <w:tab/>
        <w:t>В ряде положений Конституции Индии содержится однозначный запрет на все формы расовой дискриминации.  Предотвращение дискриминации является одним из важнейших компонентов идеи равенства, проходящей красной нитью через все положения Конституции.  Конституция Индии, которая является наиболее подробной письменной конституцией в мире, в своих статьях 14-17, 19-30, 32-35, 38-39А, 41-47 и в статье 51А четко гарантирует "основные права" и "основные свободы" и возлагает определенные обязательства на государство.  Несколько национальных законов имплементируют положения Конституции, запрещая дискриминацию и гарантируя основные права и свободы, а также определяя средства правовой защиты в случае их ущемления или нарушения.  Положения Конституции Индии, непосредственно касающиеся ликвидации дискриминации, были рассмотрены в предыдущих докладах.  Ниже приводится их краткое изложение.</w:t>
      </w:r>
    </w:p>
    <w:p w:rsidR="00000000" w:rsidRDefault="00000000"/>
    <w:p w:rsidR="00000000" w:rsidRDefault="00000000">
      <w:r>
        <w:t>46.</w:t>
      </w:r>
      <w:r>
        <w:tab/>
        <w:t>Статья 14 Конституции предусматривает, что государство обеспечивает всем лицам равенство перед законом или равную защиту закона на территории Индии.  Она запрещает дискриминацию и гарантирует равенство всех перед законом.  Следует отметить, что в статье 7 по смыслу, а в оригинале 17 Всеобщей декларации прав человека 1948 года говорится о равенстве всех людей перед законом и на равную защиту закона без какой бы то ни было дискриминации.  В целом та же концепция равенства заложена и в статье 14 Конституции Индии.</w:t>
      </w:r>
    </w:p>
    <w:p w:rsidR="00000000" w:rsidRDefault="00000000"/>
    <w:p w:rsidR="00000000" w:rsidRDefault="00000000">
      <w:r>
        <w:t>47.</w:t>
      </w:r>
      <w:r>
        <w:tab/>
        <w:t xml:space="preserve">Согласно пункту 1 статьи 15 Конституции Индии, государство не проводит дискриминации в отношении граждан по мотивам религиозной, расовой, кастовой принадлежности, пола, места рождения или по любому из этих мотивов.  В пункте 2 статьи 15 предусматривается, что ни один гражданин только по мотивам религиозной, расовой, кастовой принадлежности, пола, места рождения или по любому из этих мотивов не может быть в какой-либо мере лишен правоспособности, не должен нести особых обязанностей;  не может быть подвергнут ограничениям или поставлен в особые условия в отношении:  а)  доступа в магазины, рестораны, гостиницы и места общественного увеселения,  или  </w:t>
      </w:r>
      <w:r>
        <w:rPr>
          <w:lang w:val="en-US"/>
        </w:rPr>
        <w:t>b</w:t>
      </w:r>
      <w:r>
        <w:t>)  пользования колодцами, водоемами, купальнями, дорогами и местами общественного отдыха, содержащимися полностью или частично за счет государственных средств или открытыми для общественного пользования.  Следует отметить, что в то время как статья 15 (1) запрещает дискриминацию со стороны государства, статья 15 (2) запрещает проводить дискриминацию и государству, и частным лицам.  Данная статья является продолжением статьи 14 и развивает общий принцип равенства, закрепленный в статье 14.</w:t>
      </w:r>
    </w:p>
    <w:p w:rsidR="00000000" w:rsidRDefault="00000000"/>
    <w:p w:rsidR="00000000" w:rsidRDefault="00000000">
      <w:r>
        <w:t>48.</w:t>
      </w:r>
      <w:r>
        <w:tab/>
        <w:t>Статья 16 (1) индийской Конституции гарантирует равенство возможностей всех граждан при найме на работу в государственные учреждения или предприятия.  В статье 16 (2) говорится, что ни один гражданин не может быть подвергнут дискриминации только по мотивам религиозной, расовой, кастовой принадлежности, пола, происхождения, места рождения или места жительства.</w:t>
      </w:r>
    </w:p>
    <w:p w:rsidR="00000000" w:rsidRDefault="00000000"/>
    <w:p w:rsidR="00000000" w:rsidRDefault="00000000">
      <w:r>
        <w:t>49.</w:t>
      </w:r>
      <w:r>
        <w:tab/>
        <w:t>В статье 23 (2) Конституции Индии предусматривается, что при установлении обязательных повинностей в публичных целях государство не должно прибегать к дискриминации по мотивам религиозной, расовой, кастовой или классовой принадлежности или любому из этих мотивов.</w:t>
      </w:r>
    </w:p>
    <w:p w:rsidR="00000000" w:rsidRDefault="00000000"/>
    <w:p w:rsidR="00000000" w:rsidRDefault="00000000">
      <w:r>
        <w:t>50.</w:t>
      </w:r>
      <w:r>
        <w:tab/>
        <w:t>Согласно статье 325 Конституции Индии, посвященной избирательному процессу, в каждом территориальном избирательном округе составляется один общий список избирателей, и никто не может быть лишен права быть включенным в список по любому такому избирательному округу или требовать включения в особый список избирателей по мотивам религии, расы, касты или пола.</w:t>
      </w:r>
    </w:p>
    <w:p w:rsidR="00000000" w:rsidRDefault="00000000"/>
    <w:p w:rsidR="00000000" w:rsidRDefault="00000000">
      <w:r>
        <w:t>51.</w:t>
      </w:r>
      <w:r>
        <w:tab/>
        <w:t>Статьи 153 (А), 153 (В) и 505 Уголовного кодекса Индии предусматривают наказание за подстрекательство к расовой дискриминации.  Положения этих статей запрещают вражду между различными группами по мотивам религии, расы, места рождения, места проживания, языка и т.д., а нарушение этих положений влечет за собой наказание в виде тюремного заключения на срок до трех лет или штрафа или того и другого.  Статья 153 (А) Уголовного кодекса Индии применяется, когда используемая лексика по своему смыслу ясно и неизбежно имеет целью подстрекательство одной общины к действиям против другой.</w:t>
      </w:r>
    </w:p>
    <w:p w:rsidR="00000000" w:rsidRDefault="00000000"/>
    <w:p w:rsidR="00000000" w:rsidRDefault="00000000">
      <w:r>
        <w:t>52.</w:t>
      </w:r>
      <w:r>
        <w:tab/>
        <w:t>Согласно пункту 2 статьи 505 Уголовного кодекса Индии, любое лицо, которое делает, публикует или распространяет любые заявления или сообщения, содержащие служи или сеющую панику информацию с целью создания или поощрения или вероятного создания или поощрения по мотивам религии, расы, места рождения, места жительства, языка, кастовой или общинной принадлежности или по любым другим мотивам чувства вражды, ненависти или неприязни между различными религиозными, расовыми, языковыми или региональными группами, кастами или общинами, подлежит наказанию в виде тюремного заключения сроком до тех лет или штрафа или того и другого.</w:t>
      </w:r>
    </w:p>
    <w:p w:rsidR="00000000" w:rsidRDefault="00000000"/>
    <w:p w:rsidR="00000000" w:rsidRDefault="00000000">
      <w:pPr>
        <w:jc w:val="center"/>
        <w:rPr>
          <w:b/>
          <w:bCs/>
        </w:rPr>
      </w:pPr>
      <w:r>
        <w:rPr>
          <w:b/>
          <w:bCs/>
        </w:rPr>
        <w:t>Статья 3</w:t>
      </w:r>
    </w:p>
    <w:p w:rsidR="00000000" w:rsidRDefault="00000000">
      <w:pPr>
        <w:rPr>
          <w:b/>
          <w:bCs/>
          <w:u w:val="single"/>
        </w:rPr>
      </w:pPr>
    </w:p>
    <w:p w:rsidR="00000000" w:rsidRDefault="00000000">
      <w:r>
        <w:t>53.</w:t>
      </w:r>
      <w:r>
        <w:tab/>
        <w:t xml:space="preserve">Эта статья возлагает на правительство Индии обязательство осуждать расовую сегрегацию и апартеид и принимать необходимые меры для предупреждения, запрещения и искоренения такой практики дискриминации.  </w:t>
      </w:r>
    </w:p>
    <w:p w:rsidR="00000000" w:rsidRDefault="00000000"/>
    <w:p w:rsidR="00000000" w:rsidRDefault="00000000">
      <w:r>
        <w:t>54.</w:t>
      </w:r>
      <w:r>
        <w:tab/>
        <w:t>О приверженности Индии делу ликвидации  расовой дискриминации во всех ее формах, включая апартеид, свидетельствует та ведущая роль, которую она играла и играет в борьбе против апартеида и расовой дискриминации на международном уровне.  Этот вопрос уже рассматривался в предыдущих докладах.</w:t>
      </w:r>
    </w:p>
    <w:p w:rsidR="00000000" w:rsidRDefault="00000000"/>
    <w:p w:rsidR="00000000" w:rsidRDefault="00000000">
      <w:r>
        <w:t>55.</w:t>
      </w:r>
      <w:r>
        <w:tab/>
        <w:t xml:space="preserve">Индии выпала честь играть особую роль в поддержке длительной и сложной борьбы за ликвидацию колониализма и дискриминации, воплощением которых был апартеид в Африке, особенно в Южной Африке, и в оказании содействия исторической борьбе африканских стран за свободу и достоинство.  Вклад правительства и народа Индии </w:t>
      </w:r>
      <w:r>
        <w:noBreakHyphen/>
        <w:t xml:space="preserve"> это не просто акт солидарности с народами Африки:  он имеет глубокие корни в борьбе самой Индии за свободу и достоинство.  Унижения и оскорбления, которым лица индийского происхождения подвергались в Африке, и борьба за их права и достоинство, которую вел Махатма Ганди, оказали огромное влияние на индийское национальное движение.   Под руководством Махатмы Ганди и Пандита Джавахарлала Неру Национальное движение за независимость в своей бескомпромиссной борьбе против колониализма и расизма обрело международный авторитет.  Правительство и народ Индии всегда испытывали самое глубокое уважение к освободительным движениям в Африке и их лидерам, и безоговорочно их поддерживали.  Вклад в их дело, в том числе в рамках различных процессов в Организации Объединенных Наций, неизменно рассматривался как национальный долг.  Руководители Индии информировали общественное мнение о ситуации в Южной Африке и обеспечили самую широкую общественную поддержку всем мерам, рекомендованным Организацией Объединенных Наций.</w:t>
      </w:r>
    </w:p>
    <w:p w:rsidR="00000000" w:rsidRDefault="00000000"/>
    <w:p w:rsidR="00000000" w:rsidRDefault="00000000">
      <w:r>
        <w:t>56.</w:t>
      </w:r>
      <w:r>
        <w:tab/>
        <w:t xml:space="preserve">Индия активно участвовала  во Всемирной  конференции по борьбе против  расизма, расовой дискриминации, ксенофобии и связанной с ними нетерпимости, состоявшейся в Дурбане 31 августа – 8 сентября 2001 года.  Она сыграла ключевую роль в переговорах Рабочей группы по подготовке Программы действий, результатом которых стал консенсус по тексту раздела, посвященному информации, коммуникации и средствам массовой информации.  Индия также активно участвует в выполнении Программы действий, принятой консенсусом на Дурбанской конференции.   </w:t>
      </w:r>
    </w:p>
    <w:p w:rsidR="00000000" w:rsidRDefault="00000000"/>
    <w:p w:rsidR="00000000" w:rsidRDefault="00000000">
      <w:pPr>
        <w:jc w:val="center"/>
        <w:rPr>
          <w:b/>
        </w:rPr>
      </w:pPr>
      <w:r>
        <w:rPr>
          <w:b/>
        </w:rPr>
        <w:t>Статья 4</w:t>
      </w:r>
    </w:p>
    <w:p w:rsidR="00000000" w:rsidRDefault="00000000"/>
    <w:p w:rsidR="00000000" w:rsidRDefault="00000000">
      <w:r>
        <w:t>57.</w:t>
      </w:r>
      <w:r>
        <w:tab/>
        <w:t>Эта статья предусматривает предоставление информации о мерах законодательного, юридического, административного и иного характера, принятых с целью искоренения всякого подстрекательства или актов расовой дискриминации.</w:t>
      </w:r>
    </w:p>
    <w:p w:rsidR="00000000" w:rsidRDefault="00000000"/>
    <w:p w:rsidR="00000000" w:rsidRDefault="00000000">
      <w:r>
        <w:t>58.</w:t>
      </w:r>
      <w:r>
        <w:tab/>
        <w:t>В этом отношении продолжают действовать различные конституционные и правовые инструменты, такие, как Уголовный кодекс Индии (УКИ) и другие законодательные акты, запрещающие подстрекательство или поощрение расовой ненависти и дискриминации в какой бы то ни было форме.</w:t>
      </w:r>
    </w:p>
    <w:p w:rsidR="00000000" w:rsidRDefault="00000000"/>
    <w:p w:rsidR="00000000" w:rsidRDefault="00000000">
      <w:r>
        <w:t>59.</w:t>
      </w:r>
      <w:r>
        <w:tab/>
        <w:t>Здесь, возможно, уместно вновь сослаться на статью 15 Конституции, в которой указывается, что ни один гражданин только по мотивам религиозной, расовой, кастовой принадлежности, пола, места рождения не может в какой</w:t>
      </w:r>
      <w:r>
        <w:noBreakHyphen/>
        <w:t>либо мере быть подвергнут ограничениям или лишен правоспособности.  Статья 46 Конституции Индии четко предусматривает, в частности, что государство защищает уязвимые слои общества от несправедливости и всех форм эксплуатации.</w:t>
      </w:r>
    </w:p>
    <w:p w:rsidR="00000000" w:rsidRDefault="00000000"/>
    <w:p w:rsidR="00000000" w:rsidRDefault="00000000">
      <w:r>
        <w:t>60.</w:t>
      </w:r>
      <w:r>
        <w:tab/>
        <w:t>Статьи 153-А, 153-В и статья 505(2) УКИ квалифицируют в качестве уголовного преступления подстрекательство к ненависти по различным мотивам, включая расу.  В статье 153-А Уголовного кодекса Индии говорится:</w:t>
      </w:r>
    </w:p>
    <w:p w:rsidR="00000000" w:rsidRDefault="00000000"/>
    <w:p w:rsidR="00000000" w:rsidRDefault="00000000">
      <w:r>
        <w:tab/>
      </w:r>
      <w:r>
        <w:tab/>
        <w:t>Любое лицо, которое</w:t>
      </w:r>
    </w:p>
    <w:p w:rsidR="00000000" w:rsidRDefault="00000000"/>
    <w:p w:rsidR="00000000" w:rsidRDefault="00000000">
      <w:pPr>
        <w:ind w:left="1134"/>
      </w:pPr>
      <w:r>
        <w:t>словами в устной или письменной форме, знаками или видимым изображением, либо иным способом  поощряет или пытается поощрять, по мотивам религии, расы, места рождения, места жительства, языка, кастовой или общинной принадлежности или по каким либо иным мотивам, разногласия или чувство вражды, ненависти или неприязни между различными религиозными, расовыми, языковыми или региональными группами, кастами или общинами, или</w:t>
      </w:r>
    </w:p>
    <w:p w:rsidR="00000000" w:rsidRDefault="00000000"/>
    <w:p w:rsidR="00000000" w:rsidRDefault="00000000">
      <w:pPr>
        <w:ind w:left="1134"/>
      </w:pPr>
      <w:r>
        <w:t>совершает любое действие, наносящее ущерб сохранению гармонии между различными религиозными, расовыми, языковыми или региональными группами, кастами или общинами и нарушающее или способное нарушить общественное спокойствие,</w:t>
      </w:r>
    </w:p>
    <w:p w:rsidR="00000000" w:rsidRDefault="00000000"/>
    <w:p w:rsidR="00000000" w:rsidRDefault="00000000">
      <w:pPr>
        <w:ind w:left="1134"/>
      </w:pPr>
      <w:r>
        <w:t>подвергается наказанию в виде лишения свободы сроком до трех лет или штрафам или тому и другому.</w:t>
      </w:r>
    </w:p>
    <w:p w:rsidR="00000000" w:rsidRDefault="00000000"/>
    <w:p w:rsidR="00000000" w:rsidRDefault="00000000">
      <w:r>
        <w:tab/>
        <w:t>Статья 153-В УКИ гласит:</w:t>
      </w:r>
    </w:p>
    <w:p w:rsidR="00000000" w:rsidRDefault="00000000"/>
    <w:p w:rsidR="00000000" w:rsidRDefault="00000000">
      <w:pPr>
        <w:ind w:left="1134"/>
      </w:pPr>
      <w:r>
        <w:t>Любое лицо, которое словами в устной или письменной форме, знаками или видимым изображением, либо иным способом</w:t>
      </w:r>
    </w:p>
    <w:p w:rsidR="00000000" w:rsidRDefault="00000000">
      <w:pPr>
        <w:ind w:left="1134"/>
      </w:pPr>
    </w:p>
    <w:p w:rsidR="00000000" w:rsidRDefault="00000000">
      <w:pPr>
        <w:ind w:left="1134"/>
      </w:pPr>
      <w:r>
        <w:t>вменяет или публикует любые обвинения в том, что какая-либо группа лиц по причине принадлежности к той или иной религиозной, расовой, языковой или региональной группе, касте или общине не может быть истинно преданным и лояльным Конституции Индии, как это установлено законом, или поддерживать суверенитет и целостность Индии, или которое</w:t>
      </w:r>
    </w:p>
    <w:p w:rsidR="00000000" w:rsidRDefault="00000000"/>
    <w:p w:rsidR="00000000" w:rsidRDefault="00000000">
      <w:pPr>
        <w:ind w:left="1134"/>
      </w:pPr>
      <w:r>
        <w:t>утверждает, заявляет, информирует, пропагандирует или выступает с публикациями о том, что какая</w:t>
      </w:r>
      <w:r>
        <w:noBreakHyphen/>
        <w:t>либо группа лиц по причине принадлежности к религиозной, расовой, языковой, или региональной группе, касте или общине должна быть лишена своих прав или поражена в правах в качестве граждан Индии,  или</w:t>
      </w:r>
    </w:p>
    <w:p w:rsidR="00000000" w:rsidRDefault="00000000">
      <w:pPr>
        <w:ind w:left="567"/>
      </w:pPr>
    </w:p>
    <w:p w:rsidR="00000000" w:rsidRDefault="00000000">
      <w:pPr>
        <w:ind w:left="1134"/>
      </w:pPr>
      <w:r>
        <w:t>делает или публикует любые утверждения, представляет информацию, заявления или апелляции, касающиеся обязательств какой</w:t>
      </w:r>
      <w:r>
        <w:noBreakHyphen/>
        <w:t>либо группы лиц по причине принадлежности к религиозной, расовой, языковой или региональной группе, касте или общине, и при этом такие утверждения, информация, заявления или апелляции вызывают или могут вызвать разногласия или чувство вражды, ненависти или неприязни между членами этой группы и другими лицами, подвергается наказанию в виде лишения свободы сроком до трех лет или штрафу либо тому и другому.</w:t>
      </w:r>
    </w:p>
    <w:p w:rsidR="00000000" w:rsidRDefault="00000000"/>
    <w:p w:rsidR="00000000" w:rsidRDefault="00000000">
      <w:r>
        <w:tab/>
        <w:t>В статье 505(2) УКИ говорится нижеследующее:</w:t>
      </w:r>
    </w:p>
    <w:p w:rsidR="00000000" w:rsidRDefault="00000000"/>
    <w:p w:rsidR="00000000" w:rsidRDefault="00000000">
      <w:pPr>
        <w:ind w:left="1134"/>
      </w:pPr>
      <w:r>
        <w:t>Любое лицо, которое делает, публикует или распространяет любые заявления или сообщения, содержащие слухи или сеющую панику информацию с целью создания или вероятного создания или поощрения по мотивам религии, чувства вражды, ненависти или неприязни между различными религиозными, расовыми, языковыми или региональными группами, кастами или общинами, подлежит наказанию в виде лишения свободы сроком до трех лет или штрафа или тому другому.</w:t>
      </w:r>
    </w:p>
    <w:p w:rsidR="00000000" w:rsidRDefault="00000000"/>
    <w:p w:rsidR="00000000" w:rsidRDefault="00000000">
      <w:pPr>
        <w:ind w:left="567"/>
      </w:pPr>
      <w:r>
        <w:t>Статья 153 УКИ предусматривает наказание тех, кто поощряет насильственные действия в отношении групп лиц по признаку религии, расы, места рождения или языка, а статья 505(2) предусматривает наказание тех лиц, которые поощряют вражду между различными группами по мотивам религии, расы, места рождения, места жительства, языка, кастовой или общинной принадлежности и т.п.  Более того, совершение преступления по вышеперечисленным мотивам в местах отправления культа влечет наказание по статье 505(3) УКИ.</w:t>
      </w:r>
    </w:p>
    <w:p w:rsidR="00000000" w:rsidRDefault="00000000"/>
    <w:p w:rsidR="00000000" w:rsidRDefault="00000000">
      <w:r>
        <w:t>61.</w:t>
      </w:r>
      <w:r>
        <w:tab/>
        <w:t>Как отмечалось выше, Закон 1981 года о пресечении апартеида, введенный в действие в связи с принятием Международной конвенции о пресечении преступления апартеида и наказании за него, квалифицирует апартеид в Индии как преступление, наказуемое смертной казнью, пожизненным заключением или лишением свободы сроком до десяти лет, а также штрафом.</w:t>
      </w:r>
    </w:p>
    <w:p w:rsidR="00000000" w:rsidRDefault="00000000"/>
    <w:p w:rsidR="00000000" w:rsidRDefault="00000000">
      <w:r>
        <w:t>62.</w:t>
      </w:r>
      <w:r>
        <w:tab/>
        <w:t>Кроме того, организациям, действующим в Индии, запрещено поощрять расовую дискриминацию или подстрекать к ней.  Аналогичным образом государственные органы власти или учреждения (статья 12 Конституции) не могут поощрять или распространять идеи расовой дискриминации.  Как указывалось выше, нарушение этих положений влечет за собой уголовное преследование и наказание в соответствии с нормами уголовного законодательства.</w:t>
      </w:r>
    </w:p>
    <w:p w:rsidR="00000000" w:rsidRDefault="00000000"/>
    <w:p w:rsidR="00000000" w:rsidRDefault="00000000">
      <w:r>
        <w:t>63.</w:t>
      </w:r>
      <w:r>
        <w:tab/>
        <w:t>В соответствии с вышеупомянутым законодательством не возбуждалось каких</w:t>
      </w:r>
      <w:r>
        <w:noBreakHyphen/>
        <w:t>либо судебных дел за подстрекательство к расовым разногласиям или за распространение идей расового превосходства.</w:t>
      </w:r>
    </w:p>
    <w:p w:rsidR="00000000" w:rsidRDefault="00000000"/>
    <w:p w:rsidR="00000000" w:rsidRDefault="00000000">
      <w:pPr>
        <w:jc w:val="center"/>
        <w:rPr>
          <w:b/>
        </w:rPr>
      </w:pPr>
      <w:r>
        <w:rPr>
          <w:b/>
        </w:rPr>
        <w:t>Статья 5</w:t>
      </w:r>
    </w:p>
    <w:p w:rsidR="00000000" w:rsidRDefault="00000000"/>
    <w:p w:rsidR="00000000" w:rsidRDefault="00000000">
      <w:r>
        <w:t>64.</w:t>
      </w:r>
      <w:r>
        <w:tab/>
        <w:t>Статья 5 требует от правительства принять меры для обеспечения гражданских и политических, экономических, социальных и культурных прав путем ликвидации расовой дискриминации во всех ее формах без различия расы, цвета кожи, национального или этнического происхождения.</w:t>
      </w:r>
    </w:p>
    <w:p w:rsidR="00000000" w:rsidRDefault="00000000"/>
    <w:p w:rsidR="00000000" w:rsidRDefault="00000000">
      <w:r>
        <w:t>65.</w:t>
      </w:r>
      <w:r>
        <w:tab/>
        <w:t>Индия всецело привержена взятым на себя международным обязательствам и ратифицировала Международный пакт о гражданских и политических правах и Международный пакт об экономических, социальных и культурных правах.</w:t>
      </w:r>
    </w:p>
    <w:p w:rsidR="00000000" w:rsidRDefault="00000000"/>
    <w:p w:rsidR="00000000" w:rsidRDefault="00000000">
      <w:r>
        <w:t>66.</w:t>
      </w:r>
      <w:r>
        <w:tab/>
        <w:t xml:space="preserve">Как отмечалось выше, индийская Конституция гарантирует основные права всем гражданам (часть </w:t>
      </w:r>
      <w:r>
        <w:rPr>
          <w:lang w:val="en-US"/>
        </w:rPr>
        <w:t>III</w:t>
      </w:r>
      <w:r>
        <w:t xml:space="preserve"> Конституции).  Как отмечалось выше, Конституция Индии гарантирует своим гражданам осуществление на недискриминационной основе гражданских и политических прав, упомянутых в статье 5 МКЛРД, в то время как экономические, социальные и культурные права, закрепленные в статье 5 Конвенции, осуществляются в Индии посредством законов, политики и программ, выработанных государством с учетом Руководящих принципов государственной политики, изложенных в Части </w:t>
      </w:r>
      <w:r>
        <w:rPr>
          <w:lang w:val="en-US"/>
        </w:rPr>
        <w:t>IV</w:t>
      </w:r>
      <w:r>
        <w:t xml:space="preserve"> Конституции.  Хотя эти Руководящие принципы не могут быть рассмотрены в судебном порядке в том плане, что они не могут быть принудительно обеспечены, они "имеют тем не менее основополагающее значение для управления страной, и государство обязано исходить из этих принципов при издании законов" (</w:t>
      </w:r>
      <w:r>
        <w:rPr>
          <w:lang w:val="en-US"/>
        </w:rPr>
        <w:t>c</w:t>
      </w:r>
      <w:r>
        <w:t>татья 37 Конституции Индии).  Как отмечалось выше, некоторые из Руководящих принципов государственной политики были трансформированы в основные права, и толкование Верховным судом в либеральном ключе положений, касающихся права на жизнь и социально-экономической политики правительства, способствовало также улучшению социально-экономического положения уязвимых слоев общества.</w:t>
      </w:r>
    </w:p>
    <w:p w:rsidR="00000000" w:rsidRDefault="00000000">
      <w:pPr>
        <w:rPr>
          <w:b/>
        </w:rPr>
      </w:pPr>
    </w:p>
    <w:p w:rsidR="00000000" w:rsidRDefault="00000000">
      <w:r>
        <w:rPr>
          <w:b/>
        </w:rPr>
        <w:t>Статья 5 (а):</w:t>
      </w:r>
      <w:r>
        <w:rPr>
          <w:b/>
          <w:bCs/>
        </w:rPr>
        <w:tab/>
        <w:t>Право на равенство перед судом и всеми другими органами, отправляющими правосудие</w:t>
      </w:r>
    </w:p>
    <w:p w:rsidR="00000000" w:rsidRDefault="00000000">
      <w:pPr>
        <w:rPr>
          <w:b/>
        </w:rPr>
      </w:pPr>
    </w:p>
    <w:p w:rsidR="00000000" w:rsidRDefault="00000000">
      <w:r>
        <w:t>67.</w:t>
      </w:r>
      <w:r>
        <w:tab/>
        <w:t>Как отмечалось выше, статья 14 Конституции Индии закрепляет право на равенство, а статьи 15 и 16 также гарантируют равенство путем запрещения дискриминации.  Согласно статье 14, "государство не отказывает ни одному лицу в равенстве перед законом или в равной защите закона в пределах территории Индии".  Эти статьи являются взаимодополняющими.</w:t>
      </w:r>
    </w:p>
    <w:p w:rsidR="00000000" w:rsidRDefault="00000000"/>
    <w:p w:rsidR="00000000" w:rsidRDefault="00000000">
      <w:r>
        <w:t>68.</w:t>
      </w:r>
      <w:r>
        <w:tab/>
        <w:t>Статья 50 Конституции Индии посвящена вопросу разделения судебной и исполнительной власти в системе органов государства.  Индия гордится своей активной независимой и беспристрастной судебной системой.  Верховный суд и различные высокие суды созданы в соответствии со статьями 124 и 214 Конституции и осуществляют правосудие без какого-либо влияния со стороны законодательной и исполнительной ветвей власти.</w:t>
      </w:r>
    </w:p>
    <w:p w:rsidR="00000000" w:rsidRDefault="00000000">
      <w:pPr>
        <w:rPr>
          <w:b/>
        </w:rPr>
      </w:pPr>
    </w:p>
    <w:p w:rsidR="00000000" w:rsidRDefault="00000000">
      <w:pPr>
        <w:rPr>
          <w:b/>
          <w:bCs/>
        </w:rPr>
      </w:pPr>
      <w:r>
        <w:rPr>
          <w:b/>
        </w:rPr>
        <w:t>Статья 5 (</w:t>
      </w:r>
      <w:r>
        <w:rPr>
          <w:b/>
          <w:lang w:val="en-US"/>
        </w:rPr>
        <w:t>b</w:t>
      </w:r>
      <w:r>
        <w:rPr>
          <w:b/>
        </w:rPr>
        <w:t>):</w:t>
      </w:r>
      <w:r>
        <w:rPr>
          <w:b/>
        </w:rPr>
        <w:tab/>
      </w:r>
      <w:r>
        <w:rPr>
          <w:b/>
          <w:bCs/>
        </w:rPr>
        <w:t>Право на личную безопасность и защиту со стороны государства от насилия или телесных повреждений, причиняемых как правительственными должностными лицами, так и какими бы то ни было отдельными лицами, группами или учреждениями</w:t>
      </w:r>
    </w:p>
    <w:p w:rsidR="00000000" w:rsidRDefault="00000000">
      <w:pPr>
        <w:rPr>
          <w:b/>
        </w:rPr>
      </w:pPr>
    </w:p>
    <w:p w:rsidR="00000000" w:rsidRDefault="00000000">
      <w:r>
        <w:t>69.</w:t>
      </w:r>
      <w:r>
        <w:tab/>
        <w:t xml:space="preserve">Конституция гарантирует личные права каждого человека, и государство является единственным защитником всех граждан Индии.  Статья 21 Конституции Индии гарантирует, что "никто не может быть лишен жизни или личной свободы, кроме как на основании установленной законом процедуры".  Государство обязано защищать жизнь и безопасность каждого человека без дискриминации.  Более того, государство может само сделать подсудным любое преступное деяние, совершенное отдельным лицом или организацией.  Уголовный кодекс Индии 1860 года содержит целую главу о преступлениях, касающихся телесных повреждений.  Какой-либо информации о судебных делах, возбужденных в связи с уголовными преступлениями по расовым мотивам, не имеется. </w:t>
      </w:r>
    </w:p>
    <w:p w:rsidR="00000000" w:rsidRDefault="00000000"/>
    <w:p w:rsidR="00000000" w:rsidRDefault="00000000">
      <w:pPr>
        <w:rPr>
          <w:b/>
        </w:rPr>
      </w:pPr>
      <w:r>
        <w:rPr>
          <w:b/>
          <w:bCs/>
        </w:rPr>
        <w:t>Статья 5 (</w:t>
      </w:r>
      <w:r>
        <w:rPr>
          <w:b/>
        </w:rPr>
        <w:t>с):</w:t>
      </w:r>
      <w:r>
        <w:rPr>
          <w:b/>
        </w:rPr>
        <w:tab/>
        <w:t>Право участвовать в выборах</w:t>
      </w:r>
    </w:p>
    <w:p w:rsidR="00000000" w:rsidRDefault="00000000"/>
    <w:p w:rsidR="00000000" w:rsidRDefault="00000000">
      <w:r>
        <w:t>70.</w:t>
      </w:r>
      <w:r>
        <w:tab/>
        <w:t xml:space="preserve">Индия является конституционной демократией с парламентской формой правления.  Регулярные, свободные и справедливые выборы на основе всеобщего избирательного права граждан совершеннолетнего возраста являются основой ее законодательной власти на федеральном уровне и на уровне штатов, а также на уровне муниципальных и местных органов самоуправления.  В Индии более 600 млн. человек имеют право голоса, что свидетельствует о размерах крупнейшей в мире демократии и о ее динамичной природе.  Важными законодательными актами в этой сфере являются Закон о представительстве народа 1951 года, а также Закон о делимитации 1972 года, Правила проведения выборов 1961 года, Парламентский </w:t>
      </w:r>
      <w:r>
        <w:rPr>
          <w:bCs/>
        </w:rPr>
        <w:t>[</w:t>
      </w:r>
      <w:r>
        <w:t>Предупреждение дисквалификации</w:t>
      </w:r>
      <w:r>
        <w:rPr>
          <w:bCs/>
        </w:rPr>
        <w:t>]</w:t>
      </w:r>
      <w:r>
        <w:t xml:space="preserve"> акт 1959 года.</w:t>
      </w:r>
    </w:p>
    <w:p w:rsidR="00000000" w:rsidRDefault="00000000"/>
    <w:p w:rsidR="00000000" w:rsidRDefault="00000000">
      <w:r>
        <w:t>71.</w:t>
      </w:r>
      <w:r>
        <w:tab/>
        <w:t>Конституция Индии возлагает на Избирательную комиссию Индии обязанности по наблюдению, руководству и контролю за всем процессом проведения выборов в парламент и законодательные органы каждого штата, а также выборов на должность президента и вице-президента Индии.  Проведение всеобщих выборов в Индии для избрания нового состава нижней палаты парламента (Лок Сабха) представляет собой сложнейшую управленческую задачу.  Численность электората превышает 670 млн. человек, которые голосуют на 700 000 избирательных участках, расположенных в различных географических и климатических зонах.  Избирательные участки находятся в снежных Гималаях, в пустынях Раджастана и на малонаселенных островах в Индийском океане.</w:t>
      </w:r>
    </w:p>
    <w:p w:rsidR="00000000" w:rsidRDefault="00000000"/>
    <w:p w:rsidR="00000000" w:rsidRDefault="00000000">
      <w:r>
        <w:t>72.</w:t>
      </w:r>
      <w:r>
        <w:tab/>
        <w:t>Полномочия в области проведения выборов и всех связанных с выборами мероприятий возлагаются на Избирательную комиссию, которая состоит из трех уполномоченных по выборам и возглавляется председателем.</w:t>
      </w:r>
    </w:p>
    <w:p w:rsidR="00000000" w:rsidRDefault="00000000"/>
    <w:p w:rsidR="00000000" w:rsidRDefault="00000000">
      <w:r>
        <w:t>73.</w:t>
      </w:r>
      <w:r>
        <w:tab/>
        <w:t>Конституция Индии предоставляет своим гражданам право и возможность участвовать в выборах независимо от религии, расы, касты, пола или места рождения или любого из этих признаков.  Любой гражданин, достигший 18</w:t>
      </w:r>
      <w:r>
        <w:noBreakHyphen/>
        <w:t>летнего возраста, имеет право избирать представителей в законодательный орган.</w:t>
      </w:r>
    </w:p>
    <w:p w:rsidR="00000000" w:rsidRDefault="00000000"/>
    <w:p w:rsidR="00000000" w:rsidRDefault="00000000">
      <w:r>
        <w:t>74.</w:t>
      </w:r>
      <w:r>
        <w:tab/>
        <w:t>Индийская Конституция предусматривает наличие одного общего избирательного списка для каждого территориального округа, и ни один человек не может быть лишен права быть включенным в любой такой список или требовать включения в особый список избирателей на основании религии, расы, касты, пола или по любому их этих признаков.  Например, в последнем решении Избирательная комиссия на основании своих пленарных полномочий, предоставленных ей статьей 324 Конституции, постановила, что фамилии около 1 500 чакмас, которые, по мнению соответствующих сотрудников по регистрации избирателей, имели право на включение в соответствующий избирательный список, должны быть сохранены в избирательных списках для выборов в соответствующие органы.</w:t>
      </w:r>
    </w:p>
    <w:p w:rsidR="00000000" w:rsidRDefault="00000000"/>
    <w:p w:rsidR="00000000" w:rsidRDefault="00000000">
      <w:r>
        <w:t>75.</w:t>
      </w:r>
      <w:r>
        <w:tab/>
        <w:t xml:space="preserve">Любой гражданин Индии являющийся зарегистрированным избирателем, достигшим 25 лет, имеет право избираться в Лок Сабха (нижнюю палату индийского парламента) или в ассамблеи штатов.  Для Раджъя Сабха (верхней палаты индийского парламента) нижний возрастной ценз составляет 30 лет.  </w:t>
      </w:r>
    </w:p>
    <w:p w:rsidR="00000000" w:rsidRDefault="00000000"/>
    <w:p w:rsidR="00000000" w:rsidRDefault="00000000">
      <w:r>
        <w:t>76.</w:t>
      </w:r>
      <w:r>
        <w:tab/>
        <w:t xml:space="preserve">О всеобъемлющем и недискриминационном характере индийского демократического процесса свидетельствует также большое число зарегистрированных политических партий, имеющих различные и даже конкурирующие программы и действующих на всех уровнях демократического процесса - национальном, провинциальном (штаты) и местном. </w:t>
      </w:r>
    </w:p>
    <w:p w:rsidR="00000000" w:rsidRDefault="00000000"/>
    <w:p w:rsidR="00000000" w:rsidRDefault="00000000">
      <w:r>
        <w:rPr>
          <w:b/>
        </w:rPr>
        <w:t>Статья 5 (</w:t>
      </w:r>
      <w:r>
        <w:rPr>
          <w:b/>
          <w:lang w:val="en-US"/>
        </w:rPr>
        <w:t>d</w:t>
      </w:r>
      <w:r>
        <w:rPr>
          <w:b/>
        </w:rPr>
        <w:t>) (</w:t>
      </w:r>
      <w:r>
        <w:rPr>
          <w:b/>
          <w:lang w:val="en-US"/>
        </w:rPr>
        <w:t>i</w:t>
      </w:r>
      <w:r>
        <w:rPr>
          <w:b/>
        </w:rPr>
        <w:t>) и (</w:t>
      </w:r>
      <w:r>
        <w:rPr>
          <w:b/>
          <w:lang w:val="en-US"/>
        </w:rPr>
        <w:t>ii</w:t>
      </w:r>
      <w:r>
        <w:rPr>
          <w:b/>
        </w:rPr>
        <w:t>):</w:t>
      </w:r>
      <w:r>
        <w:rPr>
          <w:b/>
        </w:rPr>
        <w:tab/>
        <w:t xml:space="preserve">    Право</w:t>
      </w:r>
      <w:r>
        <w:t xml:space="preserve"> </w:t>
      </w:r>
      <w:r>
        <w:rPr>
          <w:b/>
        </w:rPr>
        <w:t>на свободу передвижения</w:t>
      </w:r>
      <w:r>
        <w:t xml:space="preserve"> </w:t>
      </w:r>
      <w:r>
        <w:rPr>
          <w:b/>
          <w:bCs/>
        </w:rPr>
        <w:t>и проживания в пределах государства и право покидать любую страну, включая свою собственную, и возвращаться в свою страну</w:t>
      </w:r>
    </w:p>
    <w:p w:rsidR="00000000" w:rsidRDefault="00000000"/>
    <w:p w:rsidR="00000000" w:rsidRDefault="00000000">
      <w:r>
        <w:t>77.</w:t>
      </w:r>
      <w:r>
        <w:tab/>
        <w:t xml:space="preserve">Согласно пункту 1 статьи 19 Конституции каждый гражданин Индии имеет право проживать в любом месте на территории Индии, а подпункт </w:t>
      </w:r>
      <w:r>
        <w:rPr>
          <w:lang w:val="en-US"/>
        </w:rPr>
        <w:t>d</w:t>
      </w:r>
      <w:r>
        <w:t>) этой статьи предоставляет право свободно передвигаться по всей территории Индии.  Однако в соответствии с пунктом 5 статьи 19 для осуществления этого права в интересах общества или для защиты интересов любого из зарегистрированных племен законом могут быть установлены разумные ограничения.</w:t>
      </w:r>
    </w:p>
    <w:p w:rsidR="00000000" w:rsidRDefault="00000000"/>
    <w:p w:rsidR="00000000" w:rsidRDefault="00000000">
      <w:r>
        <w:t>78.</w:t>
      </w:r>
      <w:r>
        <w:tab/>
        <w:t xml:space="preserve">Так, подобные ограничения на свободу передвижения вводятся в период досудебного разбирательства, когда обвиняемый в соответствии со статьей 438 (2) </w:t>
      </w:r>
      <w:r>
        <w:rPr>
          <w:lang w:val="en-US"/>
        </w:rPr>
        <w:t>iii</w:t>
      </w:r>
      <w:r>
        <w:t>) Уголовно</w:t>
      </w:r>
      <w:r>
        <w:noBreakHyphen/>
        <w:t>процессуального кодекса не имеет права покидать страну без предварительного разрешения суда.</w:t>
      </w:r>
    </w:p>
    <w:p w:rsidR="00000000" w:rsidRDefault="00000000"/>
    <w:p w:rsidR="00000000" w:rsidRDefault="00000000">
      <w:pPr>
        <w:rPr>
          <w:b/>
        </w:rPr>
      </w:pPr>
      <w:r>
        <w:rPr>
          <w:b/>
        </w:rPr>
        <w:t>Статья 5 (</w:t>
      </w:r>
      <w:r>
        <w:rPr>
          <w:b/>
          <w:lang w:val="en-US"/>
        </w:rPr>
        <w:t>d</w:t>
      </w:r>
      <w:r>
        <w:rPr>
          <w:b/>
        </w:rPr>
        <w:t>) (</w:t>
      </w:r>
      <w:r>
        <w:rPr>
          <w:b/>
          <w:lang w:val="en-US"/>
        </w:rPr>
        <w:t>iii</w:t>
      </w:r>
      <w:r>
        <w:rPr>
          <w:b/>
        </w:rPr>
        <w:t>):</w:t>
      </w:r>
      <w:r>
        <w:rPr>
          <w:b/>
        </w:rPr>
        <w:tab/>
        <w:t>Право на гражданство</w:t>
      </w:r>
    </w:p>
    <w:p w:rsidR="00000000" w:rsidRDefault="00000000"/>
    <w:p w:rsidR="00000000" w:rsidRDefault="00000000">
      <w:r>
        <w:t>79.</w:t>
      </w:r>
      <w:r>
        <w:tab/>
        <w:t>В Индии понятие государственной принадлежности трактуется с точки зрения гражданства.  Статьи 5</w:t>
      </w:r>
      <w:r>
        <w:noBreakHyphen/>
        <w:t>11 Конституции посвящены вопросам гражданства в период независимости.</w:t>
      </w:r>
    </w:p>
    <w:p w:rsidR="00000000" w:rsidRDefault="00000000"/>
    <w:p w:rsidR="00000000" w:rsidRDefault="00000000">
      <w:r>
        <w:t>80.</w:t>
      </w:r>
      <w:r>
        <w:tab/>
        <w:t>Статья 11 Конституции со всей определенностью наделяет парламент полномочиями регулировать посредством закона право на приобретение и прекращение гражданства, в связи с чем в 1955 году парламент принял Закон о гражданстве.  Этот Закон в настоящее время регулирует вопросы, касающиеся индийского гражданства.  Его положения являются недискриминационными и применяются вне зависимости от расы, касты, цвета кожи, пола или религии.</w:t>
      </w:r>
    </w:p>
    <w:p w:rsidR="00000000" w:rsidRDefault="00000000"/>
    <w:p w:rsidR="00000000" w:rsidRDefault="00000000">
      <w:pPr>
        <w:keepNext/>
        <w:rPr>
          <w:b/>
        </w:rPr>
      </w:pPr>
      <w:r>
        <w:rPr>
          <w:b/>
        </w:rPr>
        <w:t>Статья 5 (</w:t>
      </w:r>
      <w:r>
        <w:rPr>
          <w:b/>
          <w:lang w:val="en-US"/>
        </w:rPr>
        <w:t>d</w:t>
      </w:r>
      <w:r>
        <w:rPr>
          <w:b/>
        </w:rPr>
        <w:t>) (</w:t>
      </w:r>
      <w:r>
        <w:rPr>
          <w:b/>
          <w:lang w:val="en-US"/>
        </w:rPr>
        <w:t>iv</w:t>
      </w:r>
      <w:r>
        <w:rPr>
          <w:b/>
        </w:rPr>
        <w:t>):</w:t>
      </w:r>
      <w:r>
        <w:rPr>
          <w:b/>
        </w:rPr>
        <w:tab/>
        <w:t>Право на вступление в брак и на выбор супруга</w:t>
      </w:r>
    </w:p>
    <w:p w:rsidR="00000000" w:rsidRDefault="00000000">
      <w:pPr>
        <w:keepNext/>
      </w:pPr>
    </w:p>
    <w:p w:rsidR="00000000" w:rsidRDefault="00000000">
      <w:pPr>
        <w:keepNext/>
      </w:pPr>
      <w:r>
        <w:t>81.</w:t>
      </w:r>
      <w:r>
        <w:tab/>
        <w:t>Право на вступление в брак регулируется персональным правом каждой общины.  Законом не предусмотрены ограничения в выборе супруга.  Вопросы, касающиеся заключения брака, регулируются различными персональными или религиозными законами, учитывающими многообразие национальных обычаев и традиций, которые являются основой индийского плюралистического общества.  Церемония бракосочетания проводится с согласия обеих сторон.  В соответствии с Законом 1929 года о запрещении детских браков минимальный возраст для вступления в брак составляет 18 лет для девушек и 21 год для юношей.  В целом в соответствии с законодательством о браке запрета в отношении права на выбор супруга не существует.  После достижения брачного возраста, т.е. 18 лет для девушек и 21 год для юношей, каждый из них имеет право на выбор супруга.  Быстро меняющиеся социально-экономические условия в Индии и особая демографическая структура страны, характеризующаяся преобладанием молодежи, постепенно меняет и практику вступления в брак в рамках общины.</w:t>
      </w:r>
    </w:p>
    <w:p w:rsidR="00000000" w:rsidRDefault="00000000"/>
    <w:p w:rsidR="00000000" w:rsidRDefault="00000000">
      <w:r>
        <w:t>82.</w:t>
      </w:r>
      <w:r>
        <w:tab/>
        <w:t xml:space="preserve">Законы, касающиеся большинства религиозных общин, жизнь которых регулируется их собственными религиозными обычными нормами, были кодифицированы и изменены с целью ликвидации дискриминации в отношении женщин.  В этой связи можно назвать Закон 1872 года о христианских браках, Закон 1955 года о браке между индусами, Индийский закон о разводе 1969 года, Закон 1936 года о браке и разводе парси и Специальный закон о браке 1954 года.  Подробная информация об этих законах представлена в периодических докладах Индии о выполнении Конвенции о ликвидации всех форм дискриминации в отношении женщин.  </w:t>
      </w:r>
    </w:p>
    <w:p w:rsidR="00000000" w:rsidRDefault="00000000"/>
    <w:p w:rsidR="00000000" w:rsidRDefault="00000000">
      <w:pPr>
        <w:rPr>
          <w:b/>
        </w:rPr>
      </w:pPr>
      <w:r>
        <w:rPr>
          <w:b/>
        </w:rPr>
        <w:t>Статья 5 (</w:t>
      </w:r>
      <w:r>
        <w:rPr>
          <w:b/>
          <w:lang w:val="en-US"/>
        </w:rPr>
        <w:t>d</w:t>
      </w:r>
      <w:r>
        <w:rPr>
          <w:b/>
        </w:rPr>
        <w:t>) (</w:t>
      </w:r>
      <w:r>
        <w:rPr>
          <w:b/>
          <w:lang w:val="en-US"/>
        </w:rPr>
        <w:t>v</w:t>
      </w:r>
      <w:r>
        <w:rPr>
          <w:b/>
        </w:rPr>
        <w:t>):</w:t>
      </w:r>
      <w:r>
        <w:rPr>
          <w:b/>
        </w:rPr>
        <w:tab/>
        <w:t>Право на владение имуществом</w:t>
      </w:r>
    </w:p>
    <w:p w:rsidR="00000000" w:rsidRDefault="00000000"/>
    <w:p w:rsidR="00000000" w:rsidRDefault="00000000">
      <w:r>
        <w:t>83.</w:t>
      </w:r>
      <w:r>
        <w:tab/>
        <w:t>Статья 300-А Конституции Индии предусматривает, что "лица не могут быть лишены собственности иначе, как по уполномочию закона".  Эта статья четко</w:t>
      </w:r>
      <w:r>
        <w:rPr>
          <w:b/>
          <w:i/>
        </w:rPr>
        <w:t xml:space="preserve"> </w:t>
      </w:r>
      <w:r>
        <w:t>определяет, что человек может быть лишен собственности только на основании закона - акта парламента или законодательной ассамблеи штата </w:t>
      </w:r>
      <w:r>
        <w:noBreakHyphen/>
        <w:t xml:space="preserve"> или на основании постановления или указа, которые имеют силу закона, но не в силу исполнительного акта или решения.  В стране не существует запретов на владение собственностью или на отказ от нее.</w:t>
      </w:r>
    </w:p>
    <w:p w:rsidR="00000000" w:rsidRDefault="00000000"/>
    <w:p w:rsidR="00000000" w:rsidRDefault="00000000">
      <w:pPr>
        <w:rPr>
          <w:b/>
        </w:rPr>
      </w:pPr>
      <w:r>
        <w:rPr>
          <w:b/>
        </w:rPr>
        <w:t>Статья 5 (</w:t>
      </w:r>
      <w:r>
        <w:rPr>
          <w:b/>
          <w:lang w:val="en-US"/>
        </w:rPr>
        <w:t>d</w:t>
      </w:r>
      <w:r>
        <w:rPr>
          <w:b/>
        </w:rPr>
        <w:t>) (</w:t>
      </w:r>
      <w:r>
        <w:rPr>
          <w:b/>
          <w:lang w:val="en-US"/>
        </w:rPr>
        <w:t>vi</w:t>
      </w:r>
      <w:r>
        <w:rPr>
          <w:b/>
        </w:rPr>
        <w:t>):</w:t>
      </w:r>
      <w:r>
        <w:rPr>
          <w:b/>
        </w:rPr>
        <w:tab/>
        <w:t>Право наследования</w:t>
      </w:r>
    </w:p>
    <w:p w:rsidR="00000000" w:rsidRDefault="00000000"/>
    <w:p w:rsidR="00000000" w:rsidRDefault="00000000">
      <w:r>
        <w:t>84.</w:t>
      </w:r>
      <w:r>
        <w:tab/>
        <w:t>Право наследования в Индии также определяется персональными законами каждой общины, которые основаны на религиозной принадлежности соответствующих лиц.  Индийский закон о наследовании 1925 года предусматривает право наследования для всех граждан, кроме индусов, сикхов, джайнов, буддистов и мусульман.  Закон о наследовании индусов 1956 года установил равные права наследования для мужчин и женщин.  Некоторые положения этого акта имели дискриминационный характер по отношению к женщинам.  Недавно в него были внесены поправки, и в настоящее время женщины уравнены в правах с мужчинами в вопросах наследования.</w:t>
      </w:r>
    </w:p>
    <w:p w:rsidR="00000000" w:rsidRDefault="00000000"/>
    <w:p w:rsidR="00000000" w:rsidRDefault="00000000">
      <w:pPr>
        <w:rPr>
          <w:b/>
        </w:rPr>
      </w:pPr>
      <w:r>
        <w:rPr>
          <w:b/>
        </w:rPr>
        <w:t>Статья 5 (</w:t>
      </w:r>
      <w:r>
        <w:rPr>
          <w:b/>
          <w:lang w:val="en-US"/>
        </w:rPr>
        <w:t>d</w:t>
      </w:r>
      <w:r>
        <w:rPr>
          <w:b/>
        </w:rPr>
        <w:t>) (</w:t>
      </w:r>
      <w:r>
        <w:rPr>
          <w:b/>
          <w:lang w:val="en-US"/>
        </w:rPr>
        <w:t>vii</w:t>
      </w:r>
      <w:r>
        <w:rPr>
          <w:b/>
        </w:rPr>
        <w:t>):</w:t>
      </w:r>
      <w:r>
        <w:rPr>
          <w:b/>
        </w:rPr>
        <w:tab/>
        <w:t>Право на свободу мысли, совести и религии</w:t>
      </w:r>
    </w:p>
    <w:p w:rsidR="00000000" w:rsidRDefault="00000000"/>
    <w:p w:rsidR="00000000" w:rsidRDefault="00000000">
      <w:r>
        <w:t>85.</w:t>
      </w:r>
      <w:r>
        <w:tab/>
        <w:t xml:space="preserve">Индия – светское государство.  Термин "светское" не воспринимается в Индии в негативном смысле невмешательства в религиозные дела, в сферу вероисповедания населения Индии, что так или иначе гарантируется Конституцией, ни даже в смысле "равноудаленности" государства от этих вопросов.  Данное понятие воспринимается скорее как руководящий принцип и как позитивная идея "сарва дхарма самбхава", т.е. равное уважение всех религий.  Тот факт, что в Индии присутствуют и сохраняются на протяжении столетий и тысячелетий все основные религии мира, отражает вековые духовные идеалы индийского народа, который просто юридически закрепил существовавшие принципы, обеспечивая, при необходимости, их правоприменение.  Таким образом, государство не отдает предпочтения какой-либо одной религии, одинаково относясь ко всем деноминациям и обеспечивая их конституционную и правовую защиту без каких-либо преференций и дискриминации. </w:t>
      </w:r>
    </w:p>
    <w:p w:rsidR="00000000" w:rsidRDefault="00000000"/>
    <w:p w:rsidR="00000000" w:rsidRDefault="00000000">
      <w:r>
        <w:t>86.</w:t>
      </w:r>
      <w:r>
        <w:tab/>
        <w:t xml:space="preserve">Конституция Индии гарантирует не только гражданам Индии, но и всем проживающим в стране лицам "свободу совести", право иметь, практиковать и исповедовать свою религию.  Статьи 25-28 Конституции Индии содержат определенные права, касающиеся свободы религии.  Эти положения также защищают религиозные группы. </w:t>
      </w:r>
    </w:p>
    <w:p w:rsidR="00000000" w:rsidRDefault="00000000"/>
    <w:p w:rsidR="00000000" w:rsidRDefault="00000000">
      <w:r>
        <w:t>87.</w:t>
      </w:r>
      <w:r>
        <w:tab/>
        <w:t>Статья 26 Конституции гарантирует особую защиту религиозных сект.  Согласно статье 27, никто не может принуждаться к уплате каких-либо налогов, поступления от которых непосредственно предназначаются для финансового поощрения или поддержки какой-либо конкретной религии или религиозной конфессии.</w:t>
      </w:r>
    </w:p>
    <w:p w:rsidR="00000000" w:rsidRDefault="00000000"/>
    <w:p w:rsidR="00000000" w:rsidRDefault="00000000">
      <w:r>
        <w:t>88.</w:t>
      </w:r>
      <w:r>
        <w:tab/>
        <w:t>Свобода религии обеспечивается также через судебные решения Верховного суда и других высоких судов.</w:t>
      </w:r>
    </w:p>
    <w:p w:rsidR="00000000" w:rsidRDefault="00000000"/>
    <w:p w:rsidR="00000000" w:rsidRDefault="00000000">
      <w:r>
        <w:t>89.</w:t>
      </w:r>
      <w:r>
        <w:tab/>
        <w:t xml:space="preserve">Равное отношение к меньшинствам является особенностью индийской политики, которая способствует поддержанию светских традиций и ценностей этой страны.  Статьи 29 и 30 индийской Конституции обеспечивают права меньшинств в сохранении своего языка, культуры и других социальных особенностей, а также право управлять своими учебными заведениями.  Национальные комиссии, такие, как Национальная комиссия по правам человека (создана в 1993 году) и Национальная комиссия по делам меньшинств (1992 год) активно занимаются решением проблем и вносят предложения правительству по основным направлениям политики. </w:t>
      </w:r>
    </w:p>
    <w:p w:rsidR="00000000" w:rsidRDefault="00000000"/>
    <w:p w:rsidR="00000000" w:rsidRDefault="00000000">
      <w:r>
        <w:t>90.</w:t>
      </w:r>
      <w:r>
        <w:tab/>
        <w:t>Поощрение гармонии и духа братства между народами Индии, несмотря на все религиозные, языковые, региональные и конфессиональные различия, является основной обязанностью каждого гражданина Индии в соответствии со статьей 51-А Конституции.</w:t>
      </w:r>
    </w:p>
    <w:p w:rsidR="00000000" w:rsidRDefault="00000000"/>
    <w:p w:rsidR="00000000" w:rsidRDefault="00000000">
      <w:pPr>
        <w:rPr>
          <w:b/>
        </w:rPr>
      </w:pPr>
      <w:r>
        <w:rPr>
          <w:b/>
        </w:rPr>
        <w:t>Статья 5 (</w:t>
      </w:r>
      <w:r>
        <w:rPr>
          <w:b/>
          <w:lang w:val="en-US"/>
        </w:rPr>
        <w:t>d</w:t>
      </w:r>
      <w:r>
        <w:rPr>
          <w:b/>
        </w:rPr>
        <w:t>) (</w:t>
      </w:r>
      <w:r>
        <w:rPr>
          <w:b/>
          <w:lang w:val="en-US"/>
        </w:rPr>
        <w:t>viii</w:t>
      </w:r>
      <w:r>
        <w:rPr>
          <w:b/>
        </w:rPr>
        <w:t>):</w:t>
      </w:r>
      <w:r>
        <w:rPr>
          <w:b/>
        </w:rPr>
        <w:tab/>
        <w:t xml:space="preserve">Право на свободу убеждений и на их свободное выражение </w:t>
      </w:r>
    </w:p>
    <w:p w:rsidR="00000000" w:rsidRDefault="00000000"/>
    <w:p w:rsidR="00000000" w:rsidRDefault="00000000">
      <w:r>
        <w:t>91.</w:t>
      </w:r>
      <w:r>
        <w:tab/>
        <w:t>Свобода слова и выражения убеждений гарантируется пунктом 1 а) статьи 19 Конституции как основное право всех граждан.  В Индии свобода выражения включает права свободно выражать свои убеждения и мнения в устной и письменной форме, в печатном виде, графически и любым другим способом.  Кроме того, это включает право передавать их посредством любых средств массовой информации – печатных, электронных или аудио-визуальных (таких, как реклама, кино, статьи или выступления и т.д.).  Такая свобода включает свободу передачи или распространения своего мнения без ущерба для других лиц.  В соответствии с положениями пункта 2 статьи 19 могут вводиться разумные ограничения, как правило, соответствующие положениям Всеобщей декларации прав человека.</w:t>
      </w:r>
    </w:p>
    <w:p w:rsidR="00000000" w:rsidRDefault="00000000"/>
    <w:p w:rsidR="00000000" w:rsidRDefault="00000000">
      <w:r>
        <w:t>92.</w:t>
      </w:r>
      <w:r>
        <w:tab/>
        <w:t>Свобода выражения мнений является жизненно важным правом, которое тщательно охраняется Верховным судом.  В ряде своих решений Верховный суд конкретно ссылался на принцип свободы слова и выражения мнений - основной принцип демократии</w:t>
      </w:r>
      <w:r>
        <w:rPr>
          <w:b/>
          <w:bCs/>
          <w:vertAlign w:val="superscript"/>
        </w:rPr>
        <w:footnoteReference w:id="3"/>
      </w:r>
      <w:r>
        <w:t xml:space="preserve">.  Свобода печати является частью свободы слова и выражения мнений и толкуется судами как "разновидность формы выражения мнений".  Свобода аудиовизуальных и печатных средств массовой информации имеет особое значение для эффективного функционирования демократии, особенно в такой большой и многообразной стране, как Индия.  Средства массовой информации в Индии нередко поднимали вопросы соблюдения прав человека и верховенства права, и во многих случаях переданная ими </w:t>
      </w:r>
    </w:p>
    <w:p w:rsidR="00000000" w:rsidRDefault="00000000">
      <w:r>
        <w:br w:type="page"/>
        <w:t>информация играла непосредственную роль в деле обеспечения справедливости в интересах конкретных людей, особенно из уязвимых слоев населения.</w:t>
      </w:r>
    </w:p>
    <w:p w:rsidR="00000000" w:rsidRDefault="00000000"/>
    <w:p w:rsidR="00000000" w:rsidRDefault="00000000">
      <w:r>
        <w:t>93.</w:t>
      </w:r>
      <w:r>
        <w:tab/>
        <w:t>В Индии существует огромное число языков, не говоря уже о бесчисленном множестве диалектов.  Защита и поощрение этого языкового многообразия является одной из обязанностей государства.  В Конституции Индии конкретно признается языковое многообразие страны, и в восьмое Приложении к ней включены 18 языков.  Эти языки, помимо средства официального общения, являются также проводником культурного многообразия индийского народа и несут в себе все богатство литературных традиций.</w:t>
      </w:r>
    </w:p>
    <w:p w:rsidR="00000000" w:rsidRDefault="00000000"/>
    <w:p w:rsidR="00000000" w:rsidRDefault="00000000">
      <w:r>
        <w:t>94.</w:t>
      </w:r>
      <w:r>
        <w:tab/>
        <w:t>Представление о свободных, независимых и динамичных средствах массовой информации, беспрепятственно действующих в недискриминационных условиях и охватывающих различные языки и регионы страны, дает статистика о выходящих в стране газетах и периодических изданиях.  В 2001 году газеты в Индии издавались на 101 языке и диалекте.  Помимо публикаций на языках, включенных в восьмое Приложение, материалы публиковались также на 82 языках, диалектах и на нескольких иностранных языках.  Наибольшее количество газет и журналов издается на хинди (20 589), за которым следуют английский (7 596), маратхи (2 943), урду (2 906), бенгали (2 741), гуджарати (2 215), тамильском языке (2 119), языках каннада (1 816), малаялам (1 505) и телугу (1 289).  Что касается ежедневных периодических изданий, то первое место занимают газеты, издающиеся на хинди, тираж которых в 2001 году составил 4 70 06 395 экземпляров;  за ними следуют газеты на английском (2 30 94 261 экземпляров) и на языке малаялам (72 53 625 экземпляров).  Среди ежедневных газет 2 707 издаются на хинди, 534 - на урду и 407 - на английском.  Среди языков, на которых в 2001 году выходило более 100 ежедневных изданий, были маратхи (395), тамильский (366), каннада (364), малаялам (225), телугу (180), гуджарати (159), пенджаби (107) и бенгали (103).  О впечатляющем характере богатого регионального разнообразия говорит и место публикации изданий.  Наибольшее количество газет было издано в Уттар-Прадеш (8 397), Дели (6 926), Махараштре (6 018) и Мадхья-Прадеш (3 555).  Более 100 газет издается в следующих штатах - Западном Бенгали (3 738), Раджастхане (3 310), Тамил</w:t>
      </w:r>
      <w:r>
        <w:noBreakHyphen/>
        <w:t>Наду (2 838), Карнатаке (2 556), Андхра-Прадеш (2 398), Гуджарате (2 257), Керале (1 854), Бихаре, (1 513), Пенджабе (1 204) и Хариане (1 036).  Кроме того, в Дели и Махараштре газеты издаются на 17 из 19 основных языков.  На 15 основных языках издаются газеты в Тамил-Наду, на 14 – в Андхра-Прадеш и в Западном Бенгали, на 12 - в Карнатаке и на 10 - в Керале.</w:t>
      </w:r>
    </w:p>
    <w:p w:rsidR="00000000" w:rsidRDefault="00000000"/>
    <w:p w:rsidR="00000000" w:rsidRDefault="00000000">
      <w:pPr>
        <w:keepNext/>
      </w:pPr>
      <w:r>
        <w:rPr>
          <w:b/>
        </w:rPr>
        <w:t>Статья 5 (е):</w:t>
      </w:r>
      <w:r>
        <w:rPr>
          <w:b/>
        </w:rPr>
        <w:tab/>
      </w:r>
      <w:r>
        <w:rPr>
          <w:b/>
          <w:bCs/>
        </w:rPr>
        <w:t>Экономические, социальные и культурные права, в частности право на труд, свободный выбор работы, справедливые и благоприятные условия труда, защиту от безработицы, равную плату за равный труд, справедливое и удовлетворительное вознаграждение</w:t>
      </w:r>
      <w:r>
        <w:t xml:space="preserve">  </w:t>
      </w:r>
    </w:p>
    <w:p w:rsidR="00000000" w:rsidRDefault="00000000">
      <w:pPr>
        <w:keepNext/>
      </w:pPr>
    </w:p>
    <w:p w:rsidR="00000000" w:rsidRDefault="00000000">
      <w:pPr>
        <w:keepNext/>
        <w:rPr>
          <w:b/>
        </w:rPr>
      </w:pPr>
      <w:r>
        <w:rPr>
          <w:b/>
        </w:rPr>
        <w:tab/>
        <w:t>Право на труд</w:t>
      </w:r>
    </w:p>
    <w:p w:rsidR="00000000" w:rsidRDefault="00000000">
      <w:pPr>
        <w:keepNext/>
        <w:rPr>
          <w:b/>
        </w:rPr>
      </w:pPr>
    </w:p>
    <w:p w:rsidR="00000000" w:rsidRDefault="00000000">
      <w:r>
        <w:t>95.</w:t>
      </w:r>
      <w:r>
        <w:tab/>
        <w:t xml:space="preserve">Свобода труда и экономическая безопасность являются двумя основными элементами программ обеспечения занятости в Индии.  Часть </w:t>
      </w:r>
      <w:r>
        <w:rPr>
          <w:lang w:val="en-US"/>
        </w:rPr>
        <w:t>III</w:t>
      </w:r>
      <w:r>
        <w:t xml:space="preserve"> и Часть </w:t>
      </w:r>
      <w:r>
        <w:rPr>
          <w:lang w:val="en-US"/>
        </w:rPr>
        <w:t>IV</w:t>
      </w:r>
      <w:r>
        <w:t xml:space="preserve"> индийской Конституции закрепляют право на труд.  Подробная информация и новые тенденции в области обеспечения права на труд изложены в пункте 35 и последующих пунктах.</w:t>
      </w:r>
    </w:p>
    <w:p w:rsidR="00000000" w:rsidRDefault="00000000"/>
    <w:p w:rsidR="00000000" w:rsidRDefault="00000000">
      <w:r>
        <w:t>96.</w:t>
      </w:r>
      <w:r>
        <w:tab/>
        <w:t>В соответствии с Конституцией Индии вопросы труда являются своего рода "взаимопересекающейся областью", поскольку и центральное правительство, и правительства штатов компетентны принимать законодательные акты.  Формулирование и осуществление программ и политики в сфере трудовых отношений центрального правительства является прерогативой министерства труда.  Главная цель политики Индии в сфере труда заключается в решении задачи обеспечения полной занятости как главного приоритета экономической и социальной политики и в предоставлении всем мужчинам и женщинам возможности получать и иметь постоянные средства к существованию посредством свободно выбранного производительного труда и вида деятельности.</w:t>
      </w:r>
    </w:p>
    <w:p w:rsidR="00000000" w:rsidRDefault="00000000"/>
    <w:p w:rsidR="00000000" w:rsidRDefault="00000000">
      <w:r>
        <w:t>97.</w:t>
      </w:r>
      <w:r>
        <w:tab/>
        <w:t xml:space="preserve">Цель свободного выбора работы в Индии решается двояким путем:  за счет положений, обеспечивающих отсутствие какого-либо принуждения к занятию трудом, который не является свободно выбранным, и за счет возможности пройти обучение и получить доступ к приемлемой работе без какой-либо дискриминации.  Отсутствие какого-либо принуждения при выборе работы гарантируется пунктом 4 статьи 16, пунктом 1 </w:t>
      </w:r>
      <w:r>
        <w:rPr>
          <w:lang w:val="en-US"/>
        </w:rPr>
        <w:t>g</w:t>
      </w:r>
      <w:r>
        <w:t>) статьи 19, статьями 21, 23, 24 (в рамках обеспечения основных прав) и статьями 309-312 Конституции Индии и имплементируется посредством внутренних законов.  Вместе с тем эти положения не запрещают парламенту и законодательным органам штатов регулировать условия работы лиц, принятых на государственную службу и назначенных на государственные должности на национальном уровне и на уровне штатов.</w:t>
      </w:r>
    </w:p>
    <w:p w:rsidR="00000000" w:rsidRDefault="00000000"/>
    <w:p w:rsidR="00000000" w:rsidRDefault="00000000">
      <w:r>
        <w:t>98.</w:t>
      </w:r>
      <w:r>
        <w:tab/>
        <w:t xml:space="preserve">Вторая мера, к которой прибегает правительство Индии и которая касается обеспечения профессиональной подготовки и доступа к подходящей работе без дискриминации, является составной частью пятилетних планов и политики.  Во втором и третьем пятилетних планах, разработанных с целью создания прочной промышленной базы, подчеркивалась необходимость расширения центров профессиональной подготовки.  Профессионально-техническое обучение в учебных заведениях стало основным средством подготовки квалифицированных кадров.  Однако даже в условиях такого расширения во многих секторах экономики приходится сохранять традиционные методы подготовки без отрыва от производства.  </w:t>
      </w:r>
    </w:p>
    <w:p w:rsidR="00000000" w:rsidRDefault="00000000"/>
    <w:p w:rsidR="00000000" w:rsidRDefault="00000000">
      <w:r>
        <w:t>99.</w:t>
      </w:r>
      <w:r>
        <w:tab/>
        <w:t>Пункты 1 и 2 статьи 16 Конституции Индии предусматривают, что ни один гражданин не может быть подвергнут дискриминации или лишен права найма на работу или назначения на должность в государственном учреждении или предприятии только по мотивам религиозной, расовой, кастовой принадлежности, пола, происхождения, места рождения, места жительства или по любому из этих мотивов.</w:t>
      </w:r>
    </w:p>
    <w:p w:rsidR="00000000" w:rsidRDefault="00000000"/>
    <w:p w:rsidR="00000000" w:rsidRDefault="00000000">
      <w:r>
        <w:t>100.</w:t>
      </w:r>
      <w:r>
        <w:tab/>
        <w:t>В любом обществе есть слои населения, являющиеся более слабыми экономически и имеющие более низкие социальные показатели.  Индия в этом отношении не является исключением.  Для улучшения условий жизни этих слоев индийского общества Конституция предусматривает ряд мер либерального характера в интересах меньшинств, отсталых групп населения и других.  Все вместе это называется "позитивной дискриминацией" в пользу уязвимых слоев населения, предусматривающей принятие конструктивных мер со стороны государства для улучшения их социально-экономического положения.</w:t>
      </w:r>
    </w:p>
    <w:p w:rsidR="00000000" w:rsidRDefault="00000000"/>
    <w:p w:rsidR="00000000" w:rsidRDefault="00000000">
      <w:r>
        <w:t>101.</w:t>
      </w:r>
      <w:bookmarkStart w:id="3" w:name="sub_para_N_16042"/>
      <w:bookmarkEnd w:id="3"/>
      <w:r>
        <w:tab/>
        <w:t>Пункты 4 и 4 А) статьи 16 Конституции Индии позволяют государству издавать постановления относительно резервирования должностей на государственной службе для граждан любой отсталой группы и относительно резервирования в сфере продвижения на должности на государственной службе кого-либо из непривилегированных слоев, которые, по мнению государства, недостаточно представлены на государственной службе.</w:t>
      </w:r>
    </w:p>
    <w:p w:rsidR="00000000" w:rsidRDefault="00000000"/>
    <w:p w:rsidR="00000000" w:rsidRDefault="00000000">
      <w:r>
        <w:t>102.</w:t>
      </w:r>
      <w:r>
        <w:tab/>
        <w:t>Пункт 5 статьи 16 является третьим исключением из общего правила, содержащегося в пунктах 1 и 2 статьи 16.  В этом пункте говорится, что ничто не затрагивает действия какого-либо закона, который предусматривает, что лица, занимающие должности, связанные с делами какого-либо религиозного учреждения или учреждения какой-либо религиозной конфессии, или любой пост в правлении такого учреждения, должны исповедовать какую-либо определенную религию или принадлежать к какой-либо определенной религиозной конфессии.</w:t>
      </w:r>
    </w:p>
    <w:p w:rsidR="00000000" w:rsidRDefault="00000000"/>
    <w:p w:rsidR="00000000" w:rsidRDefault="00000000">
      <w:r>
        <w:t>103.</w:t>
      </w:r>
      <w:r>
        <w:tab/>
        <w:t xml:space="preserve">Будучи привержен делу создания более благоприятных условий труда для трудящихся женщин, правительство приняло ряд мер для реализации закрепленных в Конституции целей обеспечения равенства перед законом и равной защиты со стороны закона и недопущения дискриминации по признаку пола.  Равная оплата гарантируется Законом о равном вознаграждении 1976 года, который предусматривает равную оплату за труд равной ценности или за работу того же характера.  Руководящие принципы предупреждения сексуальных домогательств по отношению к трудящимся женщинам на их рабочих местах были изложены Верховными судом Индии в деле </w:t>
      </w:r>
      <w:r>
        <w:rPr>
          <w:i/>
        </w:rPr>
        <w:t xml:space="preserve">Вишака.  </w:t>
      </w:r>
      <w:r>
        <w:t xml:space="preserve">Дело </w:t>
      </w:r>
      <w:r>
        <w:rPr>
          <w:i/>
        </w:rPr>
        <w:t xml:space="preserve">Совет по развитию экспорта готовой одежды против А.К. Чопра, </w:t>
      </w:r>
      <w:r>
        <w:rPr>
          <w:i/>
          <w:lang w:val="en-US"/>
        </w:rPr>
        <w:t>AIR</w:t>
      </w:r>
      <w:r>
        <w:rPr>
          <w:i/>
        </w:rPr>
        <w:t xml:space="preserve"> 1999 </w:t>
      </w:r>
      <w:r>
        <w:rPr>
          <w:i/>
          <w:lang w:val="en-US"/>
        </w:rPr>
        <w:t>SC</w:t>
      </w:r>
      <w:r>
        <w:rPr>
          <w:i/>
        </w:rPr>
        <w:t xml:space="preserve"> 625</w:t>
      </w:r>
      <w:r>
        <w:rPr>
          <w:iCs/>
        </w:rPr>
        <w:t>,</w:t>
      </w:r>
      <w:r>
        <w:rPr>
          <w:i/>
        </w:rPr>
        <w:t xml:space="preserve"> </w:t>
      </w:r>
      <w:r>
        <w:t xml:space="preserve">стало первым делом, в котором Верховный суд применил руководящие принципы, сформулированные им в деле </w:t>
      </w:r>
      <w:r>
        <w:rPr>
          <w:i/>
        </w:rPr>
        <w:t>Вишака против штата Раджастхан</w:t>
      </w:r>
      <w:r>
        <w:rPr>
          <w:iCs/>
        </w:rPr>
        <w:t>,</w:t>
      </w:r>
      <w:r>
        <w:rPr>
          <w:i/>
        </w:rPr>
        <w:t xml:space="preserve"> </w:t>
      </w:r>
      <w:r>
        <w:t xml:space="preserve">и оставил в силе решение об увольнении с занимаемой должности старшего сотрудника расположенного в Дели Совета по развитию экспорта готовой одежды, который был признан виновным в сексуальных домогательствах по отношению к подчиненной сотруднице на рабочем месте на том основании, что таким образом было нарушено ее основное право, гарантированное статьей 21 Конституции.  </w:t>
      </w:r>
    </w:p>
    <w:p w:rsidR="00000000" w:rsidRDefault="00000000"/>
    <w:p w:rsidR="00000000" w:rsidRDefault="00000000">
      <w:r>
        <w:t>104.</w:t>
      </w:r>
      <w:r>
        <w:tab/>
        <w:t xml:space="preserve">Кроме того, были внесены поправки в Основные правила (Постоянные положения) найма на работу в промышленности с тем, чтобы руководящие принципы могли применяться и в отношении наемных работников в частном секторе.  С помощью добровольных организаций осуществляется план субсидирования для социального обеспечения работающих женщин в целях повышения информированности и совершенствования системы профессиональной подготовки.  Для повышения внимания к данной проблеме в десятом пятилетнем плане на эту программу были выделены увеличенные ассигнования в размере 22,5 млн. рупий (около 500 000 долл. США).  </w:t>
      </w:r>
    </w:p>
    <w:p w:rsidR="00000000" w:rsidRDefault="00000000"/>
    <w:p w:rsidR="00000000" w:rsidRDefault="00000000">
      <w:r>
        <w:t>105.</w:t>
      </w:r>
      <w:r>
        <w:tab/>
        <w:t xml:space="preserve">Справедливые и благоприятные условия работы включают гигиену и охрану труда.  Согласно статье 24 Конституции, ни один ребенок в возрасте до 14 лет не может быть принят на работу на фабрику или в шахту, а также не может быть занят на любой другой опасной работе.  Пункты е) и </w:t>
      </w:r>
      <w:r>
        <w:rPr>
          <w:lang w:val="en-US"/>
        </w:rPr>
        <w:t>f</w:t>
      </w:r>
      <w:r>
        <w:t xml:space="preserve">) статьи 39 предусматривают, что государство должно обеспечивать безопасность здоровья и физического состояния трудящихся.  Статья 42 уполномочивает государство принимать меры для обеспечения справедливых и гуманных условий работы и оказания помощи матерям.  Для защиты прав трудящихся были приняты различные законы.  Среди них, в частности, можно назвать Закон о фабриках 1948 года, Закон о шахтах 1952 года, Положения об угольных шахтах 1957 года, Закон о детях (Трудовое поручительство) 1933 года, Закон об автотранспортных рабочих 1961 года, Закон о детском труде (запреты и правила) 1986 года.  Правительство также приняло законопроект по регулированию условий работы трудящихся в неорганизованном секторе.  Закон о трудящихся сигаретных и сигарных предприятий (Условия наемных работников) 1976 года направлен на то, чтобы обеспечить благоприятные условия для рабочих, занимающихся производством сигарет, посредством регулирования условий их труда и предоставления социальных пособий.  Десятый пятилетний план (2002-2007) предусматривает новые программы повышения безопасности труда и охраны здоровья на особо опасных химических производствах, проведение национальных кампаний по информированию определенных групп трудящихся неорганизованного сектора.  </w:t>
      </w:r>
    </w:p>
    <w:p w:rsidR="00000000" w:rsidRDefault="00000000"/>
    <w:p w:rsidR="00000000" w:rsidRDefault="00000000">
      <w:r>
        <w:t>106.</w:t>
      </w:r>
      <w:r>
        <w:tab/>
        <w:t xml:space="preserve">Индия в полной мере привержена своим обязательствам, взятым в связи с соответствующими конвенциями МОТ.  В 1988 году Индия ратифицировала Конвенцию МОТ 1964 года о политике в области занятости (№ 122), которая касается обеспечения полной, продуктивной и свободно избранной занятости.  В 1960 году Индия также ратифицировала Конвенцию МОТ о дискриминации в области труда и занятий 1958 года, которая известна как базовая конвенция, закрепляющая основные принципы права на труд.  </w:t>
      </w:r>
    </w:p>
    <w:p w:rsidR="00000000" w:rsidRDefault="00000000"/>
    <w:p w:rsidR="00000000" w:rsidRDefault="00000000">
      <w:r>
        <w:t>107.</w:t>
      </w:r>
      <w:r>
        <w:tab/>
        <w:t xml:space="preserve">Различные правительства Индии выдвигали вопросы обеспечения занятости в качестве одного из аспектов стратегии ликвидации нищеты, являющейся главным элементом политики в области развития.  При этом в полной мере гарантировались права трудящихся и обеспечивалось участие работодателей, трудящихся и их соответствующих организаций.  Важными программами в области занятости в рамках различных пятилетних планов стали Национальная программа гарантированной занятости в сельских районах, комплексная программа развития сельских районов, План подготовки сельской молодежи для обеспечения самозанятости, "Джавахар розгар йоджна" и другие, которые были направлены на повышение дохода малоимущих слоев населения.  </w:t>
      </w:r>
    </w:p>
    <w:p w:rsidR="00000000" w:rsidRDefault="00000000"/>
    <w:p w:rsidR="00000000" w:rsidRDefault="00000000">
      <w:r>
        <w:t>108.</w:t>
      </w:r>
      <w:r>
        <w:tab/>
        <w:t xml:space="preserve">В статье 39 </w:t>
      </w:r>
      <w:r>
        <w:rPr>
          <w:lang w:val="en-US"/>
        </w:rPr>
        <w:t>d</w:t>
      </w:r>
      <w:r>
        <w:t xml:space="preserve">) Конституции Индии предусматривается равная оплата за равный труд для мужчин и для женщин.  Хотя эта статья содержится в разделе Руководящих  принципов, различные решения судебных органов толкуют ее как имеющую основополагающий характер.  Индия ратифицировала Конвенцию № 100 МОТ от 1951 года, касающуюся равного вознаграждения для мужчин и женщин.  Для выполнения обязательств по этой Конвенции был принят Закон 1976 года о равном вознаграждении.  </w:t>
      </w:r>
    </w:p>
    <w:p w:rsidR="00000000" w:rsidRDefault="00000000"/>
    <w:p w:rsidR="00000000" w:rsidRDefault="00000000">
      <w:r>
        <w:t xml:space="preserve">109.  Индия в полной мере выполняет различные обязательства, закрепленные в международных трудовых конвенциях, которые касаются справедливых и благоприятных условий труда.  Индия является участником Конвенции 1951 года о равном вознаграждении (№ 100), Конвенции 1921 года о еженедельном отдыхе в промышленности (№ 14), Конвенции 1947 года об инспекции труда (№ 81), Конвенции 1981 года о безопасности и гигиене труда (№ 155) и некоторых других конвенций.  Среди них можно назвать такие конвенции, как Конвенция 1970 года об установлении минимальной заработной платы (№ 131), Конвенция 1957 года о еженедельном отдыхе в торговле и учреждениях (№ 106), Конвенция (пересмотренная) 1970 года об оплачиваемых отпусках (№ 132).  </w:t>
      </w:r>
    </w:p>
    <w:p w:rsidR="00000000" w:rsidRDefault="00000000"/>
    <w:p w:rsidR="00000000" w:rsidRDefault="00000000">
      <w:pPr>
        <w:rPr>
          <w:b/>
        </w:rPr>
      </w:pPr>
      <w:r>
        <w:rPr>
          <w:b/>
        </w:rPr>
        <w:t>Статья 5 (е) (</w:t>
      </w:r>
      <w:r>
        <w:rPr>
          <w:b/>
          <w:lang w:val="en-US"/>
        </w:rPr>
        <w:t>ii</w:t>
      </w:r>
      <w:r>
        <w:rPr>
          <w:b/>
        </w:rPr>
        <w:t>):</w:t>
      </w:r>
      <w:r>
        <w:rPr>
          <w:b/>
        </w:rPr>
        <w:tab/>
        <w:t>Право создавать профессиональные союзы и вступать в них</w:t>
      </w:r>
    </w:p>
    <w:p w:rsidR="00000000" w:rsidRDefault="00000000">
      <w:pPr>
        <w:spacing w:line="216" w:lineRule="auto"/>
        <w:rPr>
          <w:bCs/>
          <w:sz w:val="16"/>
        </w:rPr>
      </w:pPr>
    </w:p>
    <w:p w:rsidR="00000000" w:rsidRDefault="00000000">
      <w:r>
        <w:t>110.</w:t>
      </w:r>
      <w:r>
        <w:tab/>
        <w:t xml:space="preserve">Право создавать объединения или профсоюзы закреплено как основное право в Конституции Индии в соответствии с пунктом 1 с) статьи 19.  Право создавать объединения является важнейшим принципом демократии.  Индия признает свободу объединений и право на проведение переговоров о заключении коллективных договоров.  Любая дискриминация в деле обеспечения свободы объединений может являться лишь антиподом демократии, и поэтому такая свобода, включая свободу создавать профессиональные союзы, существует в Индии с разумными ограничениями в интересах поддержания общественного порядка, ограничениями, связанными с соображениями морали и обеспечением суверенитета и целостности Индии.  Это подтверждено и в недавно представленном Индией Глобальном докладе МОТ.  Зарегистрированные профсоюзы также периодически направляют свои доклады МОТ, и их взгляды учитываются правительством при разработке политики и законов, касающихся профессиональных союзов.  </w:t>
      </w:r>
    </w:p>
    <w:p w:rsidR="00000000" w:rsidRDefault="00000000">
      <w:pPr>
        <w:rPr>
          <w:sz w:val="16"/>
        </w:rPr>
      </w:pPr>
    </w:p>
    <w:p w:rsidR="00000000" w:rsidRDefault="00000000">
      <w:r>
        <w:t>111.</w:t>
      </w:r>
      <w:r>
        <w:tab/>
        <w:t xml:space="preserve">Конкретные законодательные и другие меры по вопросам прав профсоюзов предусмотрены в Законе о профсоюзах 1926 года, в части </w:t>
      </w:r>
      <w:r>
        <w:rPr>
          <w:lang w:val="en-US"/>
        </w:rPr>
        <w:t>III</w:t>
      </w:r>
      <w:r>
        <w:t xml:space="preserve"> Дисциплинарного кодекса и в Законе о промышленных спорах 1947 года.  Эти меры гарантируют права профсоюзов и их членов.  </w:t>
      </w:r>
    </w:p>
    <w:p w:rsidR="00000000" w:rsidRDefault="00000000">
      <w:pPr>
        <w:rPr>
          <w:sz w:val="16"/>
        </w:rPr>
      </w:pPr>
    </w:p>
    <w:p w:rsidR="00000000" w:rsidRDefault="00000000">
      <w:pPr>
        <w:rPr>
          <w:b/>
          <w:bCs/>
        </w:rPr>
      </w:pPr>
      <w:r>
        <w:rPr>
          <w:b/>
          <w:bCs/>
        </w:rPr>
        <w:t>Статья 5 (е) (</w:t>
      </w:r>
      <w:r>
        <w:rPr>
          <w:b/>
          <w:bCs/>
          <w:lang w:val="en-US"/>
        </w:rPr>
        <w:t>iii</w:t>
      </w:r>
      <w:r>
        <w:rPr>
          <w:b/>
          <w:bCs/>
        </w:rPr>
        <w:t>):</w:t>
      </w:r>
      <w:r>
        <w:rPr>
          <w:b/>
          <w:bCs/>
        </w:rPr>
        <w:tab/>
        <w:t>Право на жилище</w:t>
      </w:r>
    </w:p>
    <w:p w:rsidR="00000000" w:rsidRDefault="00000000">
      <w:pPr>
        <w:rPr>
          <w:sz w:val="16"/>
        </w:rPr>
      </w:pPr>
    </w:p>
    <w:p w:rsidR="00000000" w:rsidRDefault="00000000">
      <w:r>
        <w:t>112.</w:t>
      </w:r>
      <w:r>
        <w:tab/>
        <w:t xml:space="preserve">Конституция Индии признает право на жилище как составную часть основополагающего права на жизнь.  В своих многочисленных постановлениях Верховный суд подчеркивал значение и определял содержание этого права.  В деле </w:t>
      </w:r>
      <w:r>
        <w:rPr>
          <w:i/>
          <w:iCs/>
        </w:rPr>
        <w:t>Чамели Сингх</w:t>
      </w:r>
      <w:r>
        <w:t xml:space="preserve"> </w:t>
      </w:r>
      <w:r>
        <w:rPr>
          <w:i/>
          <w:iCs/>
        </w:rPr>
        <w:t>против штата Уттар-Прадеш</w:t>
      </w:r>
      <w:r>
        <w:rPr>
          <w:rStyle w:val="FootnoteReference"/>
        </w:rPr>
        <w:footnoteReference w:id="4"/>
      </w:r>
      <w:r>
        <w:t xml:space="preserve"> Верховный суд особо отметил право на жилище и расширил его концепцию, сославшись на резолюцию Генеральной Ассамблеи Организации Объединенных Наций (№ 35/76) по проблеме бездомных в развивающихся странах.  Он сделал следующий вывод:</w:t>
      </w:r>
    </w:p>
    <w:p w:rsidR="00000000" w:rsidRDefault="00000000">
      <w:pPr>
        <w:rPr>
          <w:sz w:val="16"/>
        </w:rPr>
      </w:pPr>
    </w:p>
    <w:p w:rsidR="00000000" w:rsidRDefault="00000000">
      <w:pPr>
        <w:ind w:left="567" w:hanging="567"/>
      </w:pPr>
      <w:r>
        <w:tab/>
      </w:r>
      <w:r>
        <w:tab/>
        <w:t>"Жилище человека является не просто средством защиты его жизни и обеспечения телесных нужд.  Это - дом, где он имеет возможность развиваться физически, умственно, интеллектуально и духовно.  Поэтому это понятие включает в себя надлежащее жилое пространство, имеющее безопасную и надлежащую структуру, чистое и удобное для жизни окружающее пространство, достаточное освещение, чистые воздух и воду, электричество, санитарно-гигиеническое и другие удобства, включая дороги и т.д.".</w:t>
      </w:r>
    </w:p>
    <w:p w:rsidR="00000000" w:rsidRDefault="00000000">
      <w:pPr>
        <w:ind w:left="567" w:hanging="567"/>
      </w:pPr>
    </w:p>
    <w:p w:rsidR="00000000" w:rsidRDefault="00000000">
      <w:pPr>
        <w:spacing w:before="240"/>
      </w:pPr>
      <w:r>
        <w:t>113.</w:t>
      </w:r>
      <w:r>
        <w:tab/>
        <w:t>Обеспечение жильем входит в компетенцию правительств штатов в соответствии с разделением сферы полномочий между центральным правительством и правительствами штатов.  Вместе с тем центральное правительство выдвигает инициативы и осуществляет управление программами в этом секторе посредством планирования, выработки политики, создания институтов финансовой и технической поддержки, путем реализации социальных проектов жилищного развития, ориентированных прежде всего на менее развитые слои общества, а также посредством внесения поправок в законодательство и осуществления мер фискального характера для стимулирования инвестиций в жилищный сектор.  Индия является членом Центра Организации Объединенных Наций по населенным пунктам (Хабитат) и принимала участие в Специальной сессии Стамбул+5 и других конференциях Хабитат.  В рамках мер по выполнению решений этих конференций Индия представила в 2001 году свой доклад о прогрессе в деле выполнения Повестки дня Хабитат (1996-2000 годы).  В 1998 году Индия также приняла Национальную стратегию в области жилищного строительства и Хабитат, в которой вопросы устойчивого развития, развития инфраструктуры и активного партнерства между государственным и частным сектором выделяются в качестве предпосылок для решения проблемы жилья.</w:t>
      </w:r>
    </w:p>
    <w:p w:rsidR="00000000" w:rsidRDefault="00000000">
      <w:pPr>
        <w:spacing w:before="240"/>
      </w:pPr>
      <w:r>
        <w:t>114.</w:t>
      </w:r>
      <w:r>
        <w:tab/>
        <w:t>Основное внимание в стране уделяется обеспечению жильем малоимущих слоев сельского и городского населения.  Правительство выделило средства на несколько жилищных проектов и программ по улучшению условий проживания в городских и сельских районах.  Среди них можно назвать проект "Вальмики амбедкар авас йоджана" (</w:t>
      </w:r>
      <w:r>
        <w:rPr>
          <w:lang w:val="en-US"/>
        </w:rPr>
        <w:t>VAMBAY</w:t>
      </w:r>
      <w:r>
        <w:t>), Национальную программу развития трущоб (НПРТ), План создания ночлежных домов "Индира авас йоджана" (</w:t>
      </w:r>
      <w:r>
        <w:rPr>
          <w:lang w:val="en-US"/>
        </w:rPr>
        <w:t>IAY</w:t>
      </w:r>
      <w:r>
        <w:t>), Программу кредитования и субсидирования (ПКС), "Самагра авас йоджана", Централизованную программу улучшения санитарных условий в сельских районах (ЦСУС)/Всеобщую программу улучшения санитарных условий, Низкозатратный план по улучшению санитарных условий и другие.</w:t>
      </w:r>
    </w:p>
    <w:p w:rsidR="00000000" w:rsidRDefault="00000000">
      <w:pPr>
        <w:spacing w:before="240"/>
      </w:pPr>
      <w:r>
        <w:t>115.</w:t>
      </w:r>
      <w:r>
        <w:tab/>
        <w:t xml:space="preserve">В 1998-1999 годах в рамках осуществления Национальной повестки дня в области управления и Национальной стратегии в области жилищного строительства и Хабитат 1998 года был принят специальный план действий в области жилищного строительства (получивший название "Программа двух миллионов домов") для обеспечения строительства адекватного жилья, особенно для менее обеспеченных и уязвимых групп населения.  Из двух миллионов новых домов 700 000 будут построены в городах, а остальные - в сельских районах.  Правительство также приступило к реализации всеобъемлющего плана действий по строительству сельского жилья, стимулируя строительство 2,5 млн. домов в год в сельских районах, а также улучшение необустроенных </w:t>
      </w:r>
      <w:r>
        <w:rPr>
          <w:i/>
          <w:iCs/>
        </w:rPr>
        <w:t xml:space="preserve">катча </w:t>
      </w:r>
      <w:r>
        <w:t>(глинобитных построек).  Следующий пятилетний план (2007</w:t>
      </w:r>
      <w:r>
        <w:noBreakHyphen/>
        <w:t>2012) нацелен на выполнение задачи обеспечения жильем всего населения страны.</w:t>
      </w:r>
    </w:p>
    <w:p w:rsidR="00000000" w:rsidRDefault="00000000">
      <w:pPr>
        <w:spacing w:before="240"/>
      </w:pPr>
      <w:r>
        <w:t>116.</w:t>
      </w:r>
      <w:r>
        <w:tab/>
        <w:t>Правительство предприняло ряд инициатив, ориентированных на выработку политики, планов, создание учреждений для финансовой и технической поддержки, осуществление различных проектов социального развития с помощью своих институтов, таких, как Национальный жилищный банк (НЖБ), который был создан в 1988 году.  Кроме того, через Корпорацию жилищного и городского развития (КЖГР) и при международном содействии, в том числе со стороны ИБРР, АБР и ЮСЭЙД, выделялись финансовые средства менее обеспеченным и находящимся в неблагоприятном положении группам населения.  В общей сложности до 31 марта 2003 года КЖГР санкционировала осуществление 15 4040 проектов на общую сумму в 92 357 млн. рупий (около 2 млрд. долл.), оказывая содействие в строительстве 13,5 млн. квартир и домов, в освоении более 500 000 земельных участков и строительстве более 4,8 млн. санитарных узлов, а также в реализации 2 035 проектов городской инфраструктуры, внося тем самым эффективный вклад в улучшение условий жизни в городских и сельских районах.</w:t>
      </w:r>
    </w:p>
    <w:p w:rsidR="00000000" w:rsidRDefault="00000000"/>
    <w:p w:rsidR="00000000" w:rsidRDefault="00000000">
      <w:pPr>
        <w:rPr>
          <w:lang w:val="en-US"/>
        </w:rPr>
      </w:pPr>
      <w:r>
        <w:t>117.</w:t>
      </w:r>
      <w:r>
        <w:tab/>
        <w:t>Для решения проблемы трущоб в 1996 году была начата Национальная программа развития трущоб (НПРТ), направленная на улучшение условий жизни в городских трущобах путем создания там таких бытовых удобств, как водопровод, дождевые водостоки и общественные бани, посредством расширения и асфальтирования улиц, строительства канализации и общественных туалетов, обеспечения уличного освещения и т.п.  Средства НПРТ используются для создания коммунальной и социальной инфраструктуры, обеспечения дошкольного образования, неформального обучения, образования для взрослых и заботы о матери и ребенке, а также детского и базового здравоохранения, включая проведение вакцинации.  Отдельная часть программы предусматривает также улучшение состояния жилого фонда посредством, в частности, строительства новых домов.</w:t>
      </w:r>
    </w:p>
    <w:p w:rsidR="00000000" w:rsidRDefault="00000000"/>
    <w:p w:rsidR="00000000" w:rsidRDefault="00000000">
      <w:pPr>
        <w:rPr>
          <w:b/>
          <w:bCs/>
        </w:rPr>
      </w:pPr>
      <w:r>
        <w:rPr>
          <w:b/>
          <w:bCs/>
        </w:rPr>
        <w:t>Статья 5 (е) (</w:t>
      </w:r>
      <w:r>
        <w:rPr>
          <w:b/>
          <w:bCs/>
          <w:lang w:val="en-US"/>
        </w:rPr>
        <w:t>iv</w:t>
      </w:r>
      <w:r>
        <w:rPr>
          <w:b/>
          <w:bCs/>
        </w:rPr>
        <w:t>):</w:t>
      </w:r>
      <w:r>
        <w:rPr>
          <w:b/>
          <w:bCs/>
        </w:rPr>
        <w:tab/>
        <w:t>Право на здравоохранение</w:t>
      </w:r>
    </w:p>
    <w:p w:rsidR="00000000" w:rsidRDefault="00000000"/>
    <w:p w:rsidR="00000000" w:rsidRDefault="00000000">
      <w:pPr>
        <w:rPr>
          <w:sz w:val="2"/>
        </w:rPr>
      </w:pPr>
    </w:p>
    <w:p w:rsidR="00000000" w:rsidRDefault="00000000">
      <w:pPr>
        <w:rPr>
          <w:sz w:val="2"/>
        </w:rPr>
      </w:pPr>
    </w:p>
    <w:p w:rsidR="00000000" w:rsidRDefault="00000000">
      <w:pPr>
        <w:rPr>
          <w:sz w:val="2"/>
        </w:rPr>
      </w:pPr>
    </w:p>
    <w:p w:rsidR="00000000" w:rsidRDefault="00000000">
      <w:r>
        <w:t>118.</w:t>
      </w:r>
      <w:r>
        <w:tab/>
        <w:t>Конституция Индии рассматривает право на здравоохранение как составную часть права на жизнь.  Конституция обязывает штаты улучшать систему здравоохранения (статья 47) и обеспечивать защиту и улучшение состояния окружающей среды (Статья 48</w:t>
      </w:r>
      <w:r>
        <w:noBreakHyphen/>
        <w:t>А).  Для достижения целей в области здравоохранения в Индии проводится Национальная политика в области здоровья, разработанная в 1983 году, и новая рамочная стратегия, которая была введена в действие в 2002 году.</w:t>
      </w:r>
    </w:p>
    <w:p w:rsidR="00000000" w:rsidRDefault="00000000"/>
    <w:p w:rsidR="00000000" w:rsidRDefault="00000000">
      <w:r>
        <w:t>119.</w:t>
      </w:r>
      <w:r>
        <w:tab/>
        <w:t>Вопросы, касающиеся системы государственного здравоохранения и санитарии, а также работы госпиталей и диспансеров, находятся в ведении правительств штатов в соответствии планом разделения полномочий в рамках федеральной структуры страны.  Как центральное правительство, так и правительство штатов занимаются социальным обеспечением семьи, системой медицинского образования, принятием мер по предотвращению подделки продовольственных продуктов и других товаров, лекарств и  химических препаратов, вопросами профессиональной медицинской деятельности, лечения психических расстройств и умственной неполноценности.</w:t>
      </w:r>
    </w:p>
    <w:p w:rsidR="00000000" w:rsidRDefault="00000000"/>
    <w:p w:rsidR="00000000" w:rsidRDefault="00000000">
      <w:r>
        <w:t>120.</w:t>
      </w:r>
      <w:r>
        <w:tab/>
        <w:t>Центральное правительство играет главную роль в выработке и реализации различных национальных программ в сфере здравоохранения, касающихся  инфекционных, неинфекционных и других тяжелых заболеваний, и дополняет усилия штатов путем выделения необходимых финансовых средств.</w:t>
      </w:r>
    </w:p>
    <w:p w:rsidR="00000000" w:rsidRDefault="00000000"/>
    <w:p w:rsidR="00000000" w:rsidRDefault="00000000">
      <w:pPr>
        <w:tabs>
          <w:tab w:val="clear" w:pos="2268"/>
          <w:tab w:val="left" w:pos="2127"/>
        </w:tabs>
      </w:pPr>
      <w:r>
        <w:rPr>
          <w:b/>
        </w:rPr>
        <w:t>Статья 5 (е) (</w:t>
      </w:r>
      <w:r>
        <w:rPr>
          <w:b/>
          <w:lang w:val="en-US"/>
        </w:rPr>
        <w:t>v</w:t>
      </w:r>
      <w:r>
        <w:rPr>
          <w:b/>
        </w:rPr>
        <w:t>):</w:t>
      </w:r>
      <w:r>
        <w:rPr>
          <w:b/>
        </w:rPr>
        <w:tab/>
        <w:t>Право на образование и профессиональную подготовку</w:t>
      </w:r>
      <w:r>
        <w:t xml:space="preserve"> </w:t>
      </w:r>
    </w:p>
    <w:p w:rsidR="00000000" w:rsidRDefault="00000000"/>
    <w:p w:rsidR="00000000" w:rsidRDefault="00000000">
      <w:r>
        <w:t>121.</w:t>
      </w:r>
      <w:r>
        <w:tab/>
        <w:t>В Индии право на образование было причислено к категории основных прав в результате принятия 86-й поправки</w:t>
      </w:r>
      <w:r>
        <w:rPr>
          <w:vertAlign w:val="superscript"/>
        </w:rPr>
        <w:footnoteReference w:id="5"/>
      </w:r>
      <w:r>
        <w:t xml:space="preserve"> к Конституции, которая возлагает на государство задачу обеспечения бесплатного и обязательного образования для всех детей в возрасте от 6 до 14 лет.  В Конституцию также включено положение об основной обязанности родителей или опекунов обеспечивать возможность предоставления образования детям или подопечным в вышеуказанной возрастной группе.  Эти поправки в значительной степени содействуют достижению цели всеобщего образования.  Подробнее эта программа рассматривается в пункте 20 и последующих пунктах. </w:t>
      </w:r>
    </w:p>
    <w:p w:rsidR="00000000" w:rsidRDefault="00000000"/>
    <w:p w:rsidR="00000000" w:rsidRDefault="00000000">
      <w:r>
        <w:t>122.</w:t>
      </w:r>
      <w:r>
        <w:tab/>
        <w:t>Следует вновь отметить, что право на бесплатное и обязательное образование имеют все дети в этой возрастной группе без какой-либо дискриминации.  Главное внимание уделяется тому, чтобы менее обеспеченные и находящиеся в неблагоприятных условиях группы населения  имели возможность воспользоваться этим правом.</w:t>
      </w:r>
    </w:p>
    <w:p w:rsidR="00000000" w:rsidRDefault="00000000"/>
    <w:p w:rsidR="00000000" w:rsidRDefault="00000000">
      <w:r>
        <w:t>123.</w:t>
      </w:r>
      <w:r>
        <w:tab/>
        <w:t xml:space="preserve">На таких детей ориентирован ряд мер в рамках этой программы, включая предоставление бесплатных учебников, обеспечение школьного питания и т.д..  Национальная программа организации питания учащихся начальной школы (так называемая программа школьных завтраков, или ПШЗ) была развернута в масштабах всей страны 15 августа 1995 года с целью придания импульса введению системы всеобщего начального образования и улучшения питания учащихся  начальных классов из менее обеспеченных и обездоленных слоев общества, которые обучаются в государственных, местных и субсидируемых школах.  </w:t>
      </w:r>
    </w:p>
    <w:p w:rsidR="00000000" w:rsidRDefault="00000000"/>
    <w:p w:rsidR="00000000" w:rsidRDefault="00000000">
      <w:r>
        <w:t>124.</w:t>
      </w:r>
      <w:r>
        <w:tab/>
        <w:t>По сравнению с предыдущими десятилетиями, когда уровень грамотности (в возрастной группе от 5 лет и старше) вырос с 18,3%  в 1951 году до 43,6% в 1981году, в течение  десяти лет в период 1991-2001 годов впервые наблюдалось абсолютное снижение числа неграмотных, которое сократилось на 32 млн. человек.  Уровень грамотности по стране, согласно переписи 2001 года, составил 65,2%.  Региональные различия в уровне грамотности также сократились, и разрыв между мужчинами и женщинами стал меньше.</w:t>
      </w:r>
    </w:p>
    <w:p w:rsidR="00000000" w:rsidRDefault="00000000"/>
    <w:p w:rsidR="00000000" w:rsidRDefault="00000000">
      <w:r>
        <w:t>125.</w:t>
      </w:r>
      <w:r>
        <w:tab/>
        <w:t>В сотрудничестве с пятью учреждениями Организации Объединенных Наций, а именно:  ПРООН, ЮНИСЕФ, ЮНЕСКО, МОТ и ЮНФПА</w:t>
      </w:r>
      <w:r>
        <w:rPr>
          <w:b/>
        </w:rPr>
        <w:t xml:space="preserve"> </w:t>
      </w:r>
      <w:r>
        <w:t xml:space="preserve">правительство осуществляет общинную программу под названием </w:t>
      </w:r>
      <w:r>
        <w:rPr>
          <w:i/>
        </w:rPr>
        <w:t>Джаншала</w:t>
      </w:r>
      <w:r>
        <w:rPr>
          <w:iCs/>
        </w:rPr>
        <w:t>,</w:t>
      </w:r>
      <w:r>
        <w:t xml:space="preserve"> цель которой заключается в повышении доступности и эффективности начального образования, особенно для девочек и детей из отсталых общин и маргинальных групп, с упором на участие общин и децентрализацию на квартальном (суб-районном) уровне.</w:t>
      </w:r>
    </w:p>
    <w:p w:rsidR="00000000" w:rsidRDefault="00000000"/>
    <w:p w:rsidR="00000000" w:rsidRDefault="00000000">
      <w:pPr>
        <w:rPr>
          <w:b/>
        </w:rPr>
      </w:pPr>
      <w:r>
        <w:rPr>
          <w:b/>
        </w:rPr>
        <w:t>Статья 5 (е) (</w:t>
      </w:r>
      <w:r>
        <w:rPr>
          <w:b/>
          <w:lang w:val="en-US"/>
        </w:rPr>
        <w:t>vi</w:t>
      </w:r>
      <w:r>
        <w:rPr>
          <w:b/>
        </w:rPr>
        <w:t>):  Право на равное участие в культурной жизни</w:t>
      </w:r>
    </w:p>
    <w:p w:rsidR="00000000" w:rsidRDefault="00000000">
      <w:pPr>
        <w:rPr>
          <w:b/>
        </w:rPr>
      </w:pPr>
    </w:p>
    <w:p w:rsidR="00000000" w:rsidRDefault="00000000">
      <w:r>
        <w:t>126.</w:t>
      </w:r>
      <w:r>
        <w:tab/>
        <w:t>Конституция Индии гарантирует право на сохранение своей религии, языка и культуры.</w:t>
      </w:r>
    </w:p>
    <w:p w:rsidR="00000000" w:rsidRDefault="00000000"/>
    <w:p w:rsidR="00000000" w:rsidRDefault="00000000">
      <w:r>
        <w:t>127.</w:t>
      </w:r>
      <w:r>
        <w:tab/>
        <w:t>Задолго до конституционного признания принципа плюрализма в независимой Индии плюралистические традиции индийского народа в течение тысячелетий формировали и укрепляли единство страны в ее многообразии.  Конституция закрепила этот принцип, гарантировав всем гражданам Индии право принимать участие в культурной жизни, создавать объединения и институты для сохранения и развития языка, культуры и религии в рамках светского и демократического общества, обеспечивающего единство и целостность страны.  Как центр, так и территории штатов/союза обладают законодательной ответственностью в вопросах культуры.  В Индии государство является носителем и гарантом культурного плюрализма.  Государство также содействует осуществлению людьми своего свободного выбора в вопросах культуры, причем эту задачу государство выполняет без какой-либо дискриминации.</w:t>
      </w:r>
    </w:p>
    <w:p w:rsidR="00000000" w:rsidRDefault="00000000"/>
    <w:p w:rsidR="00000000" w:rsidRDefault="00000000">
      <w:r>
        <w:t>128.</w:t>
      </w:r>
      <w:r>
        <w:tab/>
        <w:t>Стимулирующая и поощряющая роль правительства осуществляется различными учреждениями, такими, как Национальная академия изящных искусств, Академия "Сажит натак" (Национальная академия музыки, танца и драмы) и Академия "Сахитья" (Национальная академия литературы), которые  в рамках своей разнообразной деятельности, включая предоставление стипендий и развитие творчества в соответствующих областях, поощряют и поддерживают культурное многообразие Индии. Так, Академия "Сахитья" - независимое учреждение, полностью финансируемое правительством Индии, содействует изданию литературных произведений на 22 национальных языках.  Издаваемые ею книги включают переводы получивших премии произведений, монографии о классиках индийской литературы, работы по истории литературы, переводы индийской и зарубежной классики, антологии художественной литературы, поэзии и прозы, биографии и т.п.  Академия присуждает 22 премии в области литературного творчества и 22 премии за лучшие переводы.  К настоящему времени Академия издала 3 400 книг на 22 языках и имеет уникальную многоязычную библиотеку, насчитывающую около 150 000 томов на более чем 22 языках.  Академия знакомит общественность со всем многообразием индийской литературы с помощью ежегодно проводимых ею 30 региональных, национальных и международных семинаров и  "Фестиваля литературы".</w:t>
      </w:r>
    </w:p>
    <w:p w:rsidR="00000000" w:rsidRDefault="00000000"/>
    <w:p w:rsidR="00000000" w:rsidRDefault="00000000">
      <w:r>
        <w:t>129.</w:t>
      </w:r>
      <w:r>
        <w:tab/>
        <w:t>Различные национальные премии в области культуры и народного искусства служат отражением неизменного уважения богатых традиций, в том числе региональных и местных.  Поощрение культурных обменов с другими странами через такие учреждения, как Индийский совет по вопросам культурных отношений, являющейся самостоятельным органом министерства иностранных дел в таких областях, как искусство, музыка, литература, археология и т.д., также привлекает участников из всех уголков страны.  Большое культурное разнообразие страны и необходимость сохранения малых, забытых, редких или исчезающих форм искусства учитываются при проведении исследований, издании публикаций, обучении, при подготовке документации и распространении информации, выделении стипендий и оказании других видов помощи и содействия.</w:t>
      </w:r>
    </w:p>
    <w:p w:rsidR="00000000" w:rsidRDefault="00000000"/>
    <w:p w:rsidR="00000000" w:rsidRDefault="00000000">
      <w:r>
        <w:t>130.</w:t>
      </w:r>
      <w:r>
        <w:tab/>
        <w:t>Средства массовой информации также играют существенную роль в поощрении культурной деятельности.  Информационное агентство следит за тем, чтобы средства массовой информации соблюдали положения Конституции Индии об уважении всех культур и о запрете любых видов расовой дискриминации.  Государственный  сектор вещания представлен "Прасар Бхарати", включающей "Дурдаршан" (телевидение) и Всеиндийское радио.  "Дурдаршан" (ДД) - национальная телевизионная служба Индии является  одной из крупнейших наземных сетей в мире и имеет 23 канала, некоторые из которых доступны в спутниковом режиме.  Она имеет трехуровневую программную службу - национальную, региональную и местную.  Если Национальная телеслужба является крупнейшей вещательной корпорацией Индии по охвату зрительской аудитории, обеспечивая посредством своих программ различные языковые и культурные потребности населения, то 12 региональных телеканалов ("ДД Кашир", "ДД Пенджаби", "ДД Северо-Восток", "ДД Бангла", "ДД Ория", "ДД Гуджарати", "ДД Сахиядри (Маратхи)", "ДД Телугу", "ДД Чандана (Каннада)", "ДД Подхигай (Тамильский)" и "ДД Кералам (Малаялам)") работают как региональные языковые спутниковые каналы, обслуживающие интересы зрителей в каждом из штатов на языке и диалекте данного региона.  "ДД Индия" (ранее "ДД Мир") - международный канал Национальной телеслужбы, помимо программ на хинди и английском языках, ведет вещание на языках урду, пенджаби, телугу, тамильском, каннада, малаялам, гуджарати и маратхи.</w:t>
      </w:r>
    </w:p>
    <w:p w:rsidR="00000000" w:rsidRDefault="00000000"/>
    <w:p w:rsidR="00000000" w:rsidRDefault="00000000">
      <w:r>
        <w:t>131.</w:t>
      </w:r>
      <w:r>
        <w:tab/>
        <w:t xml:space="preserve">Всеиндийское радио располагает сетью из более чем 200 станций вещания, охватывающих 90% территории страны и почти все население Индии.  Оно ведет вещание на 24 языках и 146 диалектах.  Программы включают 194 ежедневных выпуска новостей на 64 языках и диалектах, передаваемых 45 региональными отделениями, помимо 88 выпусков новостей внутренней службы в Дели.  Международная служба Всеиндийского радио охватывает около 100 стран и ведет вещание на 26 языках, включая 16 иностранных языков (арабский, балучи, бхаса индонезийский, бирманский, китайский, дари, английский, французский, непальский, фарси, пушту, русский, сингальский, суахили, тибетский, тайский). </w:t>
      </w:r>
    </w:p>
    <w:p w:rsidR="00000000" w:rsidRDefault="00000000"/>
    <w:p w:rsidR="00000000" w:rsidRDefault="00000000">
      <w:r>
        <w:t>132.</w:t>
      </w:r>
      <w:r>
        <w:tab/>
        <w:t xml:space="preserve">Отделение кинофильмов выпускает и распространяет короткометражные фильмы на кинопленке и в формате видео, хроники новостей, документальные фильмы на разные темы.  Они также касаются вопросов функционирования индийской демократии и осуществления основных прав, культурного и исторического многообразия и наследия Индии, различных планов, программ и проектов социально-экономического развития и государственного строительства и участия в них народа.  Эта деятельность также содействует повышению информированности населения, особенно в сельских районах, о демократии и своих правах, содействует укреплению национальной целостности и гармонии на общинном уровне. </w:t>
      </w:r>
    </w:p>
    <w:p w:rsidR="00000000" w:rsidRDefault="00000000"/>
    <w:p w:rsidR="00000000" w:rsidRDefault="00000000">
      <w:r>
        <w:t>133.</w:t>
      </w:r>
      <w:r>
        <w:tab/>
        <w:t>Быстрый рост числа частных средств массовой информации в Индии с начала 1990</w:t>
      </w:r>
      <w:r>
        <w:noBreakHyphen/>
        <w:t>х годов как в теле-, так и в радиовещании с увеличением региональных языковых каналов еще более повысил роль СМИ как носителя культуры на национальном, региональном и местном уровнях и как средства смешения и взаимопроникновения различных культур.  В современной Индии повышение осознания идей культурного многообразия с помощью реализации программ межкультурного характера вносит дополнительный вклад в укрепление взаимного признания разных и вместе с тем объединяющих элементов культурной самобытности, что, как подтверждает исторический опыт страны, является лучшей гарантией культурного плюрализма и недопущения дискриминации в области культуры.</w:t>
      </w:r>
    </w:p>
    <w:p w:rsidR="00000000" w:rsidRDefault="00000000"/>
    <w:p w:rsidR="00000000" w:rsidRDefault="00000000">
      <w:pPr>
        <w:rPr>
          <w:b/>
        </w:rPr>
      </w:pPr>
      <w:r>
        <w:rPr>
          <w:b/>
        </w:rPr>
        <w:t>Статья 5 (</w:t>
      </w:r>
      <w:r>
        <w:rPr>
          <w:b/>
          <w:lang w:val="en-US"/>
        </w:rPr>
        <w:t>f</w:t>
      </w:r>
      <w:r>
        <w:rPr>
          <w:b/>
        </w:rPr>
        <w:t>):</w:t>
      </w:r>
      <w:r>
        <w:rPr>
          <w:b/>
        </w:rPr>
        <w:tab/>
        <w:t>Право на доступ к любому месту или любому виду обслуживания, предназначенному для общественного пользования, как, например, транспорт, гостиницы, рестораны, кафе, театры и парки</w:t>
      </w:r>
    </w:p>
    <w:p w:rsidR="00000000" w:rsidRDefault="00000000">
      <w:pPr>
        <w:rPr>
          <w:b/>
        </w:rPr>
      </w:pPr>
    </w:p>
    <w:p w:rsidR="00000000" w:rsidRDefault="00000000">
      <w:r>
        <w:t>134.</w:t>
      </w:r>
      <w:r>
        <w:tab/>
        <w:t xml:space="preserve">Статья 15 Конституции запрещает дискриминацию по мотивам религии, расы, касты и т.д.  В пункте 2 статьи 15 говорится, что ни один гражданин только по мотивам религиозной, расовой, кастовой принадлежности, места рождения или по любому из этих мотивов не может быть в какой-либо мере лишен правоспособности, не должен нести особых обязанностей, не может быть подвергнут ограничениям или поставлен в особые условия в отношении:  а)  доступа в магазины, рестораны, гостиницы и места общественного увеселения или  </w:t>
      </w:r>
      <w:r>
        <w:rPr>
          <w:lang w:val="en-US"/>
        </w:rPr>
        <w:t>b</w:t>
      </w:r>
      <w:r>
        <w:t>)  пользования колодцами, водоемами, купальнями, дорогами и местами общественного отдыха, содержащимися полностью или частично за счет государственных средств или открытыми для общественного пользования.</w:t>
      </w:r>
    </w:p>
    <w:p w:rsidR="00000000" w:rsidRDefault="00000000"/>
    <w:p w:rsidR="00000000" w:rsidRDefault="00000000">
      <w:r>
        <w:t>135.</w:t>
      </w:r>
      <w:r>
        <w:tab/>
        <w:t>Данная статья запрещает дискриминацию как со стороны представителей государства, так и со стороны частных лиц.  Любое лицо, право которого, закрепленное в этой статье, было нарушено, может обратиться в Верховный суд или в Высокий суд в соответствии со статьями 32 и 226 Конституции.</w:t>
      </w:r>
    </w:p>
    <w:p w:rsidR="00000000" w:rsidRDefault="00000000"/>
    <w:p w:rsidR="00000000" w:rsidRDefault="00000000">
      <w:pPr>
        <w:jc w:val="center"/>
        <w:rPr>
          <w:b/>
        </w:rPr>
      </w:pPr>
      <w:r>
        <w:rPr>
          <w:b/>
        </w:rPr>
        <w:t>Статья 6</w:t>
      </w:r>
    </w:p>
    <w:p w:rsidR="00000000" w:rsidRDefault="00000000"/>
    <w:p w:rsidR="00000000" w:rsidRDefault="00000000">
      <w:r>
        <w:t>136.</w:t>
      </w:r>
      <w:r>
        <w:tab/>
        <w:t>Данная статья требует от государств-участников гарантии того, что каждое лицо, находящееся под их юрисдикцией, получает эффективную защиту и средства правовой защиты через компетентные национальные суды и другие государственные учреждения в случае любых актов расовой дискриминации, которые нарушают его права человека и основные свободы, а также право требовать от этих судов справедливого и адекватного возмещения или удовлетворения в связи с любым ущербом, нанесенным в результате такой дискриминации.</w:t>
      </w:r>
    </w:p>
    <w:p w:rsidR="00000000" w:rsidRDefault="00000000"/>
    <w:p w:rsidR="00000000" w:rsidRDefault="00000000">
      <w:r>
        <w:t>137.</w:t>
      </w:r>
      <w:r>
        <w:tab/>
        <w:t>Основные права, указанные в Конституции, осуществляются в принудительном и судебном порядке через Верховный суд и Высокие суды.  Согласно Конституции Индии, любой человек в соответствии со статьей 32 имеет право возбудить иск в Верховном суде в случае нарушения одного из его основных прав.  Высокие суды, существующие в каждом штате, в действительности имеют более широкие полномочия по статье 226 в деле защиты прав граждан и других лиц.  Активная роль Верховного суда Индии по защите и поощрению прав граждан подтверждается документально.</w:t>
      </w:r>
    </w:p>
    <w:p w:rsidR="00000000" w:rsidRDefault="00000000"/>
    <w:p w:rsidR="00000000" w:rsidRDefault="00000000">
      <w:r>
        <w:t>138.</w:t>
      </w:r>
      <w:r>
        <w:tab/>
        <w:t>Согласно статье 141 Конституции Индии, постановление, выносимое Верховным судом, является обязательным для всех судов.</w:t>
      </w:r>
    </w:p>
    <w:p w:rsidR="00000000" w:rsidRDefault="00000000"/>
    <w:p w:rsidR="00000000" w:rsidRDefault="00000000">
      <w:r>
        <w:t>139.</w:t>
      </w:r>
      <w:r>
        <w:tab/>
        <w:t>Согласно статье 304 Уголовно-процессуального кодекса 1973 года, если обвиняемый не имеет достаточных средств для оплаты услуг адвоката, суд обязан обеспечить его защиту за счет государственных средств.</w:t>
      </w:r>
    </w:p>
    <w:p w:rsidR="00000000" w:rsidRDefault="00000000"/>
    <w:p w:rsidR="00000000" w:rsidRDefault="00000000">
      <w:r>
        <w:t>140.</w:t>
      </w:r>
      <w:r>
        <w:tab/>
        <w:t>Статья 39-А, которая была включена в Конституцию на основании 42-го Акта о конституционных поправках 1976 года, обязывает государство обеспечивать деятельность системы правосудия на основе равных возможностей и, в частности, предоставлять бесплатную правовую помощь путем соответствующего законодательства или программ или любым другим способом для обеспечения того, чтобы все граждане имели доступ к системе правосудия независимо от экономических причин или какого-либо иного неравенства в положении.</w:t>
      </w:r>
    </w:p>
    <w:p w:rsidR="00000000" w:rsidRDefault="00000000"/>
    <w:p w:rsidR="00000000" w:rsidRDefault="00000000">
      <w:r>
        <w:t>141.</w:t>
      </w:r>
      <w:r>
        <w:tab/>
        <w:t>Верховный суд подчеркивал, что право на юридическую помощь за счет государства отнесено к категории основных прав лиц, обвиняемых в совершении преступления, которое может повлечь угрозу жизни или личной свободе.  Суд также вынес постановление, что было бы наивным ожидать, что неимущий, необразованный и неграмотный обвиняемый станет по собственной инициативе поднимать вопрос о предоставлении ему бесплатной правовой помощи.  Поэтому суд постановил, что председательствующий судья обязан информировать обвиняемого о возможности получения бесплатной правовой помощи за счет государства в случае неспособности нанять адвоката из-за своей бедности</w:t>
      </w:r>
      <w:r>
        <w:rPr>
          <w:b/>
          <w:bCs/>
          <w:vertAlign w:val="superscript"/>
        </w:rPr>
        <w:footnoteReference w:id="6"/>
      </w:r>
      <w:r>
        <w:t>.  Правительство предоставляет бесплатную правовую помощь тем, кто не имеет возможности получить доступ к правосудию.</w:t>
      </w:r>
    </w:p>
    <w:p w:rsidR="00000000" w:rsidRDefault="00000000"/>
    <w:p w:rsidR="00000000" w:rsidRDefault="00000000">
      <w:r>
        <w:t>142.</w:t>
      </w:r>
      <w:r>
        <w:tab/>
        <w:t>В этих целях правительство приняло законодательный акт (Закон 1987 года о полномочном Комитете по осуществлению программ предоставления правовой помощи) с целью оказания бесплатной и компетентной правовой помощи представителям менее обеспеченных слоев общества для предоставления им доступа к системе отправления правосудия независимо от экономических причин или какого-либо иного неравенства в положении, а также для организации системы "Лок Адалат" (Общественные/Народные суды).  Эта система, являющаяся принципиально новым механизмом альтернативного разрешения споров, доказала свою эффективность в урегулировании споров посредством внесудебного примирения.  Данная концепция берет начало в системе панчаятов (буквально - судебный орган в составе из пяти человек) и уходит корнями в историю и традиции страны.  Положения вышеуказанного Акта основаны именно на этой традиционной концепции, которая призвана дополнить официальную правовую систему, но не заменить или ликвидировать ее.  Данный законодательный акт является попыткой законодательных органов разгрузить суды.</w:t>
      </w:r>
    </w:p>
    <w:p w:rsidR="00000000" w:rsidRDefault="00000000"/>
    <w:p w:rsidR="00000000" w:rsidRDefault="00000000">
      <w:r>
        <w:t>143.</w:t>
      </w:r>
      <w:r>
        <w:tab/>
        <w:t>"Лок Адалат" представляет собой форум для разрешения споров, в котором применяются альтернативные методы их урегулирования, такие, как переговоры, примирительные процедуры, посредничество и другие, обеспечивая легкий доступ малоимущих групп населения к правосудию.  Он позволяет быстро разрешать дела посредством урегулирования между сторонами под наблюдением группы компетентных в правовом отношении представителей.  Посредством законодательного акта 1987 года "Лок Адалат" получил правовой статус.  Эти органы разрешают дела, применяя принцип справедливости.  Они обладают полномочиями гражданских судов в отношении получения показаний и опроса свидетелей, рассмотрения документов, запроса архивных материалов и т.п.  Решение, принимаемое "Лок Адалат" после достижения урегулирования между сторонами, имеет статус постановления гражданского суда.  Оно является окончательным и обжалованию не подлежит.  Важной особенностью "Лок Адалат" является то, что они поощряют стороны решать споры полюбовно без вступления в длительный, утомительный и дорогостоящий судебный процесс.</w:t>
      </w:r>
    </w:p>
    <w:p w:rsidR="00000000" w:rsidRDefault="00000000"/>
    <w:p w:rsidR="00000000" w:rsidRDefault="00000000">
      <w:r>
        <w:t>144.</w:t>
      </w:r>
      <w:r>
        <w:tab/>
        <w:t>"Лок Адалат" может создаваться на любом уровне – центральном, на уровне штата, района или талука.  Количество, квалификация и опыт членов "Лок Адалат", кроме судебных сотрудников, определяется правительствами штатов согласно установленным правилам.  На рассмотрение "Лок Адалат" на досудебном этапе или на стадии ожидания судебного решения передаются гражданские и уголовные дела, дела, касающиеся супружеских отношений, дорожных происшествий, а также дела связанные с денежными вопросами.  "Лок Адалат" состоит из судебного представителя, практикующего юриста и социального работника.</w:t>
      </w:r>
    </w:p>
    <w:p w:rsidR="00000000" w:rsidRDefault="00000000"/>
    <w:p w:rsidR="00000000" w:rsidRDefault="00000000">
      <w:r>
        <w:t>145.</w:t>
      </w:r>
      <w:r>
        <w:tab/>
        <w:t xml:space="preserve">"Лок Адалат" поддерживают право на получение правовой помощи, которое является частью законодательства о правах человека Индии в соответствии с Конституцией и значение которого подтверждалось в ряде дел Верховным судом Индии.  В таких делах, как </w:t>
      </w:r>
      <w:r>
        <w:rPr>
          <w:i/>
        </w:rPr>
        <w:t>Комитет по осуществлению программ предоставления правовой помощи против Индийского Союза</w:t>
      </w:r>
      <w:r>
        <w:rPr>
          <w:b/>
          <w:bCs/>
          <w:iCs/>
          <w:vertAlign w:val="superscript"/>
        </w:rPr>
        <w:footnoteReference w:id="7"/>
      </w:r>
      <w:r>
        <w:t xml:space="preserve"> и </w:t>
      </w:r>
      <w:r>
        <w:rPr>
          <w:i/>
        </w:rPr>
        <w:t>Комитет по правовой помощи Верховного суда против Индийского Союза</w:t>
      </w:r>
      <w:r>
        <w:rPr>
          <w:b/>
          <w:bCs/>
          <w:vertAlign w:val="superscript"/>
        </w:rPr>
        <w:footnoteReference w:id="8"/>
      </w:r>
      <w:r>
        <w:t>, Верховный суд вмешивался в процесс и принимал решения в пользу обеспечения и выполнения данного Акта.</w:t>
      </w:r>
    </w:p>
    <w:p w:rsidR="00000000" w:rsidRDefault="00000000"/>
    <w:p w:rsidR="00000000" w:rsidRDefault="00000000">
      <w:r>
        <w:t>146.</w:t>
      </w:r>
      <w:r>
        <w:tab/>
        <w:t xml:space="preserve">В недавно принятом важнейшем решении Высокого суда Дели по делу </w:t>
      </w:r>
      <w:r>
        <w:rPr>
          <w:i/>
        </w:rPr>
        <w:t>Абдул Хасан и Национальный комитет по правовой помощи против Совета директоров компании "Дели Видут</w:t>
      </w:r>
      <w:r>
        <w:rPr>
          <w:iCs/>
        </w:rPr>
        <w:t>"</w:t>
      </w:r>
      <w:r>
        <w:rPr>
          <w:b/>
          <w:bCs/>
          <w:iCs/>
          <w:vertAlign w:val="superscript"/>
        </w:rPr>
        <w:footnoteReference w:id="9"/>
      </w:r>
      <w:r>
        <w:rPr>
          <w:i/>
        </w:rPr>
        <w:t xml:space="preserve"> </w:t>
      </w:r>
      <w:r>
        <w:t>суд заявил, что штат должен был обеспечить функционирование правовой системы, обеспечивающей справедливость на основе равных возможностей.  Формулировки статьи 39-А трактуются как имеющие обязательный характер.  Подчеркивается, что судебная система должна обеспечивать быстрое судебное расследование на основе равных возможностей и предоставлять бесплатную правовую помощь таким образом, чтобы ни один гражданин не лишался доступа к правосудию по основанию неспособности экономического или иного характера.</w:t>
      </w:r>
    </w:p>
    <w:p w:rsidR="00000000" w:rsidRDefault="00000000"/>
    <w:p w:rsidR="00000000" w:rsidRDefault="00000000">
      <w:r>
        <w:t>147.</w:t>
      </w:r>
      <w:r>
        <w:tab/>
        <w:t>Национальное управление правовой помощи (НАЛСА) было создано для осуществления и мониторинга программ правовой помощи в стране.  Был учрежден также Комитет правовой помощи Верховного суда.  В каждом Высоком суде существуют комитеты правового обслуживания для предоставления правовой помощи лицам, имеющим на это право, по вопросам находящимся на рассмотрении суда.  Вышеуказанное законодательство предусматривает создание управлений по вопросам правовой помощи на уровне штатов, районов и на уровне талуков.</w:t>
      </w:r>
    </w:p>
    <w:p w:rsidR="00000000" w:rsidRDefault="00000000"/>
    <w:p w:rsidR="00000000" w:rsidRDefault="00000000">
      <w:r>
        <w:t>148.</w:t>
      </w:r>
      <w:r>
        <w:tab/>
        <w:t>Центральные власти принимают меры для создания эффективных программ правовой помощи, включая поощрение юридической грамотности, организацию юридических курсов в университетах и юридических колледжах, подготовку параюридического персонала, организацию выездных семинаров на изучение правовых вопросов, а также "Лок Адалат".  НАЛСА вырабатывает также политику и проекты для достижения целей и задач, предусмотренных законодательством.</w:t>
      </w:r>
    </w:p>
    <w:p w:rsidR="00000000" w:rsidRDefault="00000000"/>
    <w:p w:rsidR="00000000" w:rsidRDefault="00000000">
      <w:r>
        <w:t>149.</w:t>
      </w:r>
      <w:r>
        <w:tab/>
        <w:t>Правительство выделило на нужды НАЛСА 60 млн. рупий (около 1,5 млн. долл. США) в качестве субсидий на 2003-2004 годы для реализации положений вышеуказанного Акта.  НАЛСА осуществляет контроль и оценку реализации проектов и программ правовой помощи, а также принимает конкретные меры по повышению юридической грамотности и осведомленности в правовых вопросах менее обеспеченных слоев общества.  К 31 декабря 2002 года было проведено около 154 300 заседаний "Лок Адалат" и урегулировано порядка 14,6 млн. дел.  По состоянию на 31 декабря 20002 года, более 4,7 млн. человек в стране получили правовую помощь.</w:t>
      </w:r>
    </w:p>
    <w:p w:rsidR="00000000" w:rsidRDefault="00000000"/>
    <w:p w:rsidR="00000000" w:rsidRDefault="00000000">
      <w:r>
        <w:t>150.</w:t>
      </w:r>
      <w:r>
        <w:tab/>
        <w:t>В 2002 году парламент внес поправки в Закон о правовой помощи 1987 года в целях создания механизма досудебного примирения и урегулирования.  Данный Закон с внесенными в него поправками предусматривает создание постоянных "Лок Адалат" для отправления правосудия в отношении споров, касающихся таких коммунальных служб, как транспорт, почта и т.д.  Стороне, находящейся в споре с коммунальной службой, предоставляется возможность обратиться в постоянный "Лок Адалат", который уполномочен рассматривать дело и выносить решение, носящее обязательный характер и являющееся окончательным.</w:t>
      </w:r>
    </w:p>
    <w:p w:rsidR="00000000" w:rsidRDefault="00000000"/>
    <w:p w:rsidR="00000000" w:rsidRDefault="00000000">
      <w:r>
        <w:t>151.</w:t>
      </w:r>
      <w:r>
        <w:tab/>
        <w:t>По ряду дел Верховный суд вынес решение о предоставлении компенсации за нарушение основных прав.  По одному из важных дел Верховный суд постановил, что "суд, установивший факт нарушения основного права, не может ограничиться одним лишь мотивированным решением.  Он обязан продолжить рассмотрение дела и вынести постановление о компенсации.  Причем это должно иметь форму не компенсации ущерба по гражданскому иску, а форму возмещения по публичному праву в связи с противоправным деянием вследствие нарушения государством своего обязательства о защите основного права гражданина на жизнь.  Устранение ущерба и судебная компенсация за причиненный вред являются обязательной нормой правосознания"</w:t>
      </w:r>
      <w:r>
        <w:rPr>
          <w:rStyle w:val="FootnoteReference"/>
        </w:rPr>
        <w:footnoteReference w:id="10"/>
      </w:r>
      <w:r>
        <w:t>.</w:t>
      </w:r>
    </w:p>
    <w:p w:rsidR="00000000" w:rsidRDefault="00000000"/>
    <w:p w:rsidR="00000000" w:rsidRDefault="00000000">
      <w:r>
        <w:t>152.</w:t>
      </w:r>
      <w:r>
        <w:tab/>
        <w:t xml:space="preserve">Конституция Индии не содержит четкого положения о возмещении ущерба за нарушение основного права на личную свободу или жизнь.  Но в ряде случаев Верховный </w:t>
      </w:r>
    </w:p>
    <w:p w:rsidR="00000000" w:rsidRDefault="00000000">
      <w:r>
        <w:br w:type="page"/>
        <w:t>суд</w:t>
      </w:r>
      <w:r>
        <w:rPr>
          <w:rStyle w:val="FootnoteReference"/>
        </w:rPr>
        <w:footnoteReference w:id="11"/>
      </w:r>
      <w:r>
        <w:t xml:space="preserve"> и высшие суды принимали решения о возмещении.</w:t>
      </w:r>
    </w:p>
    <w:p w:rsidR="00000000" w:rsidRDefault="00000000"/>
    <w:p w:rsidR="00000000" w:rsidRDefault="00000000">
      <w:r>
        <w:t>153.</w:t>
      </w:r>
      <w:r>
        <w:tab/>
        <w:t xml:space="preserve">Так, в деле </w:t>
      </w:r>
      <w:r>
        <w:rPr>
          <w:i/>
          <w:iCs/>
        </w:rPr>
        <w:t>Рудул Шах против Штата Бихар</w:t>
      </w:r>
      <w:r>
        <w:rPr>
          <w:rStyle w:val="FootnoteReference"/>
        </w:rPr>
        <w:footnoteReference w:id="12"/>
      </w:r>
      <w:r>
        <w:rPr>
          <w:i/>
          <w:iCs/>
        </w:rPr>
        <w:t xml:space="preserve"> </w:t>
      </w:r>
      <w:r>
        <w:t>Верховный суд постановил, что одним из путей обоснованного предотвращения нарушения права и надлежащего выполнения требований статьи 21 (право на жизнь) является денежная компенсация со стороны нарушителей.  Право на возмещение ущерба является в некоторой степени паллиативом для тех, кто совершает противозаконные действия, прикрываясь при этом общественными интересами и авторитетом государства.  Уважение каждого отдельного человека - вот подлинная основа демократии.  Именно поэтому государство обязано возмещать ущерб, нанесенный его должностными лицами правам истца.</w:t>
      </w:r>
    </w:p>
    <w:p w:rsidR="00000000" w:rsidRDefault="00000000"/>
    <w:p w:rsidR="00000000" w:rsidRDefault="00000000">
      <w:r>
        <w:t>154.</w:t>
      </w:r>
      <w:r>
        <w:tab/>
        <w:t xml:space="preserve">В деле </w:t>
      </w:r>
      <w:r>
        <w:rPr>
          <w:i/>
          <w:iCs/>
        </w:rPr>
        <w:t>Зарегистрированное общество "Общее дело" против Индийского Союза</w:t>
      </w:r>
      <w:r>
        <w:rPr>
          <w:rStyle w:val="FootnoteReference"/>
        </w:rPr>
        <w:footnoteReference w:id="13"/>
      </w:r>
      <w:r>
        <w:t xml:space="preserve"> суд подтвердил ранее сделанный вывод о том, что полномочие суда принимать решение об исправлении положения может включать, в соответствующих случаях, и возмещение ущерба.  Словосочетание "в соответствующих случаях" использовано не случайно, поскольку "совершенно очевидно, что не в каждом случае нарушение основного права диктует необходимость возмещения в соответствии со статьей 32 Конституции".</w:t>
      </w:r>
    </w:p>
    <w:p w:rsidR="00000000" w:rsidRDefault="00000000"/>
    <w:p w:rsidR="00000000" w:rsidRDefault="00000000">
      <w:r>
        <w:t>155.</w:t>
      </w:r>
      <w:r>
        <w:tab/>
        <w:t>Национальная комиссия по правам человека (НКПЧ), созданная на основании Закона о защите прав человека 1993 года, является высшим национальным учреждением, занимающимся вопросами защиты прав человека и рассмотрения исков в связи с их нарушением.  Созданная в соответствии с Парижскими принципами, она во многих случаях также выносила решения о возмещении ущерба жертвам нарушения прав человека.</w:t>
      </w:r>
    </w:p>
    <w:p w:rsidR="00000000" w:rsidRDefault="00000000"/>
    <w:p w:rsidR="00000000" w:rsidRDefault="00000000">
      <w:r>
        <w:t>156.</w:t>
      </w:r>
      <w:r>
        <w:tab/>
        <w:t>В течение почти 12 лет своего существования НКПЧ проделала заслуживающую высокой оценки работу по защите и обеспечению прав человека в Индии.  С помощью уникальной системы регистрации жалоб и их отслеживания, опытом работы которой она делится с другими странами, НКПЧ за 12 лет своего существования рассмотрела более 70 000 жалоб.  Она направляла действия исполнительной и судебной власти в целях возмещения ущерба в связи с нарушениями прав человека, беря на себя во многих случаях рассмотрение дел и принимая решения о возмещении ущерба жертвам нарушений прав человека, в том числе со стороны сотрудников полиции и сил безопасности.  Вместе с тем ею не зафиксировано ни одного случая нарушения прав человека на почве расовой дискриминации.</w:t>
      </w:r>
    </w:p>
    <w:p w:rsidR="00000000" w:rsidRDefault="00000000"/>
    <w:p w:rsidR="00000000" w:rsidRDefault="00000000">
      <w:r>
        <w:t>157.  Другие национальные комиссии, такие, как Национальная комиссия по делам меньшинств и Национальная комиссия по делам женщин, также занимаются защитой и поощрением прав человека  соответствующих групп и категорий населения.</w:t>
      </w:r>
    </w:p>
    <w:p w:rsidR="00000000" w:rsidRDefault="00000000"/>
    <w:p w:rsidR="00000000" w:rsidRDefault="00000000">
      <w:pPr>
        <w:jc w:val="center"/>
        <w:rPr>
          <w:b/>
        </w:rPr>
      </w:pPr>
      <w:r>
        <w:rPr>
          <w:b/>
        </w:rPr>
        <w:t>Статья 7</w:t>
      </w:r>
    </w:p>
    <w:p w:rsidR="00000000" w:rsidRDefault="00000000">
      <w:pPr>
        <w:rPr>
          <w:b/>
          <w:u w:val="single"/>
        </w:rPr>
      </w:pPr>
    </w:p>
    <w:p w:rsidR="00000000" w:rsidRDefault="00000000">
      <w:r>
        <w:t>158.</w:t>
      </w:r>
      <w:r>
        <w:tab/>
        <w:t>Эта статья предусматривает предоставление информации о мерах, принятых правительством в областях преподавания, воспитания, культуры и информации, с целью борьбы с предрассудками, ведущими  к расовой дискриминации, поощрения взаимопонимания, терпимости  и дружбы между нациями и расовыми или этническими группами, а также популяризации целей и принципов, в том числе Устава Организации Объединенных Наций и  Международной конвенции о ликвидации всех форм расовой дискриминации.</w:t>
      </w:r>
    </w:p>
    <w:p w:rsidR="00000000" w:rsidRDefault="00000000"/>
    <w:p w:rsidR="00000000" w:rsidRDefault="00000000">
      <w:r>
        <w:t>159.</w:t>
      </w:r>
      <w:r>
        <w:tab/>
        <w:t>В соответствии со своими обязательствами, вытекающими из этой статьи, Индия  борется со всеми предрассудками, ведущими к расовой дискриминации и межобщинной розни.  Как отмечалось выше, Индия прилагает усилия для создания и формирования прочного фундамента культурного многообразия, являющегося лучшей гарантией против дискриминации.  Кроме того, целенаправленные, специальные и последовательные усилия прилагаются для развития изначально присущего народу страны уважения к многообразию мнений и терпимости среди молодежи, включая  учащихся младших классов и всех учащихся системы образования, и среди средств массовой информации.  В школьных программах Индии значительное внимание уделяется изучению конституционных положений, касающихся основных прав, с особым акцентом на их глубинный смысл.  Таким образом, ценности светского общества, принципы уважения прав человека и терпимости прививаются и закрепляются через систему образования.</w:t>
      </w:r>
    </w:p>
    <w:p w:rsidR="00000000" w:rsidRDefault="00000000"/>
    <w:p w:rsidR="00000000" w:rsidRDefault="00000000">
      <w:r>
        <w:t>160.</w:t>
      </w:r>
      <w:r>
        <w:tab/>
        <w:t xml:space="preserve">Министерством по развитию людских ресурсов, Комиссией по выделению университетских грантов (КУГ), Национальным советом исследований в области образования и профессиональной подготовки (НСИПП) и Национальным советом педагогического образования (НСПО) был предпринят ряд инициатив для поощрения образования  в области прав человека в Индии.  КУГ в своей деятельности уделяет особое внимание необходимости подготовки в области прав человека.  Образование в области прав человека является частью учебной программы ряда университетов и других учебных заведений Индии.  Среди них можно назвать Национальную школу права Университета Индии в Бангалоре, Отделение политических наук Хайдерабадского университета, Центр по правам человека Университета им. Б.Б. Амбедкара в Лукноу.  Кроме того, многие учебные заведения ввели правозащитную тематику в программу аспирантур и преддипломных курсов. Семинары по вопросам правовой помощи, программы и кампании по проблемам правовой помощи и правовой грамотности в некоторых университетах содействуют повышению информированности населения.  НСИПП являющийся высшим органом, консультирующим центральное правительство и правительства штатов по вопросам школьного образования, оказывает научное и техническое содействие школам и издает учебники по предметам, преподаваемым вплоть до </w:t>
      </w:r>
      <w:r>
        <w:rPr>
          <w:lang w:val="en-US"/>
        </w:rPr>
        <w:t>XIII</w:t>
      </w:r>
      <w:r>
        <w:t xml:space="preserve"> класса (средняя школа высшей ступени/уровень "</w:t>
      </w:r>
      <w:r>
        <w:rPr>
          <w:lang w:val="en-US"/>
        </w:rPr>
        <w:t>A</w:t>
      </w:r>
      <w:r>
        <w:t xml:space="preserve">").  Эти учебники составлены на основе базового подхода, объединяющего различные аспекты прав человека с другими вопросами, которые входят в число основных тем школьной программы, такими, как атеизм, национальная целостность, равенство мужчин и женщин и защита окружающей среды. </w:t>
      </w:r>
    </w:p>
    <w:p w:rsidR="00000000" w:rsidRDefault="00000000"/>
    <w:p w:rsidR="00000000" w:rsidRDefault="00000000">
      <w:r>
        <w:t>161.</w:t>
      </w:r>
      <w:r>
        <w:tab/>
        <w:t xml:space="preserve">Свобода печати и средств массовой информации в Индии также гарантирует населению возможность беспрепятственно осуществлять право на свободу мнений и свободное их выражение, что рассматривается Индией в качестве важного вклада в обеспечение терпимости и дружбы между нациями и народами.  С целью недопущения распространения расовых и иных предрассудков Советом по вопросам средств массовой информации Индии были разработаны политические директивы для  частных, правительственных средств массовой информации и средств массовой информации в штатах.  Правительство также учредило Управление местной пропаганды, которое, в частности, занимается подготовкой программ по предупреждению дискриминации и укреплению терпимости и дружбы на местном уровне, используя традиционные и другие способы распространения информации.  Выше в данном докладе уже говорилось о роли Всеиндийского радио и телевидения и частных каналов в деле обеспечения и укрепления уважения к национальному многообразию и в деле повышения осведомленности населения в целях интеграции культурных традиций всей Индии. </w:t>
      </w:r>
    </w:p>
    <w:p w:rsidR="00000000" w:rsidRDefault="00000000"/>
    <w:p w:rsidR="00000000" w:rsidRDefault="00000000">
      <w:r>
        <w:t>162.  Неизменная приверженность Индии принципам и целям Устава Организации Объединенных Наций, который,  в числе прочего, содержит призыв к миру и дружбе между странами всего мира, что является краеугольным камнем её внешней политики, находит отражение в периодических правительственных изданиях, а также в программах и дискуссиях на  различных форумах, в том числе научных и медийных, которые содействуют распространению принципов дружбы и равенства между государствами. Кроме того, Индийский совет по культурным связям (ИСКС) осуществляет целый ряд интерактивных программ, к числу которых относится празднование Дня Африки в ознаменование дружбы между различными народами и расами.  Этот Совет оказывает специальные консультативные услуги иностранным студентам, обучающимся  в Индии в рамках различных государственных программ стипендий.  Кроме того, ИСКС принимает меры для надлежащего обучения и социального обеспечения иностранных студентов,  подавляющее большинство  которых приезжают из развивающихся стран и представляют различные расы и народы мира.</w:t>
      </w:r>
    </w:p>
    <w:p w:rsidR="00000000" w:rsidRDefault="00000000"/>
    <w:p w:rsidR="00000000" w:rsidRDefault="00000000">
      <w:r>
        <w:t>163. Правительство стремится содействовать взаимопониманию, дружбе и солидарности стран мира через различные межправительственные механизмы, используя для этого положение  Индии на форумах Движения неприсоединения, Группы 77, Содружества наций и др. Одним из ключевых элементов индийской внешней политики является  сотрудничество по линии Юг-Юг.  Индия активно и эффективно работает на двусторонних и многосторонних форумах, где обсуждаются особые потребности Африки, наименее развитых стран, стран не имеющих выхода к морю, бедных стран с крупной задолженностью, а также малых островных развивающихся стран.  Индия уделяет особое внимание обмену экспертным опытом, работе по укреплению возможностей, а также подготовка специалистов, в том числе посредством учрежденной в 1964 году Индийской программы технического и экономического сотрудничества (ИТЭС), в рамках которой  ежегодно 5 000 иностранных студентов обучаются в различных учебных заведениях страны.  Помимо предоставления двусторонней помощи развивающимся странам в рамках имеющихся ограниченных ресурсов, другими инструментами укрепления двустороннего сотрудничества с развивающимися странами являются План Коломбо, Специальный план Содружества по содействию Африке и Новое партнерство в интересах развития Африки (НЕПАД). Министерство иностранных дел также организует регулярные профессиональные курсы для иностранных дипломатов в Институте дипломатической службы,  в которых участвуют дипломаты из целого ряда стран, в том числе развивающихся.  Такое межкультурное участие представителей различных районов мира в деятельности этих курсов также способствует обеспечению и укреплению взаимопонимания между людьми различных культур и рас.</w:t>
      </w:r>
    </w:p>
    <w:p w:rsidR="00000000" w:rsidRDefault="00000000"/>
    <w:p w:rsidR="00000000" w:rsidRDefault="00000000">
      <w:r>
        <w:t>164.</w:t>
      </w:r>
      <w:r>
        <w:tab/>
        <w:t>В рамках предпринимаемых усилий по выполнению обязательств, предусмотренных различными договорами по правам человека, участниками которых является Индия, правительство Индии придает особое значение информационно-просветительской деятельности, содействующей повышению уровня осведомленности населения в области прав человека.  Информационно-просветительская работа осуществляется в самых разных формах, включая повышение осведомленности представителей государственных структур на всех уровнях, сотрудников полиции, военнослужащих военизированных формирований и вооруженных сил.  Их внимание обращается на необходимость соблюдения, поощрения и защиты прав человека.  Все эти мероприятия правительство осуществляет в тесном сотрудничестве с представителями гражданского общества, например с неправительственными организациями и Национальной комиссией по правам человека.  Права человека изучаются в качестве учебной дисциплины в ряде полицейских и военных училищ, включая Национальную полицейскую академию Сардар Валлабхбхай Пател в Хайдарабаде и Национальном институте криминалистики и судебной медицины в Дели.  Национальная комиссия по правам человека играет ключевую роль в деле распространения информации о правах человека.</w:t>
      </w:r>
    </w:p>
    <w:p w:rsidR="00000000" w:rsidRDefault="00000000"/>
    <w:p w:rsidR="00000000" w:rsidRDefault="00000000">
      <w:r>
        <w:t>165.</w:t>
      </w:r>
      <w:r>
        <w:tab/>
        <w:t>Индийский совет по международным делам (ИСМД) на основании постановления парламента получил статус учреждения национального значения.  Помимо научно-исследовательской деятельности в области международных отношений и внешней политики, он организует семинары, "круглые столы", симпозиумы.  Значительная часть деятельности ИСМД связана с проблемами развивающихся стран, равно как и с вопросами развития отношений между государствами на основе принципов "панчашила" (пяти принципов межгосударственных отношений).  Так, в 2002 году был проведен семинар "Индия – Африка:  новые горизонты".  Министерством иностранных дел был учрежден "Африканский центр".  ИСМД также выполняет функции секретариата Совета сотрудничества в области безопасности в Азиатско-Тихоокеанском регионе.</w:t>
      </w:r>
    </w:p>
    <w:p w:rsidR="00000000" w:rsidRDefault="00000000"/>
    <w:p w:rsidR="00000000" w:rsidRDefault="00000000">
      <w:r>
        <w:t>166.</w:t>
      </w:r>
      <w:r>
        <w:tab/>
        <w:t>Всемирная конференция по борьбе против расизма (2001 года) призвала правительство способствовать разработке, посредством консультаций и сотрудничества с национальными учреждениями, национальных планов действий в области прав человека, в том числе касающихся вопросов борьбы с расизмом в контексте Десятилетия образования в области прав человека Организации Объединенных Наций.  Национальные учреждения по правам человека призваны обеспечить, чтобы борьба против расизма стала составной частью Национального плана действий по образованию и обучению в области прав человека.  Правительство Индии учредило координационный комитет под председательством министра внутренних дел Индии по подготовке такого плана в консультациях с другими заинтересованными участниками.</w:t>
      </w:r>
    </w:p>
    <w:p w:rsidR="00000000" w:rsidRDefault="00000000"/>
    <w:p w:rsidR="00000000" w:rsidRDefault="00000000">
      <w:r>
        <w:t>167.</w:t>
      </w:r>
      <w:r>
        <w:tab/>
        <w:t>Национальная комиссия по правам человека (НКПЧ) сыграла активную роль в подготовке Национального плана действий по проведению Десятилетия образования в области прав человека (1995-2004 годы).  В 1998 году Комиссия учредила Институт по подготовке, исследованиям и документации в области прав человека в Национальной школе права при Бангалорском университете.  В рамках программы летней практики (интернатуры) Комиссия проводит специальные курсы для индийских и иностранных студентов для расширения и углубления знаний в области прав человека.  Она также проводила семинары и организовывала другие учебные мероприятия, в том числе Южно</w:t>
      </w:r>
      <w:r>
        <w:noBreakHyphen/>
        <w:t xml:space="preserve">Азиатский симпозиум по вопросам обучения в области прав человека, организованный Комиссией совместно с "Хурирайтс, Осака" (октябрь 1998 года), семинар на тему "Поощрение прав человека:  критический взгляд", организованный в сотрудничестве с НКПЧ, Национальной комиссией по делам женщин и Индийским социальным институтом (ноябрь 1998 года) по случаю пятидесятилетия со дня принятия Всеобщей декларации прав человека.  Она также проводила ежегодные мероприятия, посвященные правам человека, для членов военизированных формирований.  НКПЧ также предоставила финансовую помощь для проведения исследовательских проектов в сфере прав человека и организации кампании по образованию в области прав человека.  С 2001 года НКПЧ издает "Журнал по правам человека" для распространения информации о важных событиях, связанных с правами человека.  </w:t>
      </w:r>
    </w:p>
    <w:p w:rsidR="00000000" w:rsidRDefault="00000000"/>
    <w:p w:rsidR="00000000" w:rsidRDefault="00000000">
      <w:pPr>
        <w:jc w:val="center"/>
      </w:pPr>
      <w:r>
        <w:t>------</w:t>
      </w:r>
    </w:p>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b w:val="0"/>
          <w:bCs/>
          <w:vertAlign w:val="baseline"/>
        </w:rPr>
        <w:t>*</w:t>
      </w:r>
      <w:r>
        <w:t xml:space="preserve"> </w:t>
      </w:r>
      <w:r>
        <w:tab/>
        <w:t xml:space="preserve">Настоящий документ представляет собой сводный вариант пятнадцатого, шестнадцатого, семнадцатого, восемнадцатого и девятнадцатого периодических докладов Республики Индия, подлежавших представлению соответственно 4 января 1998, 2000, 2002, 2004 и 2006 годов и представленных в одном документе.  Четырнадцатый периодический доклад и краткие отчеты о заседаниях содержатся в документах </w:t>
      </w:r>
      <w:r>
        <w:rPr>
          <w:lang w:val="en-US"/>
        </w:rPr>
        <w:t>CERD</w:t>
      </w:r>
      <w:r>
        <w:t>/</w:t>
      </w:r>
      <w:r>
        <w:rPr>
          <w:lang w:val="en-US"/>
        </w:rPr>
        <w:t>C</w:t>
      </w:r>
      <w:r>
        <w:t>/299/</w:t>
      </w:r>
      <w:r>
        <w:rPr>
          <w:lang w:val="en-US"/>
        </w:rPr>
        <w:t>Add</w:t>
      </w:r>
      <w:r>
        <w:t xml:space="preserve">.3 и </w:t>
      </w:r>
      <w:r>
        <w:rPr>
          <w:lang w:val="en-US"/>
        </w:rPr>
        <w:t>CERD</w:t>
      </w:r>
      <w:r>
        <w:t>/</w:t>
      </w:r>
      <w:r>
        <w:rPr>
          <w:lang w:val="en-US"/>
        </w:rPr>
        <w:t>C</w:t>
      </w:r>
      <w:r>
        <w:t>/SR.1161-1163.</w:t>
      </w:r>
    </w:p>
    <w:p w:rsidR="00000000" w:rsidRDefault="00000000">
      <w:pPr>
        <w:pStyle w:val="FootnoteText"/>
      </w:pPr>
    </w:p>
  </w:footnote>
  <w:footnote w:id="2">
    <w:p w:rsidR="00000000" w:rsidRDefault="00000000">
      <w:pPr>
        <w:pStyle w:val="FootnoteText"/>
        <w:rPr>
          <w:color w:val="000000"/>
          <w:szCs w:val="22"/>
          <w:lang w:eastAsia="ru-RU"/>
        </w:rPr>
      </w:pPr>
      <w:r>
        <w:rPr>
          <w:rStyle w:val="FootnoteReference"/>
          <w:b w:val="0"/>
          <w:bCs/>
          <w:vertAlign w:val="baseline"/>
        </w:rPr>
        <w:t>**</w:t>
      </w:r>
      <w:r>
        <w:tab/>
      </w:r>
      <w:r>
        <w:rPr>
          <w:color w:val="000000"/>
          <w:szCs w:val="22"/>
          <w:lang w:eastAsia="ru-RU"/>
        </w:rPr>
        <w:t>Как сообщалось государствам-участникам по поводу оформления их докладов, настоящий доклад не был официально отредактирован до его передачи в службы перевода Организации Объединенных Наций.</w:t>
      </w:r>
    </w:p>
    <w:p w:rsidR="00000000" w:rsidRDefault="00000000">
      <w:pPr>
        <w:pStyle w:val="FootnoteText"/>
        <w:rPr>
          <w:color w:val="000000"/>
          <w:sz w:val="22"/>
          <w:szCs w:val="22"/>
          <w:lang w:eastAsia="ru-RU"/>
        </w:rPr>
      </w:pPr>
    </w:p>
    <w:p w:rsidR="00000000" w:rsidRDefault="00000000">
      <w:pPr>
        <w:pStyle w:val="FootnoteText"/>
        <w:rPr>
          <w:color w:val="000000"/>
          <w:sz w:val="22"/>
          <w:szCs w:val="22"/>
          <w:lang w:eastAsia="ru-RU"/>
        </w:rPr>
      </w:pPr>
    </w:p>
    <w:p w:rsidR="00000000" w:rsidRDefault="00000000">
      <w:pPr>
        <w:pStyle w:val="FootnoteText"/>
      </w:pPr>
    </w:p>
  </w:footnote>
  <w:footnote w:id="3">
    <w:p w:rsidR="00000000" w:rsidRDefault="00000000">
      <w:pPr>
        <w:pStyle w:val="FootnoteText"/>
      </w:pPr>
      <w:r>
        <w:rPr>
          <w:rStyle w:val="FootnoteReference"/>
        </w:rPr>
        <w:footnoteRef/>
      </w:r>
      <w:r>
        <w:tab/>
        <w:t xml:space="preserve">Штат Уттар Прадеш против Раджнарайн, </w:t>
      </w:r>
      <w:r>
        <w:rPr>
          <w:lang w:val="en-US"/>
        </w:rPr>
        <w:t>AIR</w:t>
      </w:r>
      <w:r>
        <w:t xml:space="preserve">1975 </w:t>
      </w:r>
      <w:r>
        <w:rPr>
          <w:lang w:val="en-US"/>
        </w:rPr>
        <w:t>SC</w:t>
      </w:r>
      <w:r>
        <w:t xml:space="preserve"> 865;  Динеш Триведи, Мадхья Прадеш против Союза Индии (1997) 4 </w:t>
      </w:r>
      <w:r>
        <w:rPr>
          <w:lang w:val="en-US"/>
        </w:rPr>
        <w:t>SCC</w:t>
      </w:r>
      <w:r>
        <w:t xml:space="preserve"> 306;  С.П. Гупта против Президента Индии, </w:t>
      </w:r>
      <w:r>
        <w:rPr>
          <w:lang w:val="en-US"/>
        </w:rPr>
        <w:t>AIR</w:t>
      </w:r>
      <w:r>
        <w:t xml:space="preserve"> 1982 </w:t>
      </w:r>
      <w:r>
        <w:rPr>
          <w:lang w:val="en-US"/>
        </w:rPr>
        <w:t>SC</w:t>
      </w:r>
      <w:r>
        <w:t xml:space="preserve"> 149;  Союз Индии против Бенгальской ассоциации крикета, </w:t>
      </w:r>
      <w:r>
        <w:rPr>
          <w:lang w:val="en-US"/>
        </w:rPr>
        <w:t>AIR</w:t>
      </w:r>
      <w:r>
        <w:t xml:space="preserve"> 1999 </w:t>
      </w:r>
      <w:r>
        <w:rPr>
          <w:lang w:val="en-US"/>
        </w:rPr>
        <w:t>SC</w:t>
      </w:r>
      <w:r>
        <w:t xml:space="preserve"> 1236;  Народный союз за гражданские свободы против Союза Индии </w:t>
      </w:r>
      <w:r>
        <w:rPr>
          <w:lang w:val="en-US"/>
        </w:rPr>
        <w:t>AIR</w:t>
      </w:r>
      <w:r>
        <w:t xml:space="preserve"> 1997 </w:t>
      </w:r>
      <w:r>
        <w:rPr>
          <w:lang w:val="en-US"/>
        </w:rPr>
        <w:t>SC</w:t>
      </w:r>
      <w:r>
        <w:t xml:space="preserve"> 568;  Коммунистическая партия Индии (М) против Бхарат Кумар и других, </w:t>
      </w:r>
      <w:r>
        <w:rPr>
          <w:lang w:val="en-US"/>
        </w:rPr>
        <w:t>AIR</w:t>
      </w:r>
      <w:r>
        <w:t xml:space="preserve"> 1998 </w:t>
      </w:r>
      <w:r>
        <w:rPr>
          <w:lang w:val="en-US"/>
        </w:rPr>
        <w:t>SC</w:t>
      </w:r>
      <w:r>
        <w:t xml:space="preserve"> 184;  Тата Пресс лтд. против </w:t>
      </w:r>
      <w:r>
        <w:rPr>
          <w:lang w:val="en-US"/>
        </w:rPr>
        <w:t>MTNL</w:t>
      </w:r>
      <w:r>
        <w:t xml:space="preserve"> (1995) 5 </w:t>
      </w:r>
      <w:r>
        <w:rPr>
          <w:lang w:val="en-US"/>
        </w:rPr>
        <w:t>SCC</w:t>
      </w:r>
      <w:r>
        <w:t> 139;  Союз Индии против Ассоциации за демократические реформы (2002) 5 </w:t>
      </w:r>
      <w:r>
        <w:rPr>
          <w:lang w:val="en-US"/>
        </w:rPr>
        <w:t>SCC</w:t>
      </w:r>
      <w:r>
        <w:t> 294.</w:t>
      </w:r>
    </w:p>
  </w:footnote>
  <w:footnote w:id="4">
    <w:p w:rsidR="00000000" w:rsidRDefault="00000000">
      <w:pPr>
        <w:pStyle w:val="FootnoteText"/>
        <w:rPr>
          <w:lang w:val="en-US"/>
        </w:rPr>
      </w:pPr>
      <w:r>
        <w:rPr>
          <w:rStyle w:val="FootnoteReference"/>
        </w:rPr>
        <w:footnoteRef/>
      </w:r>
      <w:r>
        <w:t xml:space="preserve"> </w:t>
      </w:r>
      <w:r>
        <w:tab/>
      </w:r>
      <w:r>
        <w:rPr>
          <w:lang w:val="en-US"/>
        </w:rPr>
        <w:t>AIR 1996 SC 1051</w:t>
      </w:r>
    </w:p>
  </w:footnote>
  <w:footnote w:id="5">
    <w:p w:rsidR="00000000" w:rsidRDefault="00000000">
      <w:pPr>
        <w:spacing w:line="240" w:lineRule="auto"/>
        <w:rPr>
          <w:szCs w:val="22"/>
        </w:rPr>
      </w:pPr>
      <w:r>
        <w:rPr>
          <w:rStyle w:val="FootnoteReference"/>
        </w:rPr>
        <w:footnoteRef/>
      </w:r>
      <w:r>
        <w:tab/>
        <w:t xml:space="preserve">Эта конституционная </w:t>
      </w:r>
      <w:r>
        <w:rPr>
          <w:szCs w:val="22"/>
        </w:rPr>
        <w:t>поправка</w:t>
      </w:r>
      <w:r>
        <w:rPr>
          <w:i/>
          <w:szCs w:val="22"/>
        </w:rPr>
        <w:t xml:space="preserve"> </w:t>
      </w:r>
      <w:r>
        <w:rPr>
          <w:szCs w:val="22"/>
        </w:rPr>
        <w:t>предусматривает следующее:</w:t>
      </w:r>
    </w:p>
    <w:p w:rsidR="00000000" w:rsidRDefault="00000000">
      <w:pPr>
        <w:spacing w:line="240" w:lineRule="auto"/>
        <w:rPr>
          <w:sz w:val="16"/>
          <w:szCs w:val="22"/>
        </w:rPr>
      </w:pPr>
    </w:p>
    <w:p w:rsidR="00000000" w:rsidRDefault="00000000">
      <w:pPr>
        <w:spacing w:line="240" w:lineRule="auto"/>
        <w:rPr>
          <w:szCs w:val="22"/>
        </w:rPr>
      </w:pPr>
      <w:r>
        <w:rPr>
          <w:szCs w:val="22"/>
        </w:rPr>
        <w:tab/>
        <w:t>Она переводит положение о бесплатном и обязательном образовании для всех детей в возрасте от 6 до 14 лет из категории Руководящего принципа политики государства (выполнение которого не обеспечивается в судебном порядке) в категорию основного права по Конституции, включив его в статью 21-А.</w:t>
      </w:r>
    </w:p>
    <w:p w:rsidR="00000000" w:rsidRDefault="00000000">
      <w:pPr>
        <w:spacing w:line="240" w:lineRule="auto"/>
        <w:rPr>
          <w:sz w:val="16"/>
          <w:szCs w:val="22"/>
        </w:rPr>
      </w:pPr>
    </w:p>
    <w:p w:rsidR="00000000" w:rsidRDefault="00000000">
      <w:pPr>
        <w:spacing w:line="240" w:lineRule="auto"/>
        <w:rPr>
          <w:szCs w:val="22"/>
        </w:rPr>
      </w:pPr>
      <w:r>
        <w:rPr>
          <w:szCs w:val="22"/>
        </w:rPr>
        <w:tab/>
        <w:t>Она, в частности, предусматривает, что "государство должно обеспечивать бесплатное и обязательное обучение всех детей в возрасте от 6 до 14 лет таким образом, как это установлено государством согласно закону".</w:t>
      </w:r>
    </w:p>
    <w:p w:rsidR="00000000" w:rsidRDefault="00000000">
      <w:pPr>
        <w:pStyle w:val="FootnoteText"/>
      </w:pPr>
    </w:p>
  </w:footnote>
  <w:footnote w:id="6">
    <w:p w:rsidR="00000000" w:rsidRDefault="00000000">
      <w:pPr>
        <w:pStyle w:val="FootnoteText"/>
      </w:pPr>
      <w:r>
        <w:rPr>
          <w:rStyle w:val="FootnoteReference"/>
        </w:rPr>
        <w:footnoteRef/>
      </w:r>
      <w:r>
        <w:t xml:space="preserve"> </w:t>
      </w:r>
      <w:r>
        <w:tab/>
      </w:r>
      <w:r>
        <w:rPr>
          <w:i/>
          <w:iCs/>
        </w:rPr>
        <w:t>Сукдас против Союзной территории Аруначал-Прадеш</w:t>
      </w:r>
      <w:r>
        <w:t xml:space="preserve">, </w:t>
      </w:r>
      <w:r>
        <w:rPr>
          <w:lang w:val="en-US"/>
        </w:rPr>
        <w:t>AIR</w:t>
      </w:r>
      <w:r>
        <w:t xml:space="preserve"> 1986 </w:t>
      </w:r>
      <w:r>
        <w:rPr>
          <w:lang w:val="en-US"/>
        </w:rPr>
        <w:t>SC</w:t>
      </w:r>
      <w:r>
        <w:t xml:space="preserve"> 991.</w:t>
      </w:r>
    </w:p>
    <w:p w:rsidR="00000000" w:rsidRDefault="00000000">
      <w:pPr>
        <w:pStyle w:val="FootnoteText"/>
      </w:pPr>
    </w:p>
  </w:footnote>
  <w:footnote w:id="7">
    <w:p w:rsidR="00000000" w:rsidRDefault="00000000">
      <w:pPr>
        <w:pStyle w:val="FootnoteText"/>
        <w:rPr>
          <w:szCs w:val="22"/>
        </w:rPr>
      </w:pPr>
      <w:r>
        <w:rPr>
          <w:rStyle w:val="FootnoteReference"/>
          <w:szCs w:val="22"/>
        </w:rPr>
        <w:footnoteRef/>
      </w:r>
      <w:r>
        <w:rPr>
          <w:szCs w:val="22"/>
        </w:rPr>
        <w:tab/>
        <w:t xml:space="preserve">(1998) 6 </w:t>
      </w:r>
      <w:r>
        <w:rPr>
          <w:szCs w:val="22"/>
          <w:lang w:val="en-US"/>
        </w:rPr>
        <w:t>JT</w:t>
      </w:r>
      <w:r>
        <w:rPr>
          <w:szCs w:val="22"/>
        </w:rPr>
        <w:t xml:space="preserve"> (</w:t>
      </w:r>
      <w:r>
        <w:rPr>
          <w:szCs w:val="22"/>
          <w:lang w:val="en-US"/>
        </w:rPr>
        <w:t>SC</w:t>
      </w:r>
      <w:r>
        <w:rPr>
          <w:szCs w:val="22"/>
        </w:rPr>
        <w:t>) 645.</w:t>
      </w:r>
    </w:p>
    <w:p w:rsidR="00000000" w:rsidRDefault="00000000">
      <w:pPr>
        <w:pStyle w:val="FootnoteText"/>
        <w:rPr>
          <w:sz w:val="22"/>
          <w:szCs w:val="22"/>
        </w:rPr>
      </w:pPr>
    </w:p>
  </w:footnote>
  <w:footnote w:id="8">
    <w:p w:rsidR="00000000" w:rsidRDefault="00000000">
      <w:pPr>
        <w:pStyle w:val="FootnoteText"/>
        <w:rPr>
          <w:szCs w:val="22"/>
        </w:rPr>
      </w:pPr>
      <w:r>
        <w:rPr>
          <w:rStyle w:val="FootnoteReference"/>
          <w:szCs w:val="22"/>
        </w:rPr>
        <w:footnoteRef/>
      </w:r>
      <w:r>
        <w:rPr>
          <w:szCs w:val="22"/>
        </w:rPr>
        <w:tab/>
      </w:r>
      <w:r>
        <w:rPr>
          <w:szCs w:val="22"/>
          <w:lang w:val="en-US"/>
        </w:rPr>
        <w:t>AIR</w:t>
      </w:r>
      <w:r>
        <w:rPr>
          <w:szCs w:val="22"/>
        </w:rPr>
        <w:t xml:space="preserve"> 1998 </w:t>
      </w:r>
      <w:r>
        <w:rPr>
          <w:szCs w:val="22"/>
          <w:lang w:val="en-US"/>
        </w:rPr>
        <w:t>SC</w:t>
      </w:r>
      <w:r>
        <w:rPr>
          <w:szCs w:val="22"/>
        </w:rPr>
        <w:t xml:space="preserve"> 2940.</w:t>
      </w:r>
    </w:p>
    <w:p w:rsidR="00000000" w:rsidRDefault="00000000">
      <w:pPr>
        <w:pStyle w:val="FootnoteText"/>
        <w:rPr>
          <w:sz w:val="22"/>
          <w:szCs w:val="22"/>
        </w:rPr>
      </w:pPr>
    </w:p>
  </w:footnote>
  <w:footnote w:id="9">
    <w:p w:rsidR="00000000" w:rsidRDefault="00000000">
      <w:pPr>
        <w:pStyle w:val="FootnoteText"/>
        <w:rPr>
          <w:szCs w:val="22"/>
        </w:rPr>
      </w:pPr>
      <w:r>
        <w:rPr>
          <w:rStyle w:val="FootnoteReference"/>
          <w:szCs w:val="22"/>
        </w:rPr>
        <w:footnoteRef/>
      </w:r>
      <w:r>
        <w:rPr>
          <w:szCs w:val="22"/>
        </w:rPr>
        <w:tab/>
      </w:r>
      <w:r>
        <w:rPr>
          <w:szCs w:val="22"/>
          <w:lang w:val="en-US"/>
        </w:rPr>
        <w:t>AIR</w:t>
      </w:r>
      <w:r>
        <w:rPr>
          <w:szCs w:val="22"/>
        </w:rPr>
        <w:t xml:space="preserve"> 1999 </w:t>
      </w:r>
      <w:r>
        <w:rPr>
          <w:szCs w:val="22"/>
          <w:lang w:val="en-US"/>
        </w:rPr>
        <w:t>Del</w:t>
      </w:r>
      <w:r>
        <w:rPr>
          <w:szCs w:val="22"/>
        </w:rPr>
        <w:t>.88.</w:t>
      </w:r>
    </w:p>
  </w:footnote>
  <w:footnote w:id="10">
    <w:p w:rsidR="00000000" w:rsidRDefault="00000000">
      <w:pPr>
        <w:pStyle w:val="FootnoteText"/>
        <w:rPr>
          <w:lang w:val="en-US"/>
        </w:rPr>
      </w:pPr>
    </w:p>
    <w:p w:rsidR="00000000" w:rsidRDefault="00000000">
      <w:pPr>
        <w:pStyle w:val="FootnoteText"/>
      </w:pPr>
      <w:r>
        <w:rPr>
          <w:rStyle w:val="FootnoteReference"/>
        </w:rPr>
        <w:footnoteRef/>
      </w:r>
      <w:r>
        <w:t xml:space="preserve"> </w:t>
      </w:r>
      <w:r>
        <w:tab/>
        <w:t xml:space="preserve">Д.К. Басу против штата Западного Бенгали, </w:t>
      </w:r>
      <w:r>
        <w:rPr>
          <w:lang w:val="en-US"/>
        </w:rPr>
        <w:t>AIR</w:t>
      </w:r>
      <w:r>
        <w:t xml:space="preserve"> 1997 </w:t>
      </w:r>
      <w:r>
        <w:rPr>
          <w:lang w:val="en-US"/>
        </w:rPr>
        <w:t>SC</w:t>
      </w:r>
      <w:r>
        <w:t> 608.</w:t>
      </w:r>
    </w:p>
    <w:p w:rsidR="00000000" w:rsidRDefault="00000000">
      <w:pPr>
        <w:pStyle w:val="FootnoteText"/>
      </w:pPr>
    </w:p>
  </w:footnote>
  <w:footnote w:id="11">
    <w:p w:rsidR="00000000" w:rsidRDefault="00000000">
      <w:pPr>
        <w:pStyle w:val="FootnoteText"/>
      </w:pPr>
      <w:r>
        <w:rPr>
          <w:rStyle w:val="FootnoteReference"/>
        </w:rPr>
        <w:footnoteRef/>
      </w:r>
      <w:r>
        <w:t xml:space="preserve"> </w:t>
      </w:r>
      <w:r>
        <w:tab/>
      </w:r>
      <w:r>
        <w:rPr>
          <w:i/>
          <w:iCs/>
        </w:rPr>
        <w:t>Бхим Сингх против штата Джамму и Кашмир</w:t>
      </w:r>
      <w:r>
        <w:t xml:space="preserve">, </w:t>
      </w:r>
      <w:r>
        <w:rPr>
          <w:lang w:val="en-US"/>
        </w:rPr>
        <w:t>AIR</w:t>
      </w:r>
      <w:r>
        <w:t xml:space="preserve"> 1986 </w:t>
      </w:r>
      <w:r>
        <w:rPr>
          <w:lang w:val="en-US"/>
        </w:rPr>
        <w:t>SC</w:t>
      </w:r>
      <w:r>
        <w:t xml:space="preserve"> 494; </w:t>
      </w:r>
      <w:r>
        <w:rPr>
          <w:i/>
          <w:iCs/>
        </w:rPr>
        <w:t xml:space="preserve"> Народный союз за демократические права против штата Бихар</w:t>
      </w:r>
      <w:r>
        <w:t xml:space="preserve">, </w:t>
      </w:r>
      <w:r>
        <w:rPr>
          <w:lang w:val="en-US"/>
        </w:rPr>
        <w:t>AIR</w:t>
      </w:r>
      <w:r>
        <w:t xml:space="preserve"> 1987, </w:t>
      </w:r>
      <w:r>
        <w:rPr>
          <w:lang w:val="en-US"/>
        </w:rPr>
        <w:t>SC</w:t>
      </w:r>
      <w:r>
        <w:t xml:space="preserve"> 355;  </w:t>
      </w:r>
      <w:r>
        <w:rPr>
          <w:i/>
          <w:iCs/>
        </w:rPr>
        <w:t>Секретарь Народного союза за демократические права против Комиссара полиции, Управление полиции Дели</w:t>
      </w:r>
      <w:r>
        <w:t xml:space="preserve">, (1989) 4 </w:t>
      </w:r>
      <w:r>
        <w:rPr>
          <w:lang w:val="en-US"/>
        </w:rPr>
        <w:t>SCC</w:t>
      </w:r>
      <w:r>
        <w:t xml:space="preserve"> 730;  </w:t>
      </w:r>
      <w:r>
        <w:rPr>
          <w:i/>
          <w:iCs/>
        </w:rPr>
        <w:t>Сахели, Центр женских ресурсов против Комиссара полиции Дели</w:t>
      </w:r>
      <w:r>
        <w:t xml:space="preserve">, </w:t>
      </w:r>
      <w:r>
        <w:rPr>
          <w:lang w:val="en-US"/>
        </w:rPr>
        <w:t>AIR</w:t>
      </w:r>
      <w:r>
        <w:t xml:space="preserve"> 1990 </w:t>
      </w:r>
      <w:r>
        <w:rPr>
          <w:lang w:val="en-US"/>
        </w:rPr>
        <w:t>SC</w:t>
      </w:r>
      <w:r>
        <w:t xml:space="preserve"> 513;  </w:t>
      </w:r>
      <w:r>
        <w:rPr>
          <w:i/>
          <w:iCs/>
        </w:rPr>
        <w:t>Арвиндер Сингх Багга против штата Уттар-Прадеш</w:t>
      </w:r>
      <w:r>
        <w:t xml:space="preserve">, </w:t>
      </w:r>
      <w:r>
        <w:rPr>
          <w:lang w:val="en-US"/>
        </w:rPr>
        <w:t>AIR</w:t>
      </w:r>
      <w:r>
        <w:t xml:space="preserve"> 1995 </w:t>
      </w:r>
      <w:r>
        <w:rPr>
          <w:lang w:val="en-US"/>
        </w:rPr>
        <w:t>SC</w:t>
      </w:r>
      <w:r>
        <w:t xml:space="preserve"> 117;  </w:t>
      </w:r>
      <w:r>
        <w:rPr>
          <w:i/>
          <w:iCs/>
        </w:rPr>
        <w:t>П. Ратхинам против Индийского Союза</w:t>
      </w:r>
      <w:r>
        <w:t xml:space="preserve">, 1989, </w:t>
      </w:r>
      <w:r>
        <w:rPr>
          <w:lang w:val="en-US"/>
        </w:rPr>
        <w:t>Supp</w:t>
      </w:r>
      <w:r>
        <w:t xml:space="preserve">.(2) </w:t>
      </w:r>
      <w:r>
        <w:rPr>
          <w:lang w:val="en-US"/>
        </w:rPr>
        <w:t>SCC</w:t>
      </w:r>
      <w:r>
        <w:t xml:space="preserve"> 716;  </w:t>
      </w:r>
      <w:r>
        <w:rPr>
          <w:i/>
          <w:iCs/>
        </w:rPr>
        <w:t>Индер Сингх против штата Пенджаб</w:t>
      </w:r>
      <w:r>
        <w:t xml:space="preserve">, </w:t>
      </w:r>
      <w:r>
        <w:rPr>
          <w:lang w:val="en-US"/>
        </w:rPr>
        <w:t>AIR</w:t>
      </w:r>
      <w:r>
        <w:t xml:space="preserve"> 1995 </w:t>
      </w:r>
      <w:r>
        <w:rPr>
          <w:lang w:val="en-US"/>
        </w:rPr>
        <w:t>SC</w:t>
      </w:r>
      <w:r>
        <w:t xml:space="preserve"> 1949;  </w:t>
      </w:r>
      <w:r>
        <w:rPr>
          <w:i/>
          <w:iCs/>
        </w:rPr>
        <w:t>г-жа Притам Каур против штата Пенджаб</w:t>
      </w:r>
      <w:r>
        <w:t>, (1996) 7 </w:t>
      </w:r>
      <w:r>
        <w:rPr>
          <w:lang w:val="en-US"/>
        </w:rPr>
        <w:t>SCALE</w:t>
      </w:r>
      <w:r>
        <w:t xml:space="preserve"> 11;  </w:t>
      </w:r>
      <w:r>
        <w:rPr>
          <w:i/>
          <w:iCs/>
        </w:rPr>
        <w:t>Парамжит Каур против штата Пенджаб</w:t>
      </w:r>
      <w:r>
        <w:t xml:space="preserve">, (1996) 8 </w:t>
      </w:r>
      <w:r>
        <w:rPr>
          <w:lang w:val="en-US"/>
        </w:rPr>
        <w:t>SCALE</w:t>
      </w:r>
      <w:r>
        <w:t xml:space="preserve"> 6;  </w:t>
      </w:r>
      <w:r>
        <w:rPr>
          <w:i/>
          <w:iCs/>
        </w:rPr>
        <w:t>Нилабати Бехра против штата Орисса</w:t>
      </w:r>
      <w:r>
        <w:t xml:space="preserve">, </w:t>
      </w:r>
      <w:r>
        <w:rPr>
          <w:lang w:val="en-US"/>
        </w:rPr>
        <w:t>AIR</w:t>
      </w:r>
      <w:r>
        <w:t xml:space="preserve"> 1993 </w:t>
      </w:r>
      <w:r>
        <w:rPr>
          <w:lang w:val="en-US"/>
        </w:rPr>
        <w:t>SC</w:t>
      </w:r>
      <w:r>
        <w:t xml:space="preserve"> 1960;  </w:t>
      </w:r>
      <w:r>
        <w:rPr>
          <w:i/>
          <w:iCs/>
        </w:rPr>
        <w:t>Народный союз за гражданские свободы против Союза Индии</w:t>
      </w:r>
      <w:r>
        <w:t xml:space="preserve">, </w:t>
      </w:r>
      <w:r>
        <w:rPr>
          <w:lang w:val="en-US"/>
        </w:rPr>
        <w:t>AIR</w:t>
      </w:r>
      <w:r>
        <w:t xml:space="preserve"> 1997 </w:t>
      </w:r>
      <w:r>
        <w:rPr>
          <w:lang w:val="en-US"/>
        </w:rPr>
        <w:t>SC</w:t>
      </w:r>
      <w:r>
        <w:t xml:space="preserve"> 1203;  </w:t>
      </w:r>
      <w:r>
        <w:rPr>
          <w:i/>
          <w:iCs/>
        </w:rPr>
        <w:t>д-р Дж. Джордж против штата Керала</w:t>
      </w:r>
      <w:r>
        <w:t>, (1994) 3 </w:t>
      </w:r>
      <w:r>
        <w:rPr>
          <w:lang w:val="en-US"/>
        </w:rPr>
        <w:t>SCC</w:t>
      </w:r>
      <w:r>
        <w:t xml:space="preserve"> 430;  </w:t>
      </w:r>
      <w:r>
        <w:rPr>
          <w:i/>
          <w:iCs/>
        </w:rPr>
        <w:t>г-жа Манджу Бхатиа и другие против муниципальной корпорации Нью-Дели</w:t>
      </w:r>
      <w:r>
        <w:t xml:space="preserve">, </w:t>
      </w:r>
      <w:r>
        <w:rPr>
          <w:lang w:val="en-US"/>
        </w:rPr>
        <w:t>AIR</w:t>
      </w:r>
      <w:r>
        <w:t xml:space="preserve"> 1998 </w:t>
      </w:r>
      <w:r>
        <w:rPr>
          <w:lang w:val="en-US"/>
        </w:rPr>
        <w:t>SC</w:t>
      </w:r>
      <w:r>
        <w:t xml:space="preserve"> 223;  </w:t>
      </w:r>
      <w:r>
        <w:rPr>
          <w:i/>
          <w:iCs/>
        </w:rPr>
        <w:t>Пасчим Банга Кхет Маздур Самти против штата Западный Бенгали</w:t>
      </w:r>
      <w:r>
        <w:t xml:space="preserve">, </w:t>
      </w:r>
      <w:r>
        <w:rPr>
          <w:lang w:val="en-US"/>
        </w:rPr>
        <w:t>AIR</w:t>
      </w:r>
      <w:r>
        <w:t xml:space="preserve"> 1996 </w:t>
      </w:r>
      <w:r>
        <w:rPr>
          <w:lang w:val="en-US"/>
        </w:rPr>
        <w:t>SC</w:t>
      </w:r>
      <w:r>
        <w:t xml:space="preserve"> 2426;  </w:t>
      </w:r>
      <w:r>
        <w:rPr>
          <w:i/>
          <w:iCs/>
        </w:rPr>
        <w:t>Н. Нагендра Рао против штата Андхра-Прадеш</w:t>
      </w:r>
      <w:r>
        <w:t xml:space="preserve">, </w:t>
      </w:r>
      <w:r>
        <w:rPr>
          <w:lang w:val="en-US"/>
        </w:rPr>
        <w:t>AIR</w:t>
      </w:r>
      <w:r>
        <w:t xml:space="preserve"> 1994 </w:t>
      </w:r>
      <w:r>
        <w:rPr>
          <w:lang w:val="en-US"/>
        </w:rPr>
        <w:t>SC</w:t>
      </w:r>
      <w:r>
        <w:t xml:space="preserve"> 2663;  </w:t>
      </w:r>
      <w:r>
        <w:rPr>
          <w:i/>
          <w:iCs/>
        </w:rPr>
        <w:t>Председатель Совета железных дорог против г-жи Чандрима Дас и другие</w:t>
      </w:r>
      <w:r>
        <w:t xml:space="preserve">, </w:t>
      </w:r>
      <w:r>
        <w:rPr>
          <w:lang w:val="en-US"/>
        </w:rPr>
        <w:t>AIR</w:t>
      </w:r>
      <w:r>
        <w:t xml:space="preserve"> 2000 </w:t>
      </w:r>
      <w:r>
        <w:rPr>
          <w:lang w:val="en-US"/>
        </w:rPr>
        <w:t>SC</w:t>
      </w:r>
      <w:r>
        <w:t xml:space="preserve"> 988;  </w:t>
      </w:r>
      <w:r>
        <w:rPr>
          <w:i/>
          <w:iCs/>
        </w:rPr>
        <w:t>Шакила Абдул Гафар Хан против Васант  Рагхунатх Дхобле</w:t>
      </w:r>
      <w:r>
        <w:t xml:space="preserve">, </w:t>
      </w:r>
      <w:r>
        <w:rPr>
          <w:lang w:val="en-US"/>
        </w:rPr>
        <w:t>AIR</w:t>
      </w:r>
      <w:r>
        <w:t xml:space="preserve"> 2003 </w:t>
      </w:r>
      <w:r>
        <w:rPr>
          <w:lang w:val="en-US"/>
        </w:rPr>
        <w:t>SC</w:t>
      </w:r>
      <w:r>
        <w:t> 4567.</w:t>
      </w:r>
    </w:p>
    <w:p w:rsidR="00000000" w:rsidRDefault="00000000">
      <w:pPr>
        <w:pStyle w:val="FootnoteText"/>
      </w:pPr>
    </w:p>
  </w:footnote>
  <w:footnote w:id="12">
    <w:p w:rsidR="00000000" w:rsidRDefault="00000000">
      <w:pPr>
        <w:pStyle w:val="FootnoteText"/>
      </w:pPr>
      <w:r>
        <w:rPr>
          <w:rStyle w:val="FootnoteReference"/>
        </w:rPr>
        <w:footnoteRef/>
      </w:r>
      <w:r>
        <w:t xml:space="preserve"> </w:t>
      </w:r>
      <w:r>
        <w:tab/>
      </w:r>
      <w:r>
        <w:rPr>
          <w:lang w:val="en-US"/>
        </w:rPr>
        <w:t>AIR 1983 SC 1086.</w:t>
      </w:r>
    </w:p>
    <w:p w:rsidR="00000000" w:rsidRDefault="00000000">
      <w:pPr>
        <w:pStyle w:val="FootnoteText"/>
      </w:pPr>
    </w:p>
  </w:footnote>
  <w:footnote w:id="13">
    <w:p w:rsidR="00000000" w:rsidRDefault="00000000">
      <w:pPr>
        <w:pStyle w:val="FootnoteText"/>
        <w:rPr>
          <w:lang w:val="en-US"/>
        </w:rPr>
      </w:pPr>
      <w:r>
        <w:rPr>
          <w:rStyle w:val="FootnoteReference"/>
        </w:rPr>
        <w:footnoteRef/>
      </w:r>
      <w:r>
        <w:t xml:space="preserve"> </w:t>
      </w:r>
      <w:r>
        <w:tab/>
      </w:r>
      <w:r>
        <w:rPr>
          <w:lang w:val="en-US"/>
        </w:rPr>
        <w:t>AIR 1999 SC 2979.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w:t>
    </w:r>
    <w:r>
      <w:rPr>
        <w:sz w:val="22"/>
        <w:lang w:val="en-US"/>
      </w:rPr>
      <w:t>ERD/C/IND/19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371"/>
        <w:tab w:val="right" w:pos="9072"/>
      </w:tabs>
      <w:rPr>
        <w:lang w:val="en-US"/>
      </w:rPr>
    </w:pPr>
    <w:r>
      <w:rPr>
        <w:lang w:val="en-US"/>
      </w:rPr>
      <w:tab/>
    </w:r>
    <w:r>
      <w:rPr>
        <w:lang w:val="en-US"/>
      </w:rPr>
      <w:tab/>
      <w:t>C</w:t>
    </w:r>
    <w:r>
      <w:rPr>
        <w:sz w:val="22"/>
        <w:lang w:val="en-US"/>
      </w:rPr>
      <w:t>ERD/C/IND/19</w:t>
    </w:r>
  </w:p>
  <w:p w:rsidR="00000000" w:rsidRDefault="00000000">
    <w:pPr>
      <w:pStyle w:val="Header"/>
      <w:tabs>
        <w:tab w:val="clear" w:pos="8306"/>
        <w:tab w:val="left" w:pos="7371"/>
        <w:tab w:val="right" w:pos="9072"/>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51</w:t>
    </w:r>
    <w:r>
      <w:rPr>
        <w:rStyle w:val="PageNumber"/>
      </w:rPr>
      <w:fldChar w:fldCharType="end"/>
    </w:r>
  </w:p>
  <w:p w:rsidR="00000000" w:rsidRDefault="00000000">
    <w:pPr>
      <w:pStyle w:val="Header"/>
      <w:tabs>
        <w:tab w:val="clear" w:pos="8306"/>
        <w:tab w:val="left" w:pos="7371"/>
        <w:tab w:val="right" w:pos="9072"/>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0FF6D55"/>
    <w:multiLevelType w:val="hybridMultilevel"/>
    <w:tmpl w:val="3036E4B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2996724"/>
    <w:multiLevelType w:val="hybridMultilevel"/>
    <w:tmpl w:val="279CFBBA"/>
    <w:lvl w:ilvl="0" w:tplc="5B566620">
      <w:start w:val="1"/>
      <w:numFmt w:val="lowerRoman"/>
      <w:lvlText w:val="%1)"/>
      <w:lvlJc w:val="right"/>
      <w:pPr>
        <w:tabs>
          <w:tab w:val="num" w:pos="921"/>
        </w:tabs>
        <w:ind w:left="921"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9953F8F"/>
    <w:multiLevelType w:val="hybridMultilevel"/>
    <w:tmpl w:val="1CAC64AC"/>
    <w:lvl w:ilvl="0" w:tplc="65E0C786">
      <w:start w:val="1"/>
      <w:numFmt w:val="bullet"/>
      <w:lvlText w:val=""/>
      <w:lvlJc w:val="left"/>
      <w:pPr>
        <w:tabs>
          <w:tab w:val="num" w:pos="927"/>
        </w:tabs>
        <w:ind w:left="927" w:hanging="567"/>
      </w:pPr>
      <w:rPr>
        <w:rFonts w:ascii="Symbol" w:hAnsi="Symbol" w:hint="default"/>
        <w:sz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5">
    <w:nsid w:val="171C4A8E"/>
    <w:multiLevelType w:val="hybridMultilevel"/>
    <w:tmpl w:val="1CAC64AC"/>
    <w:lvl w:ilvl="0" w:tplc="B0F67F9E">
      <w:start w:val="1"/>
      <w:numFmt w:val="bullet"/>
      <w:lvlText w:val=""/>
      <w:lvlJc w:val="left"/>
      <w:pPr>
        <w:tabs>
          <w:tab w:val="num" w:pos="927"/>
        </w:tabs>
        <w:ind w:left="927" w:hanging="567"/>
      </w:pPr>
      <w:rPr>
        <w:rFonts w:ascii="Symbol" w:hAnsi="Symbol" w:hint="default"/>
        <w:sz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02F606E"/>
    <w:multiLevelType w:val="hybridMultilevel"/>
    <w:tmpl w:val="51FEFC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7A4B5496"/>
    <w:multiLevelType w:val="hybridMultilevel"/>
    <w:tmpl w:val="B7D6FF4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7B17666F"/>
    <w:multiLevelType w:val="hybridMultilevel"/>
    <w:tmpl w:val="1CAC64A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1"/>
  </w:num>
  <w:num w:numId="4">
    <w:abstractNumId w:val="8"/>
  </w:num>
  <w:num w:numId="5">
    <w:abstractNumId w:val="7"/>
  </w:num>
  <w:num w:numId="6">
    <w:abstractNumId w:val="6"/>
  </w:num>
  <w:num w:numId="7">
    <w:abstractNumId w:val="5"/>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mirrorMargins/>
  <w:activeWritingStyle w:appName="MSWord" w:lang="ru-RU" w:vendorID="1" w:dllVersion="512" w:checkStyle="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16845</Words>
  <Characters>96021</Characters>
  <Application>Microsoft Office Word</Application>
  <DocSecurity>4</DocSecurity>
  <Lines>800</Lines>
  <Paragraphs>192</Paragraphs>
  <ScaleCrop>false</ScaleCrop>
  <HeadingPairs>
    <vt:vector size="2" baseType="variant">
      <vt:variant>
        <vt:lpstr>Название</vt:lpstr>
      </vt:variant>
      <vt:variant>
        <vt:i4>1</vt:i4>
      </vt:variant>
    </vt:vector>
  </HeadingPairs>
  <TitlesOfParts>
    <vt:vector size="1" baseType="lpstr">
      <vt:lpstr>0641117.doc</vt:lpstr>
    </vt:vector>
  </TitlesOfParts>
  <Company> </Company>
  <LinksUpToDate>false</LinksUpToDate>
  <CharactersWithSpaces>117920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0641117.doc</dc:title>
  <dc:subject>МУРАВЬЕВ</dc:subject>
  <dc:creator>TDudnikova</dc:creator>
  <cp:keywords/>
  <dc:description/>
  <cp:lastModifiedBy>TDudnikova</cp:lastModifiedBy>
  <cp:revision>3</cp:revision>
  <cp:lastPrinted>2006-06-30T12:16:00Z</cp:lastPrinted>
  <dcterms:created xsi:type="dcterms:W3CDTF">2006-06-30T12:16:00Z</dcterms:created>
  <dcterms:modified xsi:type="dcterms:W3CDTF">2006-06-30T12:17:00Z</dcterms:modified>
</cp:coreProperties>
</file>