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21AB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521AB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21ABA" w:rsidP="00521ABA">
            <w:pPr>
              <w:jc w:val="right"/>
            </w:pPr>
            <w:r w:rsidRPr="00521ABA">
              <w:rPr>
                <w:sz w:val="40"/>
              </w:rPr>
              <w:t>CERD</w:t>
            </w:r>
            <w:r>
              <w:t>/C/101/1</w:t>
            </w:r>
          </w:p>
        </w:tc>
      </w:tr>
      <w:tr w:rsidR="002D5AAC" w:rsidTr="00521AB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21ABA" w:rsidP="00213632">
            <w:pPr>
              <w:spacing w:before="240"/>
            </w:pPr>
            <w:r>
              <w:t>Distr. general</w:t>
            </w:r>
          </w:p>
          <w:p w:rsidR="00521ABA" w:rsidRDefault="00521ABA" w:rsidP="00521ABA">
            <w:pPr>
              <w:spacing w:line="240" w:lineRule="exact"/>
            </w:pPr>
            <w:r>
              <w:t>18 de febrero de 2020</w:t>
            </w:r>
          </w:p>
          <w:p w:rsidR="00521ABA" w:rsidRDefault="00521ABA" w:rsidP="00521ABA">
            <w:pPr>
              <w:spacing w:line="240" w:lineRule="exact"/>
            </w:pPr>
            <w:r>
              <w:t>Español</w:t>
            </w:r>
          </w:p>
          <w:p w:rsidR="00521ABA" w:rsidRDefault="00521ABA" w:rsidP="00521ABA">
            <w:pPr>
              <w:spacing w:line="240" w:lineRule="exact"/>
            </w:pPr>
            <w:r>
              <w:t>Original: inglés</w:t>
            </w:r>
          </w:p>
          <w:p w:rsidR="00521ABA" w:rsidRDefault="00521ABA" w:rsidP="00521ABA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521ABA" w:rsidRPr="00521ABA" w:rsidRDefault="00521ABA" w:rsidP="00521ABA">
      <w:pPr>
        <w:spacing w:before="120"/>
        <w:rPr>
          <w:b/>
          <w:bCs/>
          <w:sz w:val="24"/>
          <w:szCs w:val="24"/>
        </w:rPr>
      </w:pPr>
      <w:r w:rsidRPr="00521ABA">
        <w:rPr>
          <w:b/>
          <w:bCs/>
          <w:sz w:val="24"/>
          <w:szCs w:val="24"/>
        </w:rPr>
        <w:t>Comité para la Eliminación de la Discriminación Racial</w:t>
      </w:r>
    </w:p>
    <w:p w:rsidR="00521ABA" w:rsidRPr="00521ABA" w:rsidRDefault="00521ABA" w:rsidP="00521ABA">
      <w:pPr>
        <w:rPr>
          <w:b/>
          <w:bCs/>
        </w:rPr>
      </w:pPr>
      <w:r w:rsidRPr="00521ABA">
        <w:rPr>
          <w:b/>
          <w:bCs/>
        </w:rPr>
        <w:t>101</w:t>
      </w:r>
      <w:r w:rsidRPr="00521ABA">
        <w:rPr>
          <w:b/>
          <w:bCs/>
          <w:vertAlign w:val="superscript"/>
        </w:rPr>
        <w:t>er</w:t>
      </w:r>
      <w:r w:rsidRPr="00521ABA">
        <w:rPr>
          <w:b/>
          <w:bCs/>
        </w:rPr>
        <w:t xml:space="preserve"> período de sesiones</w:t>
      </w:r>
    </w:p>
    <w:p w:rsidR="00521ABA" w:rsidRPr="00521ABA" w:rsidRDefault="00521ABA" w:rsidP="00521ABA">
      <w:r w:rsidRPr="00521ABA">
        <w:t>20 de abril a 8 de mayo de 2020</w:t>
      </w:r>
    </w:p>
    <w:p w:rsidR="00521ABA" w:rsidRPr="00521ABA" w:rsidRDefault="00521ABA" w:rsidP="00521ABA">
      <w:r w:rsidRPr="00521ABA">
        <w:t>Tema 3 del programa provisional</w:t>
      </w:r>
    </w:p>
    <w:p w:rsidR="00521ABA" w:rsidRPr="00521ABA" w:rsidRDefault="00521ABA" w:rsidP="00521ABA">
      <w:pPr>
        <w:rPr>
          <w:b/>
          <w:bCs/>
        </w:rPr>
      </w:pPr>
      <w:r w:rsidRPr="00521ABA">
        <w:rPr>
          <w:b/>
          <w:bCs/>
        </w:rPr>
        <w:t>Aprobación del programa</w:t>
      </w:r>
    </w:p>
    <w:p w:rsidR="00521ABA" w:rsidRPr="00521ABA" w:rsidRDefault="00521ABA" w:rsidP="00521ABA">
      <w:pPr>
        <w:pStyle w:val="HChG"/>
      </w:pPr>
      <w:r w:rsidRPr="00521ABA">
        <w:tab/>
      </w:r>
      <w:r w:rsidRPr="00521ABA">
        <w:tab/>
        <w:t>Programa provisional anotado</w:t>
      </w:r>
    </w:p>
    <w:p w:rsidR="00521ABA" w:rsidRPr="00521ABA" w:rsidRDefault="00521ABA" w:rsidP="00521ABA">
      <w:pPr>
        <w:pStyle w:val="H1G"/>
      </w:pPr>
      <w:r w:rsidRPr="00521ABA">
        <w:tab/>
      </w:r>
      <w:r w:rsidRPr="00521ABA">
        <w:tab/>
        <w:t>Programa provisional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1.</w:t>
      </w:r>
      <w:r w:rsidRPr="00521ABA">
        <w:tab/>
        <w:t>Declaración solemne de los miembros del Comité recién elegidos, de conformidad con el artículo 14 del reglamento.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2.</w:t>
      </w:r>
      <w:r w:rsidRPr="00521ABA">
        <w:tab/>
        <w:t>Elección de la Mesa de conformidad con el artículo 15 del reglamento.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3.</w:t>
      </w:r>
      <w:r w:rsidRPr="00521ABA">
        <w:tab/>
        <w:t>Aprobación del programa.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4.</w:t>
      </w:r>
      <w:r w:rsidRPr="00521ABA">
        <w:tab/>
        <w:t>Cuestiones de organización y otros asuntos.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5.</w:t>
      </w:r>
      <w:r w:rsidRPr="00521ABA">
        <w:tab/>
        <w:t>Prevención de la discriminación racial, en particular medidas de alerta temprana y procedimientos de urgencia.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6.</w:t>
      </w:r>
      <w:r w:rsidRPr="00521ABA">
        <w:tab/>
        <w:t>Examen de los informes, las observaciones y la información presentados por los Estados partes en virtud del artículo 9 de la Convención.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7.</w:t>
      </w:r>
      <w:r w:rsidRPr="00521ABA">
        <w:tab/>
        <w:t xml:space="preserve">Presentación de informes por los Estados partes en virtud del artículo 9, párrafo 1, </w:t>
      </w:r>
      <w:bookmarkStart w:id="0" w:name="_GoBack"/>
      <w:bookmarkEnd w:id="0"/>
      <w:r w:rsidRPr="00521ABA">
        <w:t>de la Convención.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8.</w:t>
      </w:r>
      <w:r w:rsidRPr="00521ABA">
        <w:tab/>
        <w:t>Examen de las comunicaciones presentadas en virtud del artículo 11 de la Convención.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9.</w:t>
      </w:r>
      <w:r w:rsidRPr="00521ABA">
        <w:tab/>
        <w:t>Examen de las comunicaciones presentadas en virtud del artículo 14 de la Convención.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10.</w:t>
      </w:r>
      <w:r w:rsidRPr="00521ABA">
        <w:tab/>
        <w:t>Procedimiento de seguimiento.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11.</w:t>
      </w:r>
      <w:r w:rsidRPr="00521ABA">
        <w:tab/>
        <w:t>Seguimiento de la Conferencia Mundial contra el Racismo, la Discriminación Racial, la Xenofobia y las Formas Conexas de Intolerancia y de la Conferencia de Examen de Durban.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12.</w:t>
      </w:r>
      <w:r w:rsidRPr="00521ABA">
        <w:tab/>
        <w:t>Examen de copias de peticiones, copias de informes y otras informaciones referentes a los territorios bajo administración fiduciaria o no autónomos y a cualesquiera otros territorios a los cuales se aplique la resolución 1514 (XV) de la Asamblea General, de conformidad con el artículo 15 de la Convención.</w:t>
      </w:r>
    </w:p>
    <w:p w:rsidR="00521ABA" w:rsidRPr="00521ABA" w:rsidRDefault="00521ABA" w:rsidP="00521ABA">
      <w:pPr>
        <w:pStyle w:val="SingleTxtG"/>
        <w:ind w:left="1701" w:hanging="567"/>
      </w:pPr>
      <w:r w:rsidRPr="00521ABA">
        <w:t>13.</w:t>
      </w:r>
      <w:r w:rsidRPr="00521ABA">
        <w:tab/>
        <w:t>Examen de la recomendación general núm. 36 sobre la prevención y la lucha contra el establecimiento de perfiles raciales.</w:t>
      </w:r>
    </w:p>
    <w:p w:rsidR="00521ABA" w:rsidRPr="00521ABA" w:rsidRDefault="00521ABA" w:rsidP="00521ABA">
      <w:pPr>
        <w:pStyle w:val="H1G"/>
      </w:pPr>
      <w:r w:rsidRPr="00521ABA">
        <w:lastRenderedPageBreak/>
        <w:tab/>
      </w:r>
      <w:r w:rsidRPr="00521ABA">
        <w:tab/>
        <w:t>Anotaciones</w:t>
      </w:r>
    </w:p>
    <w:p w:rsidR="00521ABA" w:rsidRPr="00521ABA" w:rsidRDefault="00521ABA" w:rsidP="00521ABA">
      <w:pPr>
        <w:pStyle w:val="H23G"/>
      </w:pPr>
      <w:r w:rsidRPr="00521ABA">
        <w:tab/>
        <w:t>1.</w:t>
      </w:r>
      <w:r w:rsidRPr="00521ABA">
        <w:tab/>
        <w:t xml:space="preserve">Declaración solemne de los miembros del Comité recién elegidos, </w:t>
      </w:r>
      <w:r>
        <w:br/>
      </w:r>
      <w:r w:rsidRPr="00521ABA">
        <w:t>de conformidad con el artículo 14 del reglamento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De conformidad con el artículo 14 del reglamento, los nueve miembros del Comité elegidos o reelegidos en la 28ª reunión de los Estados partes en la Convención, celebrada el</w:t>
      </w:r>
      <w:r>
        <w:t> </w:t>
      </w:r>
      <w:r w:rsidRPr="00521ABA">
        <w:t xml:space="preserve">21 de junio de 2019, harán la siguiente declaración solemne: 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 xml:space="preserve">“Declaro solemnemente que, en el desempeño de mis funciones y en el ejercicio de mis facultades como miembro del Comité para la Eliminación de la Discriminación Racial, actuaré en forma honorable, fiel, imparcial y concienzuda”. </w:t>
      </w:r>
    </w:p>
    <w:p w:rsidR="00521ABA" w:rsidRPr="00521ABA" w:rsidRDefault="00521ABA" w:rsidP="00521ABA">
      <w:pPr>
        <w:pStyle w:val="H23G"/>
      </w:pPr>
      <w:r w:rsidRPr="00521ABA">
        <w:tab/>
        <w:t>2.</w:t>
      </w:r>
      <w:r w:rsidRPr="00521ABA">
        <w:tab/>
        <w:t>Elección de la Mesa de conformidad con el artículo 15 del reglamento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De conformidad con el artículo 10, párrafo 2, de la Convención y los artículos 15 y 16 de su reglamento, el Comité elegirá de entre sus miembros a 1 Presidente, 3</w:t>
      </w:r>
      <w:r w:rsidR="00527731">
        <w:t> </w:t>
      </w:r>
      <w:r w:rsidRPr="00521ABA">
        <w:t>Vicepresidentes y 1 Relator. Los miembros de la Mesa del Comité serán elegidos para un mandato de dos años y podrán ser reelegidos.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En virtud del artículo 58 del reglamento, las elecciones se harán por votación secreta, salvo decisión en contrario del Comité cuando para un cargo dado solo hubiere un candidato.</w:t>
      </w:r>
    </w:p>
    <w:p w:rsidR="00521ABA" w:rsidRPr="00521ABA" w:rsidRDefault="00521ABA" w:rsidP="00521ABA">
      <w:pPr>
        <w:pStyle w:val="H23G"/>
      </w:pPr>
      <w:r w:rsidRPr="00521ABA">
        <w:tab/>
        <w:t>3.</w:t>
      </w:r>
      <w:r w:rsidRPr="00521ABA">
        <w:tab/>
        <w:t>Aprobación del programa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 xml:space="preserve">De conformidad con el artículo 6 del reglamento, el presente programa provisional ha sido preparado por el Secretario General en consulta con la Presidencia del Comité. 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 xml:space="preserve">En virtud del artículo 8 del reglamento, la aprobación del programa será el primer tema del programa provisional de todo período de sesiones, excepto cuando en virtud del artículo 15 deba elegirse a los miembros de la Mesa. De conformidad con el artículo 9, el Comité puede revisar el programa en el curso de un período de sesiones y, cuando proceda, añadir, aplazar o suprimir temas. 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Se invitará al Comité a que examine, revise, según proceda, y apruebe el programa del período de sesiones.</w:t>
      </w:r>
    </w:p>
    <w:p w:rsidR="00521ABA" w:rsidRPr="00521ABA" w:rsidRDefault="00521ABA" w:rsidP="00521ABA">
      <w:pPr>
        <w:pStyle w:val="H23G"/>
      </w:pPr>
      <w:r w:rsidRPr="00521ABA">
        <w:tab/>
        <w:t>4.</w:t>
      </w:r>
      <w:r w:rsidRPr="00521ABA">
        <w:tab/>
        <w:t>Cuestiones de organización y otros asuntos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El 101</w:t>
      </w:r>
      <w:r w:rsidRPr="00521ABA">
        <w:rPr>
          <w:vertAlign w:val="superscript"/>
        </w:rPr>
        <w:t>er</w:t>
      </w:r>
      <w:r w:rsidRPr="00521ABA">
        <w:t xml:space="preserve"> período de sesiones del Comité se celebrará en el Palais Wilson, en Ginebra, del 20 de abril al 8 de mayo de 2020. La primera sesión tendrá lugar el lunes 20 de abril de</w:t>
      </w:r>
      <w:r>
        <w:t> </w:t>
      </w:r>
      <w:r w:rsidRPr="00521ABA">
        <w:t>2020 a las 10.00 horas.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El Comité examinará el programa de trabajo de su 101</w:t>
      </w:r>
      <w:r w:rsidRPr="00521ABA">
        <w:rPr>
          <w:vertAlign w:val="superscript"/>
        </w:rPr>
        <w:t>er</w:t>
      </w:r>
      <w:r w:rsidRPr="00521ABA">
        <w:t xml:space="preserve"> período de sesiones. También seguirá revisando sus métodos de trabajo. 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Se señala especialmente a la atención de los Estados partes el anexo, que contiene un calendario provisional para el examen de los informes presentados por los Estados partes.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De conformidad con el artículo 64 del reglamento, los representantes de los Estados partes podrán asistir a las sesiones del Comité en las que se examinen sus respectivos informes.</w:t>
      </w:r>
    </w:p>
    <w:p w:rsidR="00521ABA" w:rsidRPr="00521ABA" w:rsidRDefault="00521ABA" w:rsidP="00521ABA">
      <w:pPr>
        <w:pStyle w:val="H23G"/>
      </w:pPr>
      <w:r w:rsidRPr="00521ABA">
        <w:tab/>
        <w:t>5.</w:t>
      </w:r>
      <w:r w:rsidRPr="00521ABA">
        <w:tab/>
        <w:t xml:space="preserve">Prevención de la discriminación racial, en particular medidas de alerta </w:t>
      </w:r>
      <w:r>
        <w:br/>
      </w:r>
      <w:r w:rsidRPr="00521ABA">
        <w:t>temprana y procedimientos de urgencia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En su 45º período de sesiones,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 Convención.</w:t>
      </w:r>
    </w:p>
    <w:p w:rsidR="00521ABA" w:rsidRPr="00521ABA" w:rsidRDefault="00521ABA" w:rsidP="00521ABA">
      <w:pPr>
        <w:pStyle w:val="H23G"/>
      </w:pPr>
      <w:r w:rsidRPr="00521ABA">
        <w:tab/>
        <w:t>6.</w:t>
      </w:r>
      <w:r w:rsidRPr="00521ABA">
        <w:tab/>
        <w:t xml:space="preserve">Examen de los informes, las observaciones y la información presentados </w:t>
      </w:r>
      <w:r>
        <w:br/>
      </w:r>
      <w:r w:rsidRPr="00521ABA">
        <w:t>por los Estados partes en virtud del artículo 9 de la Convención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En su 101</w:t>
      </w:r>
      <w:r w:rsidRPr="00521ABA">
        <w:rPr>
          <w:vertAlign w:val="superscript"/>
        </w:rPr>
        <w:t>er</w:t>
      </w:r>
      <w:r w:rsidRPr="00521ABA">
        <w:t xml:space="preserve"> período de sesiones, el Comité examinará los informes periódicos enviados por los siguientes Estados partes: Dinamarca, Italia, Líbano, Países Bajos, Singapur y Suiza.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 xml:space="preserve">Siguiendo la práctica habitual y de conformidad con el artículo 64 del reglamento, el Secretario General ha comunicado a los Estados partes interesados las fechas provisionales en que el Comité ha previsto examinar sus respectivos informes. En el anexo figura el calendario para el examen de los informes presentados. </w:t>
      </w:r>
    </w:p>
    <w:p w:rsidR="00521ABA" w:rsidRPr="00521ABA" w:rsidRDefault="00521ABA" w:rsidP="00521ABA">
      <w:pPr>
        <w:pStyle w:val="H23G"/>
      </w:pPr>
      <w:r w:rsidRPr="00521ABA">
        <w:tab/>
        <w:t>7.</w:t>
      </w:r>
      <w:r w:rsidRPr="00521ABA">
        <w:tab/>
        <w:t xml:space="preserve">Presentación de informes por los Estados partes en virtud del artículo 9, </w:t>
      </w:r>
      <w:r>
        <w:br/>
      </w:r>
      <w:r w:rsidRPr="00521ABA">
        <w:t>párrafo 1, de la Convención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En su 101</w:t>
      </w:r>
      <w:r w:rsidRPr="00521ABA">
        <w:rPr>
          <w:vertAlign w:val="superscript"/>
        </w:rPr>
        <w:t>er</w:t>
      </w:r>
      <w:r w:rsidRPr="00521ABA">
        <w:t xml:space="preserve"> período de sesiones, el Comité tendrá ante sí una nota del Secretario General relativa al estado de la presentación de informes por los Estados partes en virtud del artículo 9 de la Convención. En el cuadro 1 de ese documento figura una lista de los informes enviados por los Estados partes que están pendientes de examen por el Comité. El cuadro 2 contiene información sobre los informes pendientes de presentación.</w:t>
      </w:r>
    </w:p>
    <w:p w:rsidR="00521ABA" w:rsidRPr="00521ABA" w:rsidRDefault="00521ABA" w:rsidP="00521ABA">
      <w:pPr>
        <w:pStyle w:val="H23G"/>
      </w:pPr>
      <w:r>
        <w:tab/>
      </w:r>
      <w:r w:rsidRPr="00521ABA">
        <w:t>8.</w:t>
      </w:r>
      <w:r w:rsidRPr="00521ABA">
        <w:tab/>
        <w:t xml:space="preserve">Examen de las comunicaciones presentadas en virtud del artículo 11 de </w:t>
      </w:r>
      <w:r>
        <w:br/>
      </w:r>
      <w:r w:rsidRPr="00521ABA">
        <w:t>la Convención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En su 101</w:t>
      </w:r>
      <w:r w:rsidRPr="00521ABA">
        <w:rPr>
          <w:vertAlign w:val="superscript"/>
        </w:rPr>
        <w:t>er</w:t>
      </w:r>
      <w:r w:rsidRPr="00521ABA">
        <w:t xml:space="preserve"> período de sesiones, el Comité proseguirá con el examen de las comunicaciones presentadas en virtud del artículo 11 de la Convención.</w:t>
      </w:r>
    </w:p>
    <w:p w:rsidR="00521ABA" w:rsidRPr="00521ABA" w:rsidRDefault="00521ABA" w:rsidP="00521ABA">
      <w:pPr>
        <w:pStyle w:val="H23G"/>
      </w:pPr>
      <w:r w:rsidRPr="00521ABA">
        <w:tab/>
        <w:t>9.</w:t>
      </w:r>
      <w:r w:rsidRPr="00521ABA">
        <w:tab/>
        <w:t xml:space="preserve">Examen de las comunicaciones presentadas en virtud del artículo 14 de </w:t>
      </w:r>
      <w:r>
        <w:br/>
      </w:r>
      <w:r w:rsidRPr="00521ABA">
        <w:t>la Convención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Con arreglo a lo dispuesto en el capítulo XVIII de su reglamento, el Comité examinará las comunicaciones que se le han presentado en virtud del artículo 14 de la Convención.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De conformidad con el artículo 88 del reglamento, las sesiones del Comité en las que se examinen comunicaciones presentadas en virtud del artículo 14 de la Convención se celebrarán a puerta cerrada.</w:t>
      </w:r>
    </w:p>
    <w:p w:rsidR="00521ABA" w:rsidRPr="00521ABA" w:rsidRDefault="00521ABA" w:rsidP="00521ABA">
      <w:pPr>
        <w:pStyle w:val="H23G"/>
      </w:pPr>
      <w:r w:rsidRPr="00521ABA">
        <w:tab/>
        <w:t>10.</w:t>
      </w:r>
      <w:r w:rsidRPr="00521ABA">
        <w:tab/>
        <w:t>Procedimiento de seguimiento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De acuerdo con lo dispuesto en el artículo 65 de su reglamento, el Comité examinará la información presentada por los Estados partes sobre el seguimiento que han dado a las observaciones y recomendaciones del Comité.</w:t>
      </w:r>
    </w:p>
    <w:p w:rsidR="00521ABA" w:rsidRPr="00521ABA" w:rsidRDefault="00521ABA" w:rsidP="00521ABA">
      <w:pPr>
        <w:pStyle w:val="H23G"/>
      </w:pPr>
      <w:r w:rsidRPr="00521ABA">
        <w:tab/>
        <w:t>11.</w:t>
      </w:r>
      <w:r w:rsidRPr="00521ABA">
        <w:tab/>
        <w:t xml:space="preserve">Seguimiento de la Conferencia Mundial contra el Racismo, la Discriminación </w:t>
      </w:r>
      <w:r>
        <w:br/>
      </w:r>
      <w:r w:rsidRPr="00521ABA">
        <w:t xml:space="preserve">Racial, la Xenofobia y las Formas Conexas de Intolerancia y de la Conferencia </w:t>
      </w:r>
      <w:r>
        <w:br/>
      </w:r>
      <w:r w:rsidRPr="00521ABA">
        <w:t>de Examen de Durban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El Comité estudiará las actividades que se hayan llevado a cabo en aplicación de la 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:rsidR="00521ABA" w:rsidRPr="00521ABA" w:rsidRDefault="00521ABA" w:rsidP="00521ABA">
      <w:pPr>
        <w:pStyle w:val="H23G"/>
      </w:pPr>
      <w:r w:rsidRPr="00521ABA">
        <w:tab/>
        <w:t>12.</w:t>
      </w:r>
      <w:r w:rsidRPr="00521ABA">
        <w:tab/>
        <w:t xml:space="preserve">Examen de copias de peticiones, copias de informes y otras informaciones </w:t>
      </w:r>
      <w:r>
        <w:br/>
      </w:r>
      <w:r w:rsidRPr="00521ABA">
        <w:t xml:space="preserve">referentes a los territorios bajo administración fiduciaria o no autónomos y </w:t>
      </w:r>
      <w:r>
        <w:br/>
      </w:r>
      <w:r w:rsidRPr="00521ABA">
        <w:t xml:space="preserve">a cualesquiera otros territorios a los cuales se aplique la resolución 1514 (XV) </w:t>
      </w:r>
      <w:r>
        <w:br/>
      </w:r>
      <w:r w:rsidRPr="00521ABA">
        <w:t>de la Asamblea General, de conformidad con el artículo 15 de la Convención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El Comité examinará copias de peticiones, copias de informes y otras informaciones referentes a los territorios bajo administración fiduciaria o no autónomos y a cualesquiera otros territorios a los cuales se aplique la resolución 1514 (XV) de la Asamblea General, de conformidad con el artículo 15 de la Convención.</w:t>
      </w:r>
    </w:p>
    <w:p w:rsidR="00521ABA" w:rsidRPr="00521ABA" w:rsidRDefault="00521ABA" w:rsidP="00521ABA">
      <w:pPr>
        <w:pStyle w:val="H23G"/>
      </w:pPr>
      <w:r w:rsidRPr="00521ABA">
        <w:tab/>
        <w:t>13.</w:t>
      </w:r>
      <w:r w:rsidRPr="00521ABA">
        <w:tab/>
        <w:t xml:space="preserve">Examen de la recomendación general núm. 36 sobre la prevención y la lucha </w:t>
      </w:r>
      <w:r>
        <w:br/>
      </w:r>
      <w:r w:rsidRPr="00521ABA">
        <w:t>contra el establecimiento de perfiles raciales</w:t>
      </w:r>
    </w:p>
    <w:p w:rsidR="00521ABA" w:rsidRPr="00521ABA" w:rsidRDefault="00521ABA" w:rsidP="00521ABA">
      <w:pPr>
        <w:pStyle w:val="SingleTxtG"/>
      </w:pPr>
      <w:r>
        <w:tab/>
      </w:r>
      <w:r w:rsidRPr="00521ABA">
        <w:t>En su 101</w:t>
      </w:r>
      <w:r w:rsidRPr="00521ABA">
        <w:rPr>
          <w:vertAlign w:val="superscript"/>
        </w:rPr>
        <w:t>er</w:t>
      </w:r>
      <w:r w:rsidRPr="00521ABA">
        <w:t xml:space="preserve"> período de sesiones, el Comité proseguirá su labor de redacción de la recomendación general núm. 36 sobre la prevención y la lucha contra el establecimiento de perfiles raciales.</w:t>
      </w:r>
    </w:p>
    <w:p w:rsidR="00521ABA" w:rsidRPr="00521ABA" w:rsidRDefault="00521ABA" w:rsidP="00521ABA">
      <w:pPr>
        <w:pStyle w:val="HChG"/>
      </w:pPr>
      <w:r w:rsidRPr="00521ABA">
        <w:br w:type="page"/>
        <w:t>Anexo</w:t>
      </w:r>
    </w:p>
    <w:p w:rsidR="00521ABA" w:rsidRPr="00521ABA" w:rsidRDefault="00521ABA" w:rsidP="00521ABA">
      <w:pPr>
        <w:pStyle w:val="HChG"/>
      </w:pPr>
      <w:r w:rsidRPr="00521ABA">
        <w:tab/>
      </w:r>
      <w:r w:rsidRPr="00521ABA">
        <w:tab/>
        <w:t>Calendario provisional para el examen de los informes, observaciones y demás información presentados por los Estados partes</w:t>
      </w:r>
    </w:p>
    <w:p w:rsidR="00521ABA" w:rsidRPr="00521ABA" w:rsidRDefault="00521ABA" w:rsidP="00521ABA">
      <w:pPr>
        <w:pStyle w:val="SingleTxtG"/>
      </w:pPr>
      <w:r w:rsidRPr="00521ABA">
        <w:tab/>
        <w:t>El calendario que figura a continuación ha sido preparado por el Secretario General en consulta con la Presidencia, teniendo en cuenta las decisiones pertinentes adoptadas por el Comité en su 100º período de sesiones.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604"/>
        <w:gridCol w:w="2357"/>
        <w:gridCol w:w="2409"/>
      </w:tblGrid>
      <w:tr w:rsidR="00521ABA" w:rsidRPr="00521ABA" w:rsidTr="00521ABA">
        <w:trPr>
          <w:cantSplit/>
          <w:trHeight w:val="240"/>
          <w:tblHeader/>
        </w:trPr>
        <w:tc>
          <w:tcPr>
            <w:tcW w:w="17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21ABA" w:rsidRPr="00521ABA" w:rsidRDefault="00521ABA" w:rsidP="00521AB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521ABA">
              <w:rPr>
                <w:i/>
                <w:iCs/>
                <w:sz w:val="16"/>
              </w:rPr>
              <w:t>Día</w:t>
            </w:r>
          </w:p>
        </w:tc>
        <w:tc>
          <w:tcPr>
            <w:tcW w:w="159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21ABA" w:rsidRPr="00521ABA" w:rsidRDefault="00521ABA" w:rsidP="00521AB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521ABA">
              <w:rPr>
                <w:i/>
                <w:iCs/>
                <w:sz w:val="16"/>
              </w:rPr>
              <w:t>Número y hora de la sesión</w:t>
            </w:r>
          </w:p>
        </w:tc>
        <w:tc>
          <w:tcPr>
            <w:tcW w:w="16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21ABA" w:rsidRPr="00521ABA" w:rsidRDefault="00521ABA" w:rsidP="00521AB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521ABA">
              <w:rPr>
                <w:i/>
                <w:iCs/>
                <w:sz w:val="16"/>
              </w:rPr>
              <w:t>Estado parte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tcBorders>
              <w:top w:val="single" w:sz="12" w:space="0" w:color="auto"/>
            </w:tcBorders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Martes 21 de abril de 2020</w:t>
            </w:r>
          </w:p>
        </w:tc>
        <w:tc>
          <w:tcPr>
            <w:tcW w:w="1599" w:type="pct"/>
            <w:tcBorders>
              <w:top w:val="single" w:sz="12" w:space="0" w:color="auto"/>
            </w:tcBorders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2806ª</w:t>
            </w:r>
            <w:r>
              <w:br/>
            </w:r>
            <w:r w:rsidRPr="00521ABA">
              <w:t>15.00 a 18.00 horas</w:t>
            </w:r>
          </w:p>
        </w:tc>
        <w:tc>
          <w:tcPr>
            <w:tcW w:w="163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>Líbano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vMerge w:val="restar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Miércoles 22 de abril de 2020</w:t>
            </w: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2807ª</w:t>
            </w:r>
            <w:r>
              <w:br/>
            </w:r>
            <w:r w:rsidRPr="00521ABA">
              <w:t>10.00 a 13.00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 xml:space="preserve">Líbano </w:t>
            </w:r>
            <w:r w:rsidRPr="00521ABA">
              <w:rPr>
                <w:i/>
                <w:iCs/>
              </w:rPr>
              <w:t>(continuación)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vMerge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2808ª</w:t>
            </w:r>
            <w:r>
              <w:br/>
            </w:r>
            <w:r w:rsidRPr="00521ABA">
              <w:t>15.00 a 18.00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>Suiza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vMerge w:val="restar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Jueves 23 de abril de 2020</w:t>
            </w: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2809ª</w:t>
            </w:r>
            <w:r>
              <w:br/>
            </w:r>
            <w:r w:rsidRPr="00521ABA">
              <w:t>10.00 a 13.00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 xml:space="preserve">Suiza </w:t>
            </w:r>
            <w:r w:rsidRPr="00521ABA">
              <w:rPr>
                <w:i/>
                <w:iCs/>
              </w:rPr>
              <w:t>(continuación)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vMerge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2810ª</w:t>
            </w:r>
            <w:r>
              <w:br/>
            </w:r>
            <w:r w:rsidRPr="00521ABA">
              <w:t>15.00 a 18.00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 xml:space="preserve">Italia 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Viernes 24 de abril de 2020</w:t>
            </w: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2811ª</w:t>
            </w:r>
            <w:r>
              <w:br/>
            </w:r>
            <w:r w:rsidRPr="00521ABA">
              <w:t>10.00 a 13.00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 xml:space="preserve">Italia </w:t>
            </w:r>
            <w:r w:rsidRPr="00521ABA">
              <w:rPr>
                <w:i/>
                <w:iCs/>
              </w:rPr>
              <w:t>(continuación)</w:t>
            </w:r>
            <w:r w:rsidRPr="00521ABA">
              <w:t xml:space="preserve"> 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Lunes 27 de abril de 2020</w:t>
            </w: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2814ª</w:t>
            </w:r>
            <w:r>
              <w:br/>
            </w:r>
            <w:r w:rsidRPr="00521ABA">
              <w:t>15.00 a 18.00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>Países Bajos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vMerge w:val="restar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Martes 28 de abril de 2020</w:t>
            </w: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2815ª</w:t>
            </w:r>
            <w:r>
              <w:br/>
            </w:r>
            <w:r w:rsidRPr="00521ABA">
              <w:t>10.00 a 13.00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 xml:space="preserve">Países Bajos </w:t>
            </w:r>
            <w:r w:rsidRPr="00521ABA">
              <w:rPr>
                <w:i/>
                <w:iCs/>
              </w:rPr>
              <w:t>(continuación)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vMerge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2816ª</w:t>
            </w:r>
            <w:r>
              <w:br/>
            </w:r>
            <w:r w:rsidRPr="00521ABA">
              <w:t>15.00 a 18.00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>Dinamarca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vMerge w:val="restar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Miércoles 29 de abril de 2020</w:t>
            </w: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2817ª</w:t>
            </w:r>
            <w:r>
              <w:br/>
            </w:r>
            <w:r w:rsidRPr="00521ABA">
              <w:t>10.00 a 13.00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 xml:space="preserve">Dinamarca </w:t>
            </w:r>
            <w:r w:rsidRPr="00521ABA">
              <w:rPr>
                <w:i/>
                <w:iCs/>
              </w:rPr>
              <w:t>(continuación)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vMerge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1599" w:type="pct"/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2818ª</w:t>
            </w:r>
            <w:r>
              <w:br/>
            </w:r>
            <w:r w:rsidRPr="00521ABA">
              <w:t>15.00 a 18.00 horas</w:t>
            </w:r>
          </w:p>
        </w:tc>
        <w:tc>
          <w:tcPr>
            <w:tcW w:w="1634" w:type="pct"/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>Singapur</w:t>
            </w:r>
          </w:p>
        </w:tc>
      </w:tr>
      <w:tr w:rsidR="00521ABA" w:rsidRPr="00521ABA" w:rsidTr="0087543E">
        <w:trPr>
          <w:cantSplit/>
          <w:trHeight w:val="240"/>
        </w:trPr>
        <w:tc>
          <w:tcPr>
            <w:tcW w:w="1767" w:type="pct"/>
            <w:tcBorders>
              <w:bottom w:val="single" w:sz="12" w:space="0" w:color="auto"/>
            </w:tcBorders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Jueves 30 de abril de 2020</w:t>
            </w:r>
          </w:p>
        </w:tc>
        <w:tc>
          <w:tcPr>
            <w:tcW w:w="1599" w:type="pct"/>
            <w:tcBorders>
              <w:bottom w:val="single" w:sz="12" w:space="0" w:color="auto"/>
            </w:tcBorders>
            <w:shd w:val="clear" w:color="auto" w:fill="auto"/>
          </w:tcPr>
          <w:p w:rsidR="00521ABA" w:rsidRPr="00521ABA" w:rsidRDefault="00521ABA" w:rsidP="00521ABA">
            <w:pPr>
              <w:pStyle w:val="SingleTxtG"/>
              <w:spacing w:before="40"/>
              <w:ind w:left="0" w:right="0"/>
              <w:jc w:val="left"/>
            </w:pPr>
            <w:r w:rsidRPr="00521ABA">
              <w:t>2819ª</w:t>
            </w:r>
            <w:r>
              <w:br/>
            </w:r>
            <w:r w:rsidRPr="00521ABA">
              <w:t>10.00 a 13.00 horas</w:t>
            </w:r>
          </w:p>
        </w:tc>
        <w:tc>
          <w:tcPr>
            <w:tcW w:w="163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21ABA" w:rsidRPr="00521ABA" w:rsidRDefault="00521ABA" w:rsidP="0087543E">
            <w:pPr>
              <w:pStyle w:val="SingleTxtG"/>
              <w:spacing w:before="40"/>
              <w:ind w:left="0" w:right="0"/>
              <w:jc w:val="left"/>
            </w:pPr>
            <w:r w:rsidRPr="00521ABA">
              <w:t xml:space="preserve">Singapur </w:t>
            </w:r>
            <w:r w:rsidRPr="00521ABA">
              <w:rPr>
                <w:i/>
                <w:iCs/>
              </w:rPr>
              <w:t>(continuación)</w:t>
            </w:r>
          </w:p>
        </w:tc>
      </w:tr>
    </w:tbl>
    <w:p w:rsidR="00521ABA" w:rsidRPr="00521ABA" w:rsidRDefault="00521ABA" w:rsidP="00521AB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21ABA" w:rsidRPr="00521ABA" w:rsidSect="00521AB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C19" w:rsidRPr="00D43FF0" w:rsidRDefault="00B63C19" w:rsidP="00D43FF0">
      <w:pPr>
        <w:pStyle w:val="Footer"/>
      </w:pPr>
    </w:p>
  </w:endnote>
  <w:endnote w:type="continuationSeparator" w:id="0">
    <w:p w:rsidR="00B63C19" w:rsidRPr="00D43FF0" w:rsidRDefault="00B63C19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ABA" w:rsidRPr="00521ABA" w:rsidRDefault="00521ABA" w:rsidP="00521ABA">
    <w:pPr>
      <w:pStyle w:val="Footer"/>
      <w:tabs>
        <w:tab w:val="right" w:pos="9638"/>
      </w:tabs>
    </w:pPr>
    <w:r w:rsidRPr="00521ABA">
      <w:rPr>
        <w:b/>
        <w:sz w:val="18"/>
      </w:rPr>
      <w:fldChar w:fldCharType="begin"/>
    </w:r>
    <w:r w:rsidRPr="00521ABA">
      <w:rPr>
        <w:b/>
        <w:sz w:val="18"/>
      </w:rPr>
      <w:instrText xml:space="preserve"> PAGE  \* MERGEFORMAT </w:instrText>
    </w:r>
    <w:r w:rsidRPr="00521ABA">
      <w:rPr>
        <w:b/>
        <w:sz w:val="18"/>
      </w:rPr>
      <w:fldChar w:fldCharType="separate"/>
    </w:r>
    <w:r w:rsidR="00E71829">
      <w:rPr>
        <w:b/>
        <w:noProof/>
        <w:sz w:val="18"/>
      </w:rPr>
      <w:t>2</w:t>
    </w:r>
    <w:r w:rsidRPr="00521ABA">
      <w:rPr>
        <w:b/>
        <w:sz w:val="18"/>
      </w:rPr>
      <w:fldChar w:fldCharType="end"/>
    </w:r>
    <w:r>
      <w:rPr>
        <w:b/>
        <w:sz w:val="18"/>
      </w:rPr>
      <w:tab/>
    </w:r>
    <w:r>
      <w:t>GE.20-02471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ABA" w:rsidRPr="00521ABA" w:rsidRDefault="00521ABA" w:rsidP="00521ABA">
    <w:pPr>
      <w:pStyle w:val="Footer"/>
      <w:tabs>
        <w:tab w:val="right" w:pos="9638"/>
      </w:tabs>
      <w:rPr>
        <w:b/>
        <w:sz w:val="18"/>
      </w:rPr>
    </w:pPr>
    <w:r>
      <w:t>GE.20-02471</w:t>
    </w:r>
    <w:r>
      <w:tab/>
    </w:r>
    <w:r w:rsidRPr="00521ABA">
      <w:rPr>
        <w:b/>
        <w:sz w:val="18"/>
      </w:rPr>
      <w:fldChar w:fldCharType="begin"/>
    </w:r>
    <w:r w:rsidRPr="00521ABA">
      <w:rPr>
        <w:b/>
        <w:sz w:val="18"/>
      </w:rPr>
      <w:instrText xml:space="preserve"> PAGE  \* MERGEFORMAT </w:instrText>
    </w:r>
    <w:r w:rsidRPr="00521ABA">
      <w:rPr>
        <w:b/>
        <w:sz w:val="18"/>
      </w:rPr>
      <w:fldChar w:fldCharType="separate"/>
    </w:r>
    <w:r w:rsidR="00E71829">
      <w:rPr>
        <w:b/>
        <w:noProof/>
        <w:sz w:val="18"/>
      </w:rPr>
      <w:t>5</w:t>
    </w:r>
    <w:r w:rsidRPr="00521AB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521ABA" w:rsidRDefault="00521ABA" w:rsidP="00521ABA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20-02471  (S)    190220    190220</w:t>
    </w:r>
    <w:r>
      <w:rPr>
        <w:sz w:val="20"/>
      </w:rPr>
      <w:br/>
    </w:r>
    <w:r w:rsidRPr="00521ABA">
      <w:rPr>
        <w:rFonts w:ascii="C39T30Lfz" w:hAnsi="C39T30Lfz"/>
        <w:sz w:val="56"/>
      </w:rPr>
      <w:t></w:t>
    </w:r>
    <w:r w:rsidRPr="00521ABA">
      <w:rPr>
        <w:rFonts w:ascii="C39T30Lfz" w:hAnsi="C39T30Lfz"/>
        <w:sz w:val="56"/>
      </w:rPr>
      <w:t></w:t>
    </w:r>
    <w:r w:rsidRPr="00521ABA">
      <w:rPr>
        <w:rFonts w:ascii="C39T30Lfz" w:hAnsi="C39T30Lfz"/>
        <w:sz w:val="56"/>
      </w:rPr>
      <w:t></w:t>
    </w:r>
    <w:r w:rsidRPr="00521ABA">
      <w:rPr>
        <w:rFonts w:ascii="C39T30Lfz" w:hAnsi="C39T30Lfz"/>
        <w:sz w:val="56"/>
      </w:rPr>
      <w:t></w:t>
    </w:r>
    <w:r w:rsidRPr="00521ABA">
      <w:rPr>
        <w:rFonts w:ascii="C39T30Lfz" w:hAnsi="C39T30Lfz"/>
        <w:sz w:val="56"/>
      </w:rPr>
      <w:t></w:t>
    </w:r>
    <w:r w:rsidRPr="00521ABA">
      <w:rPr>
        <w:rFonts w:ascii="C39T30Lfz" w:hAnsi="C39T30Lfz"/>
        <w:sz w:val="56"/>
      </w:rPr>
      <w:t></w:t>
    </w:r>
    <w:r w:rsidRPr="00521ABA">
      <w:rPr>
        <w:rFonts w:ascii="C39T30Lfz" w:hAnsi="C39T30Lfz"/>
        <w:sz w:val="56"/>
      </w:rPr>
      <w:t></w:t>
    </w:r>
    <w:r w:rsidRPr="00521ABA">
      <w:rPr>
        <w:rFonts w:ascii="C39T30Lfz" w:hAnsi="C39T30Lfz"/>
        <w:sz w:val="56"/>
      </w:rPr>
      <w:t></w:t>
    </w:r>
    <w:r w:rsidRPr="00521ABA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101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101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C19" w:rsidRPr="001075E9" w:rsidRDefault="00B63C1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63C19" w:rsidRDefault="00B63C19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ABA" w:rsidRPr="00521ABA" w:rsidRDefault="00E71829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CERD/C/101/1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ABA" w:rsidRPr="00521ABA" w:rsidRDefault="00E71829" w:rsidP="00521ABA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CERD/C/101/1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19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42132"/>
    <w:rsid w:val="00381C24"/>
    <w:rsid w:val="003958D0"/>
    <w:rsid w:val="004031F0"/>
    <w:rsid w:val="00414DC7"/>
    <w:rsid w:val="00454E07"/>
    <w:rsid w:val="00471CB3"/>
    <w:rsid w:val="0050108D"/>
    <w:rsid w:val="0051740C"/>
    <w:rsid w:val="00521ABA"/>
    <w:rsid w:val="00527731"/>
    <w:rsid w:val="00545AB0"/>
    <w:rsid w:val="00572E19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7543E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63C19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71829"/>
    <w:rsid w:val="00E73F76"/>
    <w:rsid w:val="00EA31D8"/>
    <w:rsid w:val="00EA5579"/>
    <w:rsid w:val="00EF1360"/>
    <w:rsid w:val="00EF3220"/>
    <w:rsid w:val="00EF6618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6EC5090-C694-4426-B16C-2ACB9E01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semiHidden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rsid w:val="008C29C4"/>
    <w:rPr>
      <w:color w:val="0000FF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5</Pages>
  <Words>1517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CERD/C/101/1</vt:lpstr>
    </vt:vector>
  </TitlesOfParts>
  <Company/>
  <LinksUpToDate>false</LinksUpToDate>
  <CharactersWithSpaces>9844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CERD/C/101/1</dc:title>
  <dc:subject/>
  <dc:creator>Javier RODRIGUEZ PEREZ</dc:creator>
  <cp:keywords/>
  <cp:lastModifiedBy>Maria Luisa Zeballos Moreno</cp:lastModifiedBy>
  <cp:revision>3</cp:revision>
  <cp:lastPrinted>2020-02-19T09:40:00Z</cp:lastPrinted>
  <dcterms:created xsi:type="dcterms:W3CDTF">2020-02-19T09:39:00Z</dcterms:created>
  <dcterms:modified xsi:type="dcterms:W3CDTF">2020-02-19T09:40:00Z</dcterms:modified>
</cp:coreProperties>
</file>