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1D96704" w14:textId="77777777" w:rsidTr="003A3D90">
        <w:trPr>
          <w:trHeight w:hRule="exact" w:val="851"/>
        </w:trPr>
        <w:tc>
          <w:tcPr>
            <w:tcW w:w="142" w:type="dxa"/>
            <w:tcBorders>
              <w:bottom w:val="single" w:sz="4" w:space="0" w:color="auto"/>
            </w:tcBorders>
          </w:tcPr>
          <w:p w14:paraId="53F318D2" w14:textId="77777777" w:rsidR="002D5AAC" w:rsidRDefault="002D5AAC" w:rsidP="00841C2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00C21F5"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C7F7C88" w14:textId="19FBDA09" w:rsidR="002D5AAC" w:rsidRDefault="00841C25" w:rsidP="00841C25">
            <w:pPr>
              <w:jc w:val="right"/>
            </w:pPr>
            <w:r w:rsidRPr="00841C25">
              <w:rPr>
                <w:sz w:val="40"/>
              </w:rPr>
              <w:t>HRI</w:t>
            </w:r>
            <w:r>
              <w:t>/CORE/AUS/2023</w:t>
            </w:r>
          </w:p>
        </w:tc>
      </w:tr>
      <w:tr w:rsidR="002D5AAC" w:rsidRPr="00E22999" w14:paraId="18268697" w14:textId="77777777" w:rsidTr="003A3D90">
        <w:trPr>
          <w:trHeight w:hRule="exact" w:val="2835"/>
        </w:trPr>
        <w:tc>
          <w:tcPr>
            <w:tcW w:w="1280" w:type="dxa"/>
            <w:gridSpan w:val="2"/>
            <w:tcBorders>
              <w:top w:val="single" w:sz="4" w:space="0" w:color="auto"/>
              <w:bottom w:val="single" w:sz="12" w:space="0" w:color="auto"/>
            </w:tcBorders>
          </w:tcPr>
          <w:p w14:paraId="2C51D6BA" w14:textId="77777777" w:rsidR="002D5AAC" w:rsidRDefault="007B5263" w:rsidP="003A3D90">
            <w:pPr>
              <w:spacing w:before="120"/>
              <w:jc w:val="center"/>
            </w:pPr>
            <w:r>
              <w:rPr>
                <w:noProof/>
                <w:lang w:val="fr-CH" w:eastAsia="fr-CH"/>
              </w:rPr>
              <w:drawing>
                <wp:inline distT="0" distB="0" distL="0" distR="0" wp14:anchorId="16076EE4" wp14:editId="3635DDF8">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A761F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4344C7CB" w14:textId="77777777" w:rsidR="002D5AAC" w:rsidRPr="00E60A05" w:rsidRDefault="00841C25" w:rsidP="003A3D90">
            <w:pPr>
              <w:spacing w:before="240"/>
              <w:rPr>
                <w:lang w:val="en-US"/>
              </w:rPr>
            </w:pPr>
            <w:r w:rsidRPr="00E60A05">
              <w:rPr>
                <w:lang w:val="en-US"/>
              </w:rPr>
              <w:t>Distr.: General</w:t>
            </w:r>
          </w:p>
          <w:p w14:paraId="3A4CCC05" w14:textId="77777777" w:rsidR="00841C25" w:rsidRPr="00E60A05" w:rsidRDefault="00841C25" w:rsidP="00841C25">
            <w:pPr>
              <w:spacing w:line="240" w:lineRule="exact"/>
              <w:rPr>
                <w:lang w:val="en-US"/>
              </w:rPr>
            </w:pPr>
            <w:r w:rsidRPr="00E60A05">
              <w:rPr>
                <w:lang w:val="en-US"/>
              </w:rPr>
              <w:t>31 May 2024</w:t>
            </w:r>
          </w:p>
          <w:p w14:paraId="089C337F" w14:textId="77777777" w:rsidR="00841C25" w:rsidRPr="00E60A05" w:rsidRDefault="00841C25" w:rsidP="00841C25">
            <w:pPr>
              <w:spacing w:line="240" w:lineRule="exact"/>
              <w:rPr>
                <w:lang w:val="en-US"/>
              </w:rPr>
            </w:pPr>
            <w:r w:rsidRPr="00E60A05">
              <w:rPr>
                <w:lang w:val="en-US"/>
              </w:rPr>
              <w:t>Russian</w:t>
            </w:r>
          </w:p>
          <w:p w14:paraId="6266ADCD" w14:textId="4D61EB14" w:rsidR="00841C25" w:rsidRPr="00E60A05" w:rsidRDefault="00841C25" w:rsidP="00841C25">
            <w:pPr>
              <w:spacing w:line="240" w:lineRule="exact"/>
              <w:rPr>
                <w:lang w:val="en-US"/>
              </w:rPr>
            </w:pPr>
            <w:r w:rsidRPr="00E60A05">
              <w:rPr>
                <w:lang w:val="en-US"/>
              </w:rPr>
              <w:t>Original: English</w:t>
            </w:r>
          </w:p>
        </w:tc>
      </w:tr>
    </w:tbl>
    <w:p w14:paraId="12467FF9" w14:textId="77777777" w:rsidR="00841C25" w:rsidRPr="008F3942" w:rsidRDefault="00841C25" w:rsidP="00841C25">
      <w:pPr>
        <w:pStyle w:val="HMG"/>
      </w:pPr>
      <w:r w:rsidRPr="008F3942">
        <w:rPr>
          <w:lang w:val="en-US"/>
        </w:rPr>
        <w:tab/>
      </w:r>
      <w:r w:rsidRPr="008F3942">
        <w:rPr>
          <w:lang w:val="en-US"/>
        </w:rPr>
        <w:tab/>
      </w:r>
      <w:r>
        <w:rPr>
          <w:bCs/>
        </w:rPr>
        <w:t>Общий базовый документ, являющийся составной частью докладов государств-участников</w:t>
      </w:r>
    </w:p>
    <w:p w14:paraId="35A81CF8" w14:textId="77777777" w:rsidR="00841C25" w:rsidRPr="008F3942" w:rsidRDefault="00841C25" w:rsidP="00841C25">
      <w:pPr>
        <w:pStyle w:val="HMG"/>
      </w:pPr>
      <w:r>
        <w:tab/>
      </w:r>
      <w:r>
        <w:tab/>
      </w:r>
      <w:r>
        <w:rPr>
          <w:bCs/>
        </w:rPr>
        <w:t>Австралия</w:t>
      </w:r>
      <w:r w:rsidRPr="00D62FAA">
        <w:rPr>
          <w:b w:val="0"/>
          <w:bCs/>
          <w:sz w:val="20"/>
          <w:szCs w:val="10"/>
        </w:rPr>
        <w:footnoteReference w:customMarkFollows="1" w:id="1"/>
        <w:t>*</w:t>
      </w:r>
    </w:p>
    <w:p w14:paraId="0D6C21B3" w14:textId="77777777" w:rsidR="00841C25" w:rsidRPr="008F3942" w:rsidRDefault="00841C25" w:rsidP="00841C25">
      <w:pPr>
        <w:pStyle w:val="SingleTxtG"/>
        <w:jc w:val="right"/>
      </w:pPr>
      <w:r>
        <w:t>[Дата получения: 20 октября 2023 года]</w:t>
      </w:r>
    </w:p>
    <w:p w14:paraId="08558E12" w14:textId="77777777" w:rsidR="00841C25" w:rsidRPr="008F3942" w:rsidRDefault="00841C25" w:rsidP="00841C25">
      <w:pPr>
        <w:pStyle w:val="SingleTxtG"/>
      </w:pPr>
      <w:r w:rsidRPr="008F3942">
        <w:br w:type="page"/>
      </w:r>
    </w:p>
    <w:p w14:paraId="6354809B" w14:textId="77777777" w:rsidR="00E0204C" w:rsidRDefault="00E0204C" w:rsidP="00F1583A">
      <w:pPr>
        <w:spacing w:after="120"/>
        <w:rPr>
          <w:sz w:val="28"/>
        </w:rPr>
      </w:pPr>
      <w:r>
        <w:rPr>
          <w:sz w:val="28"/>
        </w:rPr>
        <w:lastRenderedPageBreak/>
        <w:t>Содержание</w:t>
      </w:r>
    </w:p>
    <w:p w14:paraId="3BD69BF1" w14:textId="77777777" w:rsidR="00E0204C" w:rsidRDefault="00E0204C" w:rsidP="00F1583A">
      <w:pPr>
        <w:tabs>
          <w:tab w:val="right" w:pos="9638"/>
        </w:tabs>
        <w:spacing w:after="120"/>
        <w:ind w:left="283"/>
        <w:rPr>
          <w:sz w:val="18"/>
        </w:rPr>
      </w:pPr>
      <w:r>
        <w:rPr>
          <w:i/>
          <w:sz w:val="18"/>
        </w:rPr>
        <w:tab/>
        <w:t>Стр.</w:t>
      </w:r>
    </w:p>
    <w:p w14:paraId="0EF0C1B7" w14:textId="16EFE0F1" w:rsidR="00841C25" w:rsidRPr="008F3942" w:rsidRDefault="00E0204C" w:rsidP="00841C25">
      <w:pPr>
        <w:tabs>
          <w:tab w:val="right" w:pos="850"/>
          <w:tab w:val="left" w:pos="1134"/>
          <w:tab w:val="left" w:pos="1559"/>
          <w:tab w:val="left" w:pos="1984"/>
          <w:tab w:val="left" w:leader="dot" w:pos="8787"/>
          <w:tab w:val="right" w:pos="9638"/>
        </w:tabs>
        <w:spacing w:after="120"/>
      </w:pPr>
      <w:r>
        <w:tab/>
      </w:r>
      <w:r w:rsidR="00841C25">
        <w:tab/>
        <w:t>Сокращения</w:t>
      </w:r>
      <w:r w:rsidR="00841C25">
        <w:rPr>
          <w:webHidden/>
        </w:rPr>
        <w:tab/>
      </w:r>
      <w:r w:rsidR="00841C25">
        <w:rPr>
          <w:webHidden/>
        </w:rPr>
        <w:tab/>
        <w:t>3</w:t>
      </w:r>
    </w:p>
    <w:p w14:paraId="4544310B" w14:textId="44D68B8D" w:rsidR="00841C25" w:rsidRPr="008F3942" w:rsidRDefault="00841C25" w:rsidP="003B51C9">
      <w:pPr>
        <w:tabs>
          <w:tab w:val="right" w:pos="850"/>
          <w:tab w:val="left" w:pos="1134"/>
          <w:tab w:val="left" w:pos="1559"/>
          <w:tab w:val="left" w:leader="dot" w:pos="8787"/>
          <w:tab w:val="right" w:pos="9638"/>
        </w:tabs>
        <w:spacing w:after="120"/>
      </w:pPr>
      <w:r>
        <w:tab/>
      </w:r>
      <w:r>
        <w:tab/>
        <w:t>Введение</w:t>
      </w:r>
      <w:r>
        <w:rPr>
          <w:webHidden/>
        </w:rPr>
        <w:tab/>
      </w:r>
      <w:r w:rsidR="00E0204C">
        <w:rPr>
          <w:webHidden/>
        </w:rPr>
        <w:tab/>
      </w:r>
      <w:r>
        <w:rPr>
          <w:webHidden/>
        </w:rPr>
        <w:t>5</w:t>
      </w:r>
    </w:p>
    <w:p w14:paraId="641A493D" w14:textId="0B95323B" w:rsidR="00841C25" w:rsidRPr="008F3942" w:rsidRDefault="00E0204C" w:rsidP="00841C25">
      <w:pPr>
        <w:tabs>
          <w:tab w:val="right" w:pos="850"/>
          <w:tab w:val="left" w:pos="1134"/>
          <w:tab w:val="left" w:pos="1559"/>
          <w:tab w:val="left" w:pos="1984"/>
          <w:tab w:val="left" w:leader="dot" w:pos="8787"/>
          <w:tab w:val="right" w:pos="9638"/>
        </w:tabs>
        <w:spacing w:after="120"/>
      </w:pPr>
      <w:r>
        <w:tab/>
      </w:r>
      <w:r w:rsidR="00841C25">
        <w:t>I.</w:t>
      </w:r>
      <w:r w:rsidR="00841C25">
        <w:tab/>
        <w:t>Общая информация</w:t>
      </w:r>
      <w:r w:rsidR="00841C25">
        <w:rPr>
          <w:webHidden/>
        </w:rPr>
        <w:tab/>
      </w:r>
      <w:r w:rsidR="00841C25">
        <w:rPr>
          <w:webHidden/>
        </w:rPr>
        <w:tab/>
        <w:t>5</w:t>
      </w:r>
    </w:p>
    <w:p w14:paraId="5F78859F" w14:textId="2EC9D49F"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A.</w:t>
      </w:r>
      <w:r w:rsidR="00841C25">
        <w:tab/>
        <w:t>Демографические, экономические, социальные и культурные особенности</w:t>
      </w:r>
      <w:r w:rsidR="00841C25">
        <w:rPr>
          <w:webHidden/>
        </w:rPr>
        <w:tab/>
      </w:r>
      <w:r w:rsidR="00841C25">
        <w:rPr>
          <w:webHidden/>
        </w:rPr>
        <w:tab/>
        <w:t>5</w:t>
      </w:r>
    </w:p>
    <w:p w14:paraId="2DAB0426" w14:textId="2A33FB6C"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B.</w:t>
      </w:r>
      <w:r w:rsidR="00841C25">
        <w:tab/>
        <w:t>Конституционная, политическая и правовая структура</w:t>
      </w:r>
      <w:r w:rsidR="00841C25">
        <w:rPr>
          <w:webHidden/>
        </w:rPr>
        <w:tab/>
      </w:r>
      <w:r w:rsidR="00841C25">
        <w:rPr>
          <w:webHidden/>
        </w:rPr>
        <w:tab/>
        <w:t>1</w:t>
      </w:r>
      <w:r w:rsidR="003B51C9">
        <w:rPr>
          <w:webHidden/>
        </w:rPr>
        <w:t>8</w:t>
      </w:r>
    </w:p>
    <w:p w14:paraId="14CAE20D" w14:textId="6E3EEAAF" w:rsidR="00841C25" w:rsidRPr="008F3942" w:rsidRDefault="00E0204C" w:rsidP="00841C25">
      <w:pPr>
        <w:tabs>
          <w:tab w:val="right" w:pos="850"/>
          <w:tab w:val="left" w:pos="1134"/>
          <w:tab w:val="left" w:pos="1559"/>
          <w:tab w:val="left" w:pos="1984"/>
          <w:tab w:val="left" w:leader="dot" w:pos="8787"/>
          <w:tab w:val="right" w:pos="9638"/>
        </w:tabs>
        <w:spacing w:after="120"/>
      </w:pPr>
      <w:r>
        <w:tab/>
      </w:r>
      <w:r w:rsidR="00841C25">
        <w:t>II.</w:t>
      </w:r>
      <w:r w:rsidR="00841C25">
        <w:tab/>
        <w:t>Общая правовая основа для защиты и поощрения прав человека</w:t>
      </w:r>
      <w:r w:rsidR="00841C25">
        <w:rPr>
          <w:webHidden/>
        </w:rPr>
        <w:tab/>
      </w:r>
      <w:r w:rsidR="00841C25">
        <w:rPr>
          <w:webHidden/>
        </w:rPr>
        <w:tab/>
      </w:r>
      <w:r w:rsidR="009E2401">
        <w:rPr>
          <w:webHidden/>
        </w:rPr>
        <w:t>30</w:t>
      </w:r>
    </w:p>
    <w:p w14:paraId="464EC1B2" w14:textId="53ED55B1"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A.</w:t>
      </w:r>
      <w:r w:rsidR="00841C25">
        <w:tab/>
        <w:t>Принятие международных норм в области прав человека</w:t>
      </w:r>
      <w:r w:rsidR="00841C25">
        <w:rPr>
          <w:webHidden/>
        </w:rPr>
        <w:tab/>
      </w:r>
      <w:r w:rsidR="00841C25">
        <w:rPr>
          <w:webHidden/>
        </w:rPr>
        <w:tab/>
      </w:r>
      <w:r w:rsidR="009E2401">
        <w:rPr>
          <w:webHidden/>
        </w:rPr>
        <w:t>30</w:t>
      </w:r>
    </w:p>
    <w:p w14:paraId="5669B39D" w14:textId="7F0BB598"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B.</w:t>
      </w:r>
      <w:r w:rsidR="00841C25">
        <w:tab/>
        <w:t>Правовая основа для защиты прав человека на национальном уровне</w:t>
      </w:r>
      <w:r w:rsidR="00841C25">
        <w:rPr>
          <w:webHidden/>
        </w:rPr>
        <w:tab/>
      </w:r>
      <w:r w:rsidR="00841C25">
        <w:rPr>
          <w:webHidden/>
        </w:rPr>
        <w:tab/>
      </w:r>
      <w:r w:rsidR="009E2401">
        <w:rPr>
          <w:webHidden/>
        </w:rPr>
        <w:t>32</w:t>
      </w:r>
    </w:p>
    <w:p w14:paraId="301C61BB" w14:textId="37A07BBD"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C.</w:t>
      </w:r>
      <w:r w:rsidR="00841C25">
        <w:tab/>
        <w:t>Правовая основа для поощрения прав человека на национальном уровне</w:t>
      </w:r>
      <w:r w:rsidR="00841C25">
        <w:rPr>
          <w:webHidden/>
        </w:rPr>
        <w:tab/>
      </w:r>
      <w:r w:rsidR="00841C25">
        <w:rPr>
          <w:webHidden/>
        </w:rPr>
        <w:tab/>
        <w:t>3</w:t>
      </w:r>
      <w:r w:rsidR="009E2401">
        <w:rPr>
          <w:webHidden/>
        </w:rPr>
        <w:t>6</w:t>
      </w:r>
    </w:p>
    <w:p w14:paraId="4BDE18A7" w14:textId="5949653A"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D.</w:t>
      </w:r>
      <w:r w:rsidR="00841C25">
        <w:tab/>
        <w:t>Процесс представления докладов на национальном уровне</w:t>
      </w:r>
      <w:r w:rsidR="00841C25">
        <w:rPr>
          <w:webHidden/>
        </w:rPr>
        <w:tab/>
      </w:r>
      <w:r w:rsidR="00841C25">
        <w:rPr>
          <w:webHidden/>
        </w:rPr>
        <w:tab/>
      </w:r>
      <w:r w:rsidR="009E2401">
        <w:rPr>
          <w:webHidden/>
        </w:rPr>
        <w:t>43</w:t>
      </w:r>
    </w:p>
    <w:p w14:paraId="226490B7" w14:textId="77429BFA" w:rsidR="00841C25" w:rsidRPr="008F3942" w:rsidRDefault="00E0204C" w:rsidP="00E0204C">
      <w:pPr>
        <w:tabs>
          <w:tab w:val="right" w:pos="850"/>
          <w:tab w:val="left" w:pos="1134"/>
          <w:tab w:val="left" w:pos="1559"/>
          <w:tab w:val="left" w:leader="dot" w:pos="8787"/>
          <w:tab w:val="right" w:pos="9638"/>
        </w:tabs>
        <w:spacing w:after="120"/>
      </w:pPr>
      <w:r>
        <w:tab/>
      </w:r>
      <w:r w:rsidR="00841C25">
        <w:t>III.</w:t>
      </w:r>
      <w:r w:rsidR="00841C25">
        <w:tab/>
        <w:t xml:space="preserve">Информация о недискриминации и равенстве и об эффективных средствах правовой </w:t>
      </w:r>
      <w:r>
        <w:br/>
      </w:r>
      <w:r>
        <w:tab/>
      </w:r>
      <w:r>
        <w:tab/>
      </w:r>
      <w:r w:rsidR="00841C25">
        <w:t>защиты</w:t>
      </w:r>
      <w:r w:rsidR="00841C25">
        <w:rPr>
          <w:webHidden/>
        </w:rPr>
        <w:tab/>
      </w:r>
      <w:r w:rsidR="00841C25">
        <w:rPr>
          <w:webHidden/>
        </w:rPr>
        <w:tab/>
      </w:r>
      <w:r w:rsidR="009E2401">
        <w:rPr>
          <w:webHidden/>
        </w:rPr>
        <w:t>44</w:t>
      </w:r>
    </w:p>
    <w:p w14:paraId="0710925A" w14:textId="00348979"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A.</w:t>
      </w:r>
      <w:r w:rsidR="00841C25">
        <w:tab/>
        <w:t>Недискриминация и равенство</w:t>
      </w:r>
      <w:r w:rsidR="00841C25">
        <w:rPr>
          <w:webHidden/>
        </w:rPr>
        <w:tab/>
      </w:r>
      <w:r w:rsidR="00841C25">
        <w:rPr>
          <w:webHidden/>
        </w:rPr>
        <w:tab/>
      </w:r>
      <w:r w:rsidR="009E2401">
        <w:rPr>
          <w:webHidden/>
        </w:rPr>
        <w:t>44</w:t>
      </w:r>
    </w:p>
    <w:p w14:paraId="21CB4051" w14:textId="0EF37746" w:rsidR="00841C25" w:rsidRPr="008F3942" w:rsidRDefault="00E0204C" w:rsidP="00841C25">
      <w:pPr>
        <w:tabs>
          <w:tab w:val="right" w:pos="850"/>
          <w:tab w:val="left" w:pos="1134"/>
          <w:tab w:val="left" w:pos="1559"/>
          <w:tab w:val="left" w:pos="1984"/>
          <w:tab w:val="left" w:leader="dot" w:pos="8787"/>
          <w:tab w:val="right" w:pos="9638"/>
        </w:tabs>
        <w:spacing w:after="120"/>
      </w:pPr>
      <w:r>
        <w:tab/>
      </w:r>
      <w:r>
        <w:tab/>
      </w:r>
      <w:r w:rsidR="00841C25">
        <w:t>B.</w:t>
      </w:r>
      <w:r w:rsidR="00841C25">
        <w:tab/>
        <w:t>Эффективные средства правовой защиты</w:t>
      </w:r>
      <w:r w:rsidR="00841C25">
        <w:rPr>
          <w:webHidden/>
        </w:rPr>
        <w:tab/>
      </w:r>
      <w:r w:rsidR="00841C25">
        <w:rPr>
          <w:webHidden/>
        </w:rPr>
        <w:tab/>
      </w:r>
      <w:r w:rsidR="009E2401">
        <w:rPr>
          <w:webHidden/>
        </w:rPr>
        <w:t>53</w:t>
      </w:r>
    </w:p>
    <w:p w14:paraId="0D6F310E" w14:textId="7FCDD684" w:rsidR="00841C25" w:rsidRPr="008F3942" w:rsidRDefault="00841C25" w:rsidP="00841C25">
      <w:pPr>
        <w:tabs>
          <w:tab w:val="right" w:pos="850"/>
          <w:tab w:val="left" w:pos="1134"/>
          <w:tab w:val="left" w:pos="1559"/>
          <w:tab w:val="left" w:pos="1984"/>
          <w:tab w:val="left" w:leader="dot" w:pos="8787"/>
          <w:tab w:val="right" w:pos="9638"/>
        </w:tabs>
        <w:spacing w:after="120"/>
      </w:pPr>
      <w:r>
        <w:tab/>
        <w:t>Приложения</w:t>
      </w:r>
    </w:p>
    <w:p w14:paraId="212F4718" w14:textId="27825652" w:rsidR="00E0204C" w:rsidRDefault="00841C25" w:rsidP="00E0204C">
      <w:pPr>
        <w:tabs>
          <w:tab w:val="right" w:pos="850"/>
          <w:tab w:val="left" w:pos="1134"/>
          <w:tab w:val="left" w:pos="1559"/>
          <w:tab w:val="left" w:pos="2552"/>
          <w:tab w:val="left" w:leader="dot" w:pos="8787"/>
          <w:tab w:val="right" w:pos="9638"/>
        </w:tabs>
        <w:spacing w:after="120"/>
      </w:pPr>
      <w:r>
        <w:tab/>
      </w:r>
      <w:r>
        <w:tab/>
        <w:t>Приложение I.</w:t>
      </w:r>
      <w:r w:rsidR="00E0204C">
        <w:tab/>
      </w:r>
      <w:r>
        <w:t>Дополнительные статистические данные</w:t>
      </w:r>
      <w:r>
        <w:tab/>
      </w:r>
      <w:r>
        <w:tab/>
      </w:r>
      <w:r w:rsidR="009E2401">
        <w:t>56</w:t>
      </w:r>
    </w:p>
    <w:p w14:paraId="554D6F16" w14:textId="5D35EBBE" w:rsidR="00841C25" w:rsidRPr="008F3942" w:rsidRDefault="00841C25" w:rsidP="00E0204C">
      <w:pPr>
        <w:tabs>
          <w:tab w:val="right" w:pos="850"/>
          <w:tab w:val="left" w:pos="1134"/>
          <w:tab w:val="left" w:pos="1559"/>
          <w:tab w:val="left" w:pos="2552"/>
          <w:tab w:val="left" w:leader="dot" w:pos="8787"/>
          <w:tab w:val="right" w:pos="9638"/>
        </w:tabs>
        <w:spacing w:after="120"/>
      </w:pPr>
      <w:r>
        <w:tab/>
      </w:r>
      <w:r>
        <w:tab/>
        <w:t>Приложение II.</w:t>
      </w:r>
      <w:r>
        <w:tab/>
        <w:t>Дополнительная информация о защите и поощрении прав человека</w:t>
      </w:r>
      <w:r>
        <w:tab/>
      </w:r>
      <w:r>
        <w:tab/>
      </w:r>
      <w:r w:rsidR="009E2401">
        <w:t>62</w:t>
      </w:r>
    </w:p>
    <w:p w14:paraId="16AB7D08" w14:textId="77777777" w:rsidR="00841C25" w:rsidRPr="008F3942" w:rsidRDefault="00841C25" w:rsidP="00E0204C">
      <w:pPr>
        <w:tabs>
          <w:tab w:val="right" w:pos="850"/>
          <w:tab w:val="left" w:pos="1134"/>
          <w:tab w:val="left" w:pos="1559"/>
          <w:tab w:val="left" w:pos="1984"/>
          <w:tab w:val="left" w:leader="dot" w:pos="8787"/>
          <w:tab w:val="right" w:pos="9638"/>
        </w:tabs>
        <w:spacing w:after="120"/>
      </w:pPr>
      <w:r w:rsidRPr="008F3942">
        <w:br w:type="page"/>
      </w:r>
    </w:p>
    <w:p w14:paraId="4BE84DCF" w14:textId="77777777" w:rsidR="00841C25" w:rsidRPr="008F3942" w:rsidRDefault="00841C25" w:rsidP="00841C25">
      <w:pPr>
        <w:pStyle w:val="HChG"/>
      </w:pPr>
      <w:r>
        <w:lastRenderedPageBreak/>
        <w:tab/>
      </w:r>
      <w:r>
        <w:tab/>
        <w:t>Сокращения</w:t>
      </w:r>
      <w:bookmarkStart w:id="0" w:name="_Toc167980137"/>
      <w:bookmarkEnd w:id="0"/>
    </w:p>
    <w:p w14:paraId="36AB19A0" w14:textId="77777777" w:rsidR="00E22999" w:rsidRPr="008F3942" w:rsidRDefault="00E22999" w:rsidP="00841C25">
      <w:pPr>
        <w:pStyle w:val="SingleTxtG"/>
        <w:tabs>
          <w:tab w:val="clear" w:pos="1701"/>
          <w:tab w:val="clear" w:pos="2268"/>
          <w:tab w:val="left" w:pos="2552"/>
        </w:tabs>
        <w:ind w:left="2552" w:hanging="1418"/>
        <w:jc w:val="left"/>
      </w:pPr>
      <w:r>
        <w:t>АБС</w:t>
      </w:r>
      <w:r>
        <w:tab/>
        <w:t>Австралийское бюро статистики</w:t>
      </w:r>
    </w:p>
    <w:p w14:paraId="5D02D5DB" w14:textId="77777777" w:rsidR="00E22999" w:rsidRPr="008F3942" w:rsidRDefault="00E22999" w:rsidP="00841C25">
      <w:pPr>
        <w:pStyle w:val="SingleTxtG"/>
        <w:tabs>
          <w:tab w:val="clear" w:pos="1701"/>
          <w:tab w:val="clear" w:pos="2268"/>
          <w:tab w:val="left" w:pos="2552"/>
        </w:tabs>
        <w:ind w:left="2552" w:hanging="1418"/>
        <w:jc w:val="left"/>
      </w:pPr>
      <w:r>
        <w:t>АКПЧ</w:t>
      </w:r>
      <w:r>
        <w:tab/>
        <w:t>Австралийская комиссия по правам человека</w:t>
      </w:r>
    </w:p>
    <w:p w14:paraId="50D31E61" w14:textId="77777777" w:rsidR="00E22999" w:rsidRPr="008F3942" w:rsidRDefault="00E22999" w:rsidP="00841C25">
      <w:pPr>
        <w:pStyle w:val="SingleTxtG"/>
        <w:tabs>
          <w:tab w:val="clear" w:pos="1701"/>
          <w:tab w:val="clear" w:pos="2268"/>
          <w:tab w:val="left" w:pos="2552"/>
        </w:tabs>
        <w:ind w:left="2552" w:hanging="1418"/>
        <w:jc w:val="left"/>
      </w:pPr>
      <w:r>
        <w:t>АКРЗ</w:t>
      </w:r>
      <w:r>
        <w:tab/>
        <w:t>Австралийская комиссия по реформе законодательства</w:t>
      </w:r>
    </w:p>
    <w:p w14:paraId="4E4157B0" w14:textId="77777777" w:rsidR="00E22999" w:rsidRPr="008F3942" w:rsidRDefault="00E22999" w:rsidP="00841C25">
      <w:pPr>
        <w:pStyle w:val="SingleTxtG"/>
        <w:tabs>
          <w:tab w:val="clear" w:pos="1701"/>
          <w:tab w:val="clear" w:pos="2268"/>
          <w:tab w:val="left" w:pos="2552"/>
        </w:tabs>
        <w:ind w:left="2552" w:hanging="1418"/>
        <w:jc w:val="left"/>
      </w:pPr>
      <w:r>
        <w:t xml:space="preserve">АС </w:t>
      </w:r>
      <w:r>
        <w:tab/>
        <w:t>Австралийский Союз</w:t>
      </w:r>
    </w:p>
    <w:p w14:paraId="3BCDDCB8" w14:textId="77777777" w:rsidR="00E22999" w:rsidRPr="008F3942" w:rsidRDefault="00E22999" w:rsidP="00841C25">
      <w:pPr>
        <w:pStyle w:val="SingleTxtG"/>
        <w:tabs>
          <w:tab w:val="clear" w:pos="1701"/>
          <w:tab w:val="clear" w:pos="2268"/>
          <w:tab w:val="left" w:pos="2552"/>
        </w:tabs>
        <w:ind w:left="2552" w:hanging="1418"/>
        <w:jc w:val="left"/>
      </w:pPr>
      <w:r>
        <w:t>АСТ</w:t>
      </w:r>
      <w:r>
        <w:tab/>
        <w:t>Австралийская столичная территория</w:t>
      </w:r>
    </w:p>
    <w:p w14:paraId="63995A41" w14:textId="77777777" w:rsidR="00E22999" w:rsidRPr="008F3942" w:rsidRDefault="00E22999" w:rsidP="00841C25">
      <w:pPr>
        <w:pStyle w:val="SingleTxtG"/>
        <w:tabs>
          <w:tab w:val="clear" w:pos="1701"/>
          <w:tab w:val="clear" w:pos="2268"/>
          <w:tab w:val="left" w:pos="2552"/>
        </w:tabs>
        <w:ind w:left="2552" w:hanging="1418"/>
        <w:jc w:val="left"/>
      </w:pPr>
      <w:r>
        <w:t>ВВП</w:t>
      </w:r>
      <w:r>
        <w:tab/>
        <w:t>Валовой внутренний продукт</w:t>
      </w:r>
    </w:p>
    <w:p w14:paraId="0D286089" w14:textId="77777777" w:rsidR="00E22999" w:rsidRPr="008F3942" w:rsidRDefault="00E22999" w:rsidP="00841C25">
      <w:pPr>
        <w:pStyle w:val="SingleTxtG"/>
        <w:tabs>
          <w:tab w:val="clear" w:pos="1701"/>
          <w:tab w:val="clear" w:pos="2268"/>
          <w:tab w:val="left" w:pos="2552"/>
        </w:tabs>
        <w:ind w:left="2552" w:hanging="1418"/>
        <w:jc w:val="left"/>
      </w:pPr>
      <w:r>
        <w:t>ВИК</w:t>
      </w:r>
      <w:r>
        <w:tab/>
        <w:t>Виктория</w:t>
      </w:r>
    </w:p>
    <w:p w14:paraId="610C10FA" w14:textId="77777777" w:rsidR="00E22999" w:rsidRPr="008F3942" w:rsidRDefault="00E22999" w:rsidP="00841C25">
      <w:pPr>
        <w:pStyle w:val="SingleTxtG"/>
        <w:tabs>
          <w:tab w:val="clear" w:pos="1701"/>
          <w:tab w:val="clear" w:pos="2268"/>
          <w:tab w:val="left" w:pos="2552"/>
        </w:tabs>
        <w:ind w:left="2552" w:hanging="1418"/>
        <w:jc w:val="left"/>
      </w:pPr>
      <w:r>
        <w:t>ВИЧ</w:t>
      </w:r>
      <w:r>
        <w:tab/>
        <w:t>Вирус иммунодефицита человека</w:t>
      </w:r>
    </w:p>
    <w:p w14:paraId="26F44347" w14:textId="77777777" w:rsidR="00E22999" w:rsidRPr="008F3942" w:rsidRDefault="00E22999" w:rsidP="00841C25">
      <w:pPr>
        <w:pStyle w:val="SingleTxtG"/>
        <w:tabs>
          <w:tab w:val="clear" w:pos="1701"/>
          <w:tab w:val="clear" w:pos="2268"/>
          <w:tab w:val="left" w:pos="2552"/>
        </w:tabs>
        <w:ind w:left="2552" w:hanging="1418"/>
        <w:jc w:val="left"/>
      </w:pPr>
      <w:r>
        <w:t>ВНД</w:t>
      </w:r>
      <w:r>
        <w:tab/>
        <w:t>Валовой национальный доход</w:t>
      </w:r>
    </w:p>
    <w:p w14:paraId="03C5C952" w14:textId="77777777" w:rsidR="00E22999" w:rsidRPr="008F3942" w:rsidRDefault="00E22999" w:rsidP="00841C25">
      <w:pPr>
        <w:pStyle w:val="SingleTxtG"/>
        <w:tabs>
          <w:tab w:val="clear" w:pos="1701"/>
          <w:tab w:val="clear" w:pos="2268"/>
          <w:tab w:val="left" w:pos="2552"/>
        </w:tabs>
        <w:ind w:left="2552" w:hanging="1418"/>
        <w:jc w:val="left"/>
      </w:pPr>
      <w:r>
        <w:t>ЗA</w:t>
      </w:r>
      <w:r>
        <w:tab/>
        <w:t>Западная Австралия</w:t>
      </w:r>
    </w:p>
    <w:p w14:paraId="55C9100D" w14:textId="77777777" w:rsidR="00E22999" w:rsidRPr="008F3942" w:rsidRDefault="00E22999" w:rsidP="00841C25">
      <w:pPr>
        <w:pStyle w:val="SingleTxtG"/>
        <w:tabs>
          <w:tab w:val="clear" w:pos="1701"/>
          <w:tab w:val="clear" w:pos="2268"/>
          <w:tab w:val="left" w:pos="2552"/>
        </w:tabs>
        <w:ind w:left="2552" w:hanging="1418"/>
        <w:jc w:val="left"/>
      </w:pPr>
      <w:r>
        <w:t>Закон о АКПЧ</w:t>
      </w:r>
      <w:r>
        <w:tab/>
        <w:t>Закон 1986 года об Австралийской комиссии по правам человека (АС)</w:t>
      </w:r>
    </w:p>
    <w:p w14:paraId="1D79A495" w14:textId="77777777" w:rsidR="00E22999" w:rsidRPr="008F3942" w:rsidRDefault="00E22999" w:rsidP="00841C25">
      <w:pPr>
        <w:pStyle w:val="SingleTxtG"/>
        <w:tabs>
          <w:tab w:val="clear" w:pos="1701"/>
          <w:tab w:val="clear" w:pos="2268"/>
          <w:tab w:val="left" w:pos="2552"/>
        </w:tabs>
        <w:ind w:left="2552" w:hanging="1418"/>
        <w:jc w:val="left"/>
      </w:pPr>
      <w:r>
        <w:t>ЗЗДПВ</w:t>
      </w:r>
      <w:r>
        <w:tab/>
        <w:t>Закон 2004 года о запрете дискриминации по признаку возраста (Австралийский Союз (АС))</w:t>
      </w:r>
    </w:p>
    <w:p w14:paraId="5EABA425" w14:textId="77777777" w:rsidR="00E22999" w:rsidRPr="008F3942" w:rsidRDefault="00E22999" w:rsidP="00841C25">
      <w:pPr>
        <w:pStyle w:val="SingleTxtG"/>
        <w:tabs>
          <w:tab w:val="clear" w:pos="1701"/>
          <w:tab w:val="clear" w:pos="2268"/>
          <w:tab w:val="left" w:pos="2552"/>
        </w:tabs>
        <w:ind w:left="2552" w:hanging="1418"/>
        <w:jc w:val="left"/>
      </w:pPr>
      <w:r>
        <w:t>ЗЗДПИ</w:t>
      </w:r>
      <w:r>
        <w:tab/>
        <w:t>Закон 1992 года о запрете дискриминации по признаку инвалидности (АС)</w:t>
      </w:r>
    </w:p>
    <w:p w14:paraId="79C50C3C" w14:textId="77777777" w:rsidR="00E22999" w:rsidRPr="008F3942" w:rsidRDefault="00E22999" w:rsidP="00841C25">
      <w:pPr>
        <w:pStyle w:val="SingleTxtG"/>
        <w:tabs>
          <w:tab w:val="clear" w:pos="1701"/>
          <w:tab w:val="clear" w:pos="2268"/>
          <w:tab w:val="left" w:pos="2552"/>
        </w:tabs>
        <w:ind w:left="2552" w:hanging="1418"/>
        <w:jc w:val="left"/>
      </w:pPr>
      <w:r>
        <w:t>ЗЗДПП</w:t>
      </w:r>
      <w:r>
        <w:tab/>
        <w:t>Закон 1984 года о запрете дискриминации по признаку пола (АС)</w:t>
      </w:r>
    </w:p>
    <w:p w14:paraId="1773501D" w14:textId="77777777" w:rsidR="00E22999" w:rsidRPr="008F3942" w:rsidRDefault="00E22999" w:rsidP="00841C25">
      <w:pPr>
        <w:pStyle w:val="SingleTxtG"/>
        <w:tabs>
          <w:tab w:val="clear" w:pos="1701"/>
          <w:tab w:val="clear" w:pos="2268"/>
          <w:tab w:val="left" w:pos="2552"/>
        </w:tabs>
        <w:ind w:left="2552" w:hanging="1418"/>
        <w:jc w:val="left"/>
      </w:pPr>
      <w:r>
        <w:t xml:space="preserve">ЗЗРД </w:t>
      </w:r>
      <w:r>
        <w:tab/>
        <w:t>Закон 1975 года о запрете расовой дискриминации (АС)</w:t>
      </w:r>
    </w:p>
    <w:p w14:paraId="3DD514D1" w14:textId="77777777" w:rsidR="00E22999" w:rsidRPr="008F3942" w:rsidRDefault="00E22999" w:rsidP="00841C25">
      <w:pPr>
        <w:pStyle w:val="SingleTxtG"/>
        <w:tabs>
          <w:tab w:val="clear" w:pos="1701"/>
          <w:tab w:val="clear" w:pos="2268"/>
          <w:tab w:val="left" w:pos="2552"/>
        </w:tabs>
        <w:ind w:left="2552" w:hanging="1418"/>
        <w:jc w:val="left"/>
      </w:pPr>
      <w:r>
        <w:t>КЛДОЖ</w:t>
      </w:r>
      <w:r>
        <w:tab/>
        <w:t>Конвенция о ликвидации всех форм дискриминации в отношении женщин</w:t>
      </w:r>
    </w:p>
    <w:p w14:paraId="328C7D2E" w14:textId="77777777" w:rsidR="00E22999" w:rsidRPr="008F3942" w:rsidRDefault="00E22999" w:rsidP="00841C25">
      <w:pPr>
        <w:pStyle w:val="SingleTxtG"/>
        <w:tabs>
          <w:tab w:val="clear" w:pos="1701"/>
          <w:tab w:val="clear" w:pos="2268"/>
          <w:tab w:val="left" w:pos="2552"/>
        </w:tabs>
        <w:ind w:left="2552" w:hanging="1418"/>
        <w:jc w:val="left"/>
      </w:pPr>
      <w:r>
        <w:t>КЛРД</w:t>
      </w:r>
      <w:r>
        <w:tab/>
        <w:t>Конвенция о ликвидации всех форм расовой дискриминации</w:t>
      </w:r>
    </w:p>
    <w:p w14:paraId="52AB0CBA" w14:textId="77777777" w:rsidR="00E22999" w:rsidRPr="008F3942" w:rsidRDefault="00E22999" w:rsidP="00841C25">
      <w:pPr>
        <w:pStyle w:val="SingleTxtG"/>
        <w:tabs>
          <w:tab w:val="clear" w:pos="1701"/>
          <w:tab w:val="clear" w:pos="2268"/>
          <w:tab w:val="left" w:pos="2552"/>
        </w:tabs>
        <w:ind w:left="2552" w:hanging="1418"/>
        <w:jc w:val="left"/>
      </w:pPr>
      <w:r>
        <w:t>КПИ</w:t>
      </w:r>
      <w:r>
        <w:tab/>
        <w:t>Конвенция о правах инвалидов</w:t>
      </w:r>
    </w:p>
    <w:p w14:paraId="07140C32" w14:textId="77777777" w:rsidR="00E22999" w:rsidRPr="008F3942" w:rsidRDefault="00E22999" w:rsidP="00841C25">
      <w:pPr>
        <w:pStyle w:val="SingleTxtG"/>
        <w:tabs>
          <w:tab w:val="clear" w:pos="1701"/>
          <w:tab w:val="clear" w:pos="2268"/>
          <w:tab w:val="left" w:pos="2552"/>
        </w:tabs>
        <w:ind w:left="2552" w:hanging="1418"/>
        <w:jc w:val="left"/>
      </w:pPr>
      <w:r>
        <w:t>КПП</w:t>
      </w:r>
      <w:r>
        <w:tab/>
        <w:t>Конвенция против пыток и других жестоких, бесчеловечных или унижающих достоинство видов обращения и наказания</w:t>
      </w:r>
    </w:p>
    <w:p w14:paraId="27249EBA" w14:textId="77777777" w:rsidR="00E22999" w:rsidRPr="008F3942" w:rsidRDefault="00E22999" w:rsidP="00841C25">
      <w:pPr>
        <w:pStyle w:val="SingleTxtG"/>
        <w:tabs>
          <w:tab w:val="clear" w:pos="1701"/>
          <w:tab w:val="clear" w:pos="2268"/>
          <w:tab w:val="left" w:pos="2552"/>
        </w:tabs>
        <w:ind w:left="2552" w:hanging="1418"/>
        <w:jc w:val="left"/>
      </w:pPr>
      <w:r>
        <w:t>КПП-ФП</w:t>
      </w:r>
      <w:r>
        <w:tab/>
        <w:t>Факультативный протокол к Конвенции против пыток и других жестоких, бесчеловечных или унижающих достоинство видов обращения и наказания</w:t>
      </w:r>
    </w:p>
    <w:p w14:paraId="42EA00C4" w14:textId="77777777" w:rsidR="00E22999" w:rsidRPr="008F3942" w:rsidRDefault="00E22999" w:rsidP="00841C25">
      <w:pPr>
        <w:pStyle w:val="SingleTxtG"/>
        <w:tabs>
          <w:tab w:val="clear" w:pos="1701"/>
          <w:tab w:val="clear" w:pos="2268"/>
          <w:tab w:val="left" w:pos="2552"/>
        </w:tabs>
        <w:ind w:left="2552" w:hanging="1418"/>
        <w:jc w:val="left"/>
      </w:pPr>
      <w:r>
        <w:t>КПР</w:t>
      </w:r>
      <w:r>
        <w:tab/>
        <w:t>Конвенция о правах ребенка</w:t>
      </w:r>
    </w:p>
    <w:p w14:paraId="262C25B6" w14:textId="77777777" w:rsidR="00E22999" w:rsidRPr="008F3942" w:rsidRDefault="00E22999" w:rsidP="00841C25">
      <w:pPr>
        <w:pStyle w:val="SingleTxtG"/>
        <w:tabs>
          <w:tab w:val="clear" w:pos="1701"/>
          <w:tab w:val="clear" w:pos="2268"/>
          <w:tab w:val="left" w:pos="2552"/>
        </w:tabs>
        <w:ind w:left="2552" w:hanging="1418"/>
        <w:jc w:val="left"/>
      </w:pPr>
      <w:r>
        <w:t>КСД</w:t>
      </w:r>
      <w:r>
        <w:tab/>
        <w:t>Квинсленд</w:t>
      </w:r>
    </w:p>
    <w:p w14:paraId="06AF8E0A" w14:textId="77777777" w:rsidR="00E22999" w:rsidRPr="008F3942" w:rsidRDefault="00E22999" w:rsidP="00841C25">
      <w:pPr>
        <w:pStyle w:val="SingleTxtG"/>
        <w:tabs>
          <w:tab w:val="clear" w:pos="1701"/>
          <w:tab w:val="clear" w:pos="2268"/>
          <w:tab w:val="left" w:pos="2552"/>
        </w:tabs>
        <w:ind w:left="2552" w:hanging="1418"/>
        <w:jc w:val="left"/>
      </w:pPr>
      <w:r>
        <w:t>ЛГБТИКА+</w:t>
      </w:r>
      <w:r>
        <w:tab/>
        <w:t>Лесбиянки, геи, бисексуальные, трансгендерные/гендерно вариативные люди, интерсексуалы, квиры, асексуалы и другие сексуально или гендерно вариативные люди</w:t>
      </w:r>
    </w:p>
    <w:p w14:paraId="17E8BDB9" w14:textId="77777777" w:rsidR="00E22999" w:rsidRPr="008F3942" w:rsidRDefault="00E22999" w:rsidP="00841C25">
      <w:pPr>
        <w:pStyle w:val="SingleTxtG"/>
        <w:tabs>
          <w:tab w:val="clear" w:pos="1701"/>
          <w:tab w:val="clear" w:pos="2268"/>
          <w:tab w:val="left" w:pos="2552"/>
        </w:tabs>
        <w:ind w:left="2552" w:hanging="1418"/>
        <w:jc w:val="left"/>
      </w:pPr>
      <w:r>
        <w:t>МИДТ</w:t>
      </w:r>
      <w:r>
        <w:tab/>
        <w:t>Министерство иностранных дел и торговли</w:t>
      </w:r>
    </w:p>
    <w:p w14:paraId="56C31C80" w14:textId="77777777" w:rsidR="00E22999" w:rsidRPr="008F3942" w:rsidRDefault="00E22999" w:rsidP="00841C25">
      <w:pPr>
        <w:pStyle w:val="SingleTxtG"/>
        <w:tabs>
          <w:tab w:val="clear" w:pos="1701"/>
          <w:tab w:val="clear" w:pos="2268"/>
          <w:tab w:val="left" w:pos="2552"/>
        </w:tabs>
        <w:ind w:left="2552" w:hanging="1418"/>
        <w:jc w:val="left"/>
      </w:pPr>
      <w:r>
        <w:t>МОТ</w:t>
      </w:r>
      <w:r>
        <w:tab/>
        <w:t>Международная организация труда</w:t>
      </w:r>
    </w:p>
    <w:p w14:paraId="1629407B" w14:textId="77777777" w:rsidR="00E22999" w:rsidRPr="008F3942" w:rsidRDefault="00E22999" w:rsidP="00841C25">
      <w:pPr>
        <w:pStyle w:val="SingleTxtG"/>
        <w:tabs>
          <w:tab w:val="clear" w:pos="1701"/>
          <w:tab w:val="clear" w:pos="2268"/>
          <w:tab w:val="left" w:pos="2552"/>
        </w:tabs>
        <w:ind w:left="2552" w:hanging="1418"/>
        <w:jc w:val="left"/>
      </w:pPr>
      <w:r>
        <w:t>МПГПП</w:t>
      </w:r>
      <w:r>
        <w:tab/>
        <w:t>Международный пакт о гражданских и политических правах</w:t>
      </w:r>
    </w:p>
    <w:p w14:paraId="479B6A54" w14:textId="77777777" w:rsidR="00E22999" w:rsidRPr="008F3942" w:rsidRDefault="00E22999" w:rsidP="00841C25">
      <w:pPr>
        <w:pStyle w:val="SingleTxtG"/>
        <w:tabs>
          <w:tab w:val="clear" w:pos="1701"/>
          <w:tab w:val="clear" w:pos="2268"/>
          <w:tab w:val="left" w:pos="2552"/>
        </w:tabs>
        <w:ind w:left="2552" w:hanging="1418"/>
        <w:jc w:val="left"/>
      </w:pPr>
      <w:r>
        <w:t>МПЭСКП</w:t>
      </w:r>
      <w:r>
        <w:tab/>
        <w:t>Международный пакт об экономических, социальных и культурных правах</w:t>
      </w:r>
    </w:p>
    <w:p w14:paraId="304AE279" w14:textId="77777777" w:rsidR="00E22999" w:rsidRPr="008F3942" w:rsidRDefault="00E22999" w:rsidP="00841C25">
      <w:pPr>
        <w:pStyle w:val="SingleTxtG"/>
        <w:tabs>
          <w:tab w:val="clear" w:pos="1701"/>
          <w:tab w:val="clear" w:pos="2268"/>
          <w:tab w:val="left" w:pos="2552"/>
        </w:tabs>
        <w:ind w:left="2552" w:hanging="1418"/>
        <w:jc w:val="left"/>
      </w:pPr>
      <w:r>
        <w:t>НПЗУ</w:t>
      </w:r>
      <w:r>
        <w:tab/>
        <w:t>Национальное правозащитное учреждение</w:t>
      </w:r>
    </w:p>
    <w:p w14:paraId="43DEFA26" w14:textId="77777777" w:rsidR="00E22999" w:rsidRPr="008F3942" w:rsidRDefault="00E22999" w:rsidP="00841C25">
      <w:pPr>
        <w:pStyle w:val="SingleTxtG"/>
        <w:tabs>
          <w:tab w:val="clear" w:pos="1701"/>
          <w:tab w:val="clear" w:pos="2268"/>
          <w:tab w:val="left" w:pos="2552"/>
        </w:tabs>
        <w:ind w:left="2552" w:hanging="1418"/>
        <w:jc w:val="left"/>
      </w:pPr>
      <w:r>
        <w:t>НПМ</w:t>
      </w:r>
      <w:r>
        <w:tab/>
        <w:t>Национальный превентивный механизм</w:t>
      </w:r>
    </w:p>
    <w:p w14:paraId="5C2F5480" w14:textId="77777777" w:rsidR="00E22999" w:rsidRPr="008F3942" w:rsidRDefault="00E22999" w:rsidP="00841C25">
      <w:pPr>
        <w:pStyle w:val="SingleTxtG"/>
        <w:tabs>
          <w:tab w:val="clear" w:pos="1701"/>
          <w:tab w:val="clear" w:pos="2268"/>
          <w:tab w:val="left" w:pos="2552"/>
        </w:tabs>
        <w:ind w:left="2552" w:hanging="1418"/>
        <w:jc w:val="left"/>
      </w:pPr>
      <w:r>
        <w:t>НПО</w:t>
      </w:r>
      <w:r>
        <w:tab/>
        <w:t>неправительственная организация</w:t>
      </w:r>
    </w:p>
    <w:p w14:paraId="1EC9A465" w14:textId="77777777" w:rsidR="00E22999" w:rsidRPr="008F3942" w:rsidRDefault="00E22999" w:rsidP="00841C25">
      <w:pPr>
        <w:pStyle w:val="SingleTxtG"/>
        <w:tabs>
          <w:tab w:val="clear" w:pos="1701"/>
          <w:tab w:val="clear" w:pos="2268"/>
          <w:tab w:val="left" w:pos="2552"/>
        </w:tabs>
        <w:ind w:left="2552" w:hanging="1418"/>
        <w:jc w:val="left"/>
      </w:pPr>
      <w:r>
        <w:t>НПСИ</w:t>
      </w:r>
      <w:r>
        <w:tab/>
        <w:t>Национальная программа страхования инвалидности</w:t>
      </w:r>
    </w:p>
    <w:p w14:paraId="38B46DC4" w14:textId="77777777" w:rsidR="00E22999" w:rsidRPr="008F3942" w:rsidRDefault="00E22999" w:rsidP="00841C25">
      <w:pPr>
        <w:pStyle w:val="SingleTxtG"/>
        <w:tabs>
          <w:tab w:val="clear" w:pos="1701"/>
          <w:tab w:val="clear" w:pos="2268"/>
          <w:tab w:val="left" w:pos="2552"/>
        </w:tabs>
        <w:ind w:left="2552" w:hanging="1418"/>
        <w:jc w:val="left"/>
      </w:pPr>
      <w:r>
        <w:lastRenderedPageBreak/>
        <w:t>НЮУ</w:t>
      </w:r>
      <w:r>
        <w:tab/>
        <w:t xml:space="preserve">Новый Южный Уэльс </w:t>
      </w:r>
    </w:p>
    <w:p w14:paraId="7CE3BF15" w14:textId="77777777" w:rsidR="00E22999" w:rsidRPr="008F3942" w:rsidRDefault="00E22999" w:rsidP="00841C25">
      <w:pPr>
        <w:pStyle w:val="SingleTxtG"/>
        <w:tabs>
          <w:tab w:val="clear" w:pos="1701"/>
          <w:tab w:val="clear" w:pos="2268"/>
          <w:tab w:val="left" w:pos="2552"/>
        </w:tabs>
        <w:ind w:left="2552" w:hanging="1418"/>
        <w:jc w:val="left"/>
      </w:pPr>
      <w:r>
        <w:t>ООН</w:t>
      </w:r>
      <w:r>
        <w:tab/>
        <w:t>Организация Объединенных Наций</w:t>
      </w:r>
    </w:p>
    <w:p w14:paraId="48268263" w14:textId="77777777" w:rsidR="00E22999" w:rsidRPr="008F3942" w:rsidRDefault="00E22999" w:rsidP="00841C25">
      <w:pPr>
        <w:pStyle w:val="SingleTxtG"/>
        <w:tabs>
          <w:tab w:val="clear" w:pos="1701"/>
          <w:tab w:val="clear" w:pos="2268"/>
          <w:tab w:val="left" w:pos="2552"/>
        </w:tabs>
        <w:ind w:left="2552" w:hanging="1418"/>
        <w:jc w:val="left"/>
      </w:pPr>
      <w:r>
        <w:t>ОПКПЧ</w:t>
      </w:r>
      <w:r>
        <w:tab/>
        <w:t>Объединенный парламентский комитет по правам человека</w:t>
      </w:r>
    </w:p>
    <w:p w14:paraId="0864F040" w14:textId="77777777" w:rsidR="00E22999" w:rsidRPr="008F3942" w:rsidRDefault="00E22999" w:rsidP="00841C25">
      <w:pPr>
        <w:pStyle w:val="SingleTxtG"/>
        <w:tabs>
          <w:tab w:val="clear" w:pos="1701"/>
          <w:tab w:val="clear" w:pos="2268"/>
          <w:tab w:val="left" w:pos="2552"/>
        </w:tabs>
        <w:ind w:left="2552" w:hanging="1418"/>
        <w:jc w:val="left"/>
      </w:pPr>
      <w:r>
        <w:t>ППП</w:t>
      </w:r>
      <w:r>
        <w:tab/>
        <w:t>Подкомитет по предупреждению пыток и других жестоких, бесчеловечных или унижающих достоинство видов обращения и наказания Комитета против пыток</w:t>
      </w:r>
    </w:p>
    <w:p w14:paraId="23618A63" w14:textId="77777777" w:rsidR="00E22999" w:rsidRPr="008F3942" w:rsidRDefault="00E22999" w:rsidP="00841C25">
      <w:pPr>
        <w:pStyle w:val="SingleTxtG"/>
        <w:tabs>
          <w:tab w:val="clear" w:pos="1701"/>
          <w:tab w:val="clear" w:pos="2268"/>
          <w:tab w:val="left" w:pos="2552"/>
        </w:tabs>
        <w:ind w:left="2552" w:hanging="1418"/>
        <w:jc w:val="left"/>
      </w:pPr>
      <w:r>
        <w:t>СТ</w:t>
      </w:r>
      <w:r>
        <w:tab/>
        <w:t>Северная территория</w:t>
      </w:r>
    </w:p>
    <w:p w14:paraId="7006C836" w14:textId="77777777" w:rsidR="00E22999" w:rsidRPr="008F3942" w:rsidRDefault="00E22999" w:rsidP="00841C25">
      <w:pPr>
        <w:pStyle w:val="SingleTxtG"/>
        <w:tabs>
          <w:tab w:val="clear" w:pos="1701"/>
          <w:tab w:val="clear" w:pos="2268"/>
          <w:tab w:val="left" w:pos="2552"/>
        </w:tabs>
        <w:ind w:left="2552" w:hanging="1418"/>
        <w:jc w:val="left"/>
      </w:pPr>
      <w:r>
        <w:t>ТАС</w:t>
      </w:r>
      <w:r>
        <w:tab/>
        <w:t>Тасмания</w:t>
      </w:r>
    </w:p>
    <w:p w14:paraId="4F3BAE10" w14:textId="77777777" w:rsidR="00E22999" w:rsidRPr="008F3942" w:rsidRDefault="00E22999" w:rsidP="00841C25">
      <w:pPr>
        <w:pStyle w:val="SingleTxtG"/>
        <w:tabs>
          <w:tab w:val="clear" w:pos="1701"/>
          <w:tab w:val="clear" w:pos="2268"/>
          <w:tab w:val="left" w:pos="2552"/>
        </w:tabs>
        <w:ind w:left="2552" w:hanging="1418"/>
        <w:jc w:val="left"/>
      </w:pPr>
      <w:r>
        <w:t>ФПА</w:t>
      </w:r>
      <w:r>
        <w:tab/>
        <w:t>Федеральная полиция Австралии</w:t>
      </w:r>
    </w:p>
    <w:p w14:paraId="3F916BC3" w14:textId="77777777" w:rsidR="00E22999" w:rsidRPr="008F3942" w:rsidRDefault="00E22999" w:rsidP="00841C25">
      <w:pPr>
        <w:pStyle w:val="SingleTxtG"/>
        <w:tabs>
          <w:tab w:val="clear" w:pos="1701"/>
          <w:tab w:val="clear" w:pos="2268"/>
          <w:tab w:val="left" w:pos="2552"/>
        </w:tabs>
        <w:ind w:left="2552" w:hanging="1418"/>
        <w:jc w:val="left"/>
      </w:pPr>
      <w:r>
        <w:t>ЮА</w:t>
      </w:r>
      <w:r>
        <w:tab/>
        <w:t>Южная Австралия</w:t>
      </w:r>
    </w:p>
    <w:p w14:paraId="2745E9EA" w14:textId="77777777" w:rsidR="00841C25" w:rsidRPr="008F3942" w:rsidRDefault="00841C25" w:rsidP="00841C25">
      <w:pPr>
        <w:pStyle w:val="SingleTxtG"/>
      </w:pPr>
      <w:r w:rsidRPr="008F3942">
        <w:br w:type="page"/>
      </w:r>
    </w:p>
    <w:p w14:paraId="402B8702" w14:textId="77777777" w:rsidR="00841C25" w:rsidRPr="008F3942" w:rsidRDefault="00841C25" w:rsidP="00841C25">
      <w:pPr>
        <w:pStyle w:val="HChG"/>
      </w:pPr>
      <w:r>
        <w:lastRenderedPageBreak/>
        <w:tab/>
      </w:r>
      <w:r>
        <w:tab/>
        <w:t>Введение</w:t>
      </w:r>
      <w:bookmarkStart w:id="1" w:name="_Toc167980138"/>
      <w:bookmarkEnd w:id="1"/>
    </w:p>
    <w:p w14:paraId="60E72FC4" w14:textId="442A29ED" w:rsidR="00841C25" w:rsidRPr="008F3942" w:rsidRDefault="00841C25" w:rsidP="00841C25">
      <w:pPr>
        <w:pStyle w:val="SingleTxtG"/>
      </w:pPr>
      <w:r>
        <w:t>1.</w:t>
      </w:r>
      <w:r>
        <w:tab/>
        <w:t>Правительство Австралии с удовлетворением представляет свой обновленный общий базовый документ, подготовленный в соответствии с согласованными руководящими принципами, выпущенными Управлением Верховного комиссара по правам человека в мае 2006 года (</w:t>
      </w:r>
      <w:hyperlink r:id="rId9" w:history="1">
        <w:r w:rsidRPr="00E0204C">
          <w:rPr>
            <w:rStyle w:val="af1"/>
          </w:rPr>
          <w:t>HRI/MC/2006/3</w:t>
        </w:r>
      </w:hyperlink>
      <w:r>
        <w:t xml:space="preserve">; также </w:t>
      </w:r>
      <w:hyperlink r:id="rId10" w:history="1">
        <w:r w:rsidRPr="00E0204C">
          <w:rPr>
            <w:rStyle w:val="af1"/>
          </w:rPr>
          <w:t>HRI/GEN/2/Rev.6</w:t>
        </w:r>
      </w:hyperlink>
      <w:r>
        <w:t>).</w:t>
      </w:r>
    </w:p>
    <w:p w14:paraId="20205C74" w14:textId="77777777" w:rsidR="00841C25" w:rsidRPr="008F3942" w:rsidRDefault="00841C25" w:rsidP="00841C25">
      <w:pPr>
        <w:pStyle w:val="SingleTxtG"/>
      </w:pPr>
      <w:r>
        <w:t>2.</w:t>
      </w:r>
      <w:r>
        <w:tab/>
        <w:t>Этот документ содержит общую информацию об Австралии, ее системе защиты и поощрения прав человека, а также о мерах, принятых для поощрения недискриминации, равенства и эффективных средств правовой защиты.</w:t>
      </w:r>
    </w:p>
    <w:p w14:paraId="14879759" w14:textId="77777777" w:rsidR="00841C25" w:rsidRPr="008F3942" w:rsidRDefault="00841C25" w:rsidP="00841C25">
      <w:pPr>
        <w:pStyle w:val="SingleTxtG"/>
      </w:pPr>
      <w:r>
        <w:t>3.</w:t>
      </w:r>
      <w:r>
        <w:tab/>
        <w:t>Данные, представленные в этом документе, являются самыми актуальными на момент подготовки. Там, где это возможно, приведены ссылки на источники данных, с тем чтобы облегчить доступ к наиболее актуальным сведениям.</w:t>
      </w:r>
    </w:p>
    <w:p w14:paraId="30C5F691" w14:textId="454190AF" w:rsidR="00841C25" w:rsidRPr="008F3942" w:rsidRDefault="00E0204C" w:rsidP="00841C25">
      <w:pPr>
        <w:pStyle w:val="HChG"/>
      </w:pPr>
      <w:bookmarkStart w:id="2" w:name="_Toc147326774"/>
      <w:r>
        <w:tab/>
      </w:r>
      <w:r w:rsidR="00841C25">
        <w:t>I.</w:t>
      </w:r>
      <w:r w:rsidR="00841C25">
        <w:tab/>
        <w:t>Общая информация</w:t>
      </w:r>
      <w:bookmarkStart w:id="3" w:name="_Toc167980139"/>
      <w:bookmarkEnd w:id="2"/>
      <w:bookmarkEnd w:id="3"/>
    </w:p>
    <w:p w14:paraId="3590EC39" w14:textId="7F585194" w:rsidR="00841C25" w:rsidRPr="008F3942" w:rsidRDefault="00E0204C" w:rsidP="00841C25">
      <w:pPr>
        <w:pStyle w:val="H1G"/>
      </w:pPr>
      <w:bookmarkStart w:id="4" w:name="_Toc147326775"/>
      <w:r>
        <w:tab/>
      </w:r>
      <w:r w:rsidR="00841C25">
        <w:t>A.</w:t>
      </w:r>
      <w:r w:rsidR="00841C25">
        <w:tab/>
        <w:t>Демографические, экономические, социальные и культурные особенности</w:t>
      </w:r>
      <w:bookmarkStart w:id="5" w:name="_Toc167980140"/>
      <w:bookmarkEnd w:id="4"/>
      <w:bookmarkEnd w:id="5"/>
    </w:p>
    <w:p w14:paraId="13C30E7E" w14:textId="77777777" w:rsidR="00841C25" w:rsidRPr="008F3942" w:rsidRDefault="00841C25" w:rsidP="00841C25">
      <w:pPr>
        <w:pStyle w:val="SingleTxtG"/>
      </w:pPr>
      <w:r>
        <w:t>4.</w:t>
      </w:r>
      <w:r>
        <w:tab/>
        <w:t xml:space="preserve">Австралия является стабильной, демократической и культурно разнообразной страной. Наши эффективные внутренние законы, политика и институты обеспечивают защиту прав человека и поддерживают активное общественное обсуждение вопросов прав человека. Будучи либеральной демократией и свободным и открытым обществом, мы привержены продвижению таких ценностей, как права человека, гендерное равенство и верховенство права. Все </w:t>
      </w:r>
      <w:r w:rsidRPr="008F3942">
        <w:t>—</w:t>
      </w:r>
      <w:r>
        <w:t xml:space="preserve"> и граждане, и правительство </w:t>
      </w:r>
      <w:r w:rsidRPr="008F3942">
        <w:t>—</w:t>
      </w:r>
      <w:r>
        <w:t xml:space="preserve"> обязаны соблюдать законы и имеют право пользоваться благами, вытекающими из этих законов.</w:t>
      </w:r>
    </w:p>
    <w:p w14:paraId="3D0FABB3" w14:textId="77777777" w:rsidR="00841C25" w:rsidRPr="008F3942" w:rsidRDefault="00841C25" w:rsidP="00841C25">
      <w:pPr>
        <w:pStyle w:val="SingleTxtG"/>
      </w:pPr>
      <w:r>
        <w:t>5.</w:t>
      </w:r>
      <w:r>
        <w:tab/>
        <w:t>Австралия является родиной древнейшей цивилизации на Земле, история которой насчитывает более 60 000 лет. Принадлежность к аборигенам и/или жителям островов Торресова пролива представляет собой очень личный вопрос, который может быть чрезвычайно сложным. Культуры аборигенов и жителей островов Торресова пролива являются важнейшей частью австралийской самобытности.</w:t>
      </w:r>
    </w:p>
    <w:p w14:paraId="1D3AC726" w14:textId="3906B826" w:rsidR="00841C25" w:rsidRPr="008F3942" w:rsidRDefault="00841C25" w:rsidP="00841C25">
      <w:pPr>
        <w:pStyle w:val="SingleTxtG"/>
      </w:pPr>
      <w:r>
        <w:t>6.</w:t>
      </w:r>
      <w:r>
        <w:tab/>
        <w:t>Правительства Австралии демонстрировали неизменную приверженность защите и поощрению прав человека как внутри страны, так и на международном уровне. Австралия гордится своим вкладом в создание Организации Объединенных Наций (ООН) и международной системы защиты прав человека и продолжает быть ответственным и активным участником процесса представления докладов договорным органам ООН по правам человека, а также играет конструктивную роль в формировании и поддержании международных законов. Избрание Австралии в Совет ООН по правам человека (СПЧ) в 2018–</w:t>
      </w:r>
      <w:r w:rsidR="003D78B6" w:rsidRPr="003D78B6">
        <w:t>20</w:t>
      </w:r>
      <w:r>
        <w:t>20 годах отражает нашу непоколебимую приверженность целям и задачам Всеобщей декларации прав человека, а также стремление правительства Австралии честно и последовательно выступать за продвижение прав человека на международном уровне.</w:t>
      </w:r>
    </w:p>
    <w:p w14:paraId="72F6BD77" w14:textId="5D9E6951" w:rsidR="00841C25" w:rsidRPr="00E60A05" w:rsidRDefault="00841C25" w:rsidP="00841C25">
      <w:pPr>
        <w:pStyle w:val="SingleTxtG"/>
      </w:pPr>
      <w:r>
        <w:t>7.</w:t>
      </w:r>
      <w:r>
        <w:tab/>
        <w:t xml:space="preserve">Исчерпывающую информацию об Австралии можно найти на веб-сайте Министерства иностранных дел и торговли (МИДT) по адресу </w:t>
      </w:r>
      <w:hyperlink r:id="rId11" w:history="1">
        <w:r w:rsidR="00E60A05" w:rsidRPr="00AC02E3">
          <w:rPr>
            <w:rStyle w:val="af1"/>
          </w:rPr>
          <w:t>https://www.dfat.gov.au/about-australia/Pages/about-australia</w:t>
        </w:r>
      </w:hyperlink>
      <w:r>
        <w:t>.</w:t>
      </w:r>
      <w:r w:rsidR="00E60A05" w:rsidRPr="00E60A05">
        <w:t xml:space="preserve"> </w:t>
      </w:r>
    </w:p>
    <w:p w14:paraId="7ECF7510" w14:textId="20974257" w:rsidR="00841C25" w:rsidRPr="008F3942" w:rsidRDefault="00E0204C" w:rsidP="00841C25">
      <w:pPr>
        <w:pStyle w:val="H23G"/>
      </w:pPr>
      <w:r>
        <w:tab/>
      </w:r>
      <w:r w:rsidR="00841C25">
        <w:t>1.</w:t>
      </w:r>
      <w:r w:rsidR="00841C25">
        <w:tab/>
      </w:r>
      <w:r w:rsidR="00841C25">
        <w:rPr>
          <w:bCs/>
        </w:rPr>
        <w:t>География</w:t>
      </w:r>
    </w:p>
    <w:p w14:paraId="77CAEA4F" w14:textId="133404F7" w:rsidR="00841C25" w:rsidRPr="008F3942" w:rsidRDefault="00841C25" w:rsidP="00841C25">
      <w:pPr>
        <w:pStyle w:val="SingleTxtG"/>
      </w:pPr>
      <w:bookmarkStart w:id="6" w:name="_Ref64891429"/>
      <w:r>
        <w:t>8.</w:t>
      </w:r>
      <w:r>
        <w:tab/>
        <w:t>Австралия является шестой по величине страной по площади суши; площадь Австралии (7,7 млн кв. км) составляет примерно три четверти от общей географической площади Европы (10,2 млн кв. км). Ближайшим соседом Австралии, расположенной в Азиатско-Тихоокеанском регионе, является Папуа</w:t>
      </w:r>
      <w:r w:rsidR="00E22999" w:rsidRPr="00E22999">
        <w:t xml:space="preserve"> — </w:t>
      </w:r>
      <w:r>
        <w:t xml:space="preserve">Новая Гвинея, расположенная в 1591 км к северо-востоку от Дарвина. В число других соседних стран входят Индонезия и Тимор-Лешти на севере, Новая Зеландия на юго-востоке и </w:t>
      </w:r>
      <w:r>
        <w:lastRenderedPageBreak/>
        <w:t>островные государства Тихого океана на востоке. Австралия является единственной страной, контролирующей целый континент.</w:t>
      </w:r>
      <w:bookmarkEnd w:id="6"/>
    </w:p>
    <w:p w14:paraId="3E8BD083" w14:textId="38B9C9AF" w:rsidR="00841C25" w:rsidRPr="008F3942" w:rsidRDefault="00841C25" w:rsidP="00841C25">
      <w:pPr>
        <w:pStyle w:val="SingleTxtG"/>
      </w:pPr>
      <w:bookmarkStart w:id="7" w:name="_Ref64891437"/>
      <w:r>
        <w:t>9.</w:t>
      </w:r>
      <w:r>
        <w:tab/>
        <w:t>Почти 20 процентов территории Австралии занимают пустыни, а 70</w:t>
      </w:r>
      <w:r w:rsidR="00E0204C">
        <w:t> </w:t>
      </w:r>
      <w:r>
        <w:t>процентов</w:t>
      </w:r>
      <w:r w:rsidR="00E0204C">
        <w:t> </w:t>
      </w:r>
      <w:r w:rsidRPr="00550A50">
        <w:t>—</w:t>
      </w:r>
      <w:r>
        <w:t xml:space="preserve"> засушливые или полузасушливые земли, что в значительной степени определяет распределение населения Австралии.</w:t>
      </w:r>
      <w:bookmarkEnd w:id="7"/>
    </w:p>
    <w:p w14:paraId="14CAF627" w14:textId="4A7B1604" w:rsidR="00841C25" w:rsidRPr="008F3942" w:rsidRDefault="00E0204C" w:rsidP="00841C25">
      <w:pPr>
        <w:pStyle w:val="H23G"/>
      </w:pPr>
      <w:r>
        <w:tab/>
      </w:r>
      <w:r w:rsidR="00841C25">
        <w:t>2.</w:t>
      </w:r>
      <w:r w:rsidR="00841C25">
        <w:tab/>
      </w:r>
      <w:r w:rsidR="00841C25">
        <w:rPr>
          <w:bCs/>
        </w:rPr>
        <w:t>История</w:t>
      </w:r>
    </w:p>
    <w:p w14:paraId="4951F15C" w14:textId="31C9BD9A" w:rsidR="00841C25" w:rsidRPr="008F3942" w:rsidRDefault="00841C25" w:rsidP="00841C25">
      <w:pPr>
        <w:pStyle w:val="SingleTxtG"/>
      </w:pPr>
      <w:r>
        <w:t>10.</w:t>
      </w:r>
      <w:r>
        <w:tab/>
        <w:t>Аборигены и жители островов Торресова пролива населяли землю, ныне известную как Австралия, охраняли ее и владели ею в течение более 60 000 лет до прибытия британских поселенцев и осужденных каторжников в 1788 году. По</w:t>
      </w:r>
      <w:r w:rsidR="00E0204C">
        <w:t> </w:t>
      </w:r>
      <w:r>
        <w:t>оценкам, до колонизации население аборигенов и жителей островов Торресова пролива составляло от 300 000 до миллиона человек, которые принадлежали к более чем 500 различным племенам и говорили на более чем 250 различных языках.</w:t>
      </w:r>
    </w:p>
    <w:p w14:paraId="67A5434A" w14:textId="77777777" w:rsidR="00841C25" w:rsidRPr="008F3942" w:rsidRDefault="00841C25" w:rsidP="00841C25">
      <w:pPr>
        <w:pStyle w:val="SingleTxtG"/>
      </w:pPr>
      <w:r>
        <w:t>11.</w:t>
      </w:r>
      <w:r>
        <w:tab/>
        <w:t xml:space="preserve">В период с 1788 по 1859 год на территории Австралии было создано шесть отдельных британских колоний </w:t>
      </w:r>
      <w:r w:rsidRPr="00550A50">
        <w:t>—</w:t>
      </w:r>
      <w:r>
        <w:t xml:space="preserve"> Новый Южный Уэльс (НЮУ), Квинсленд (КСЛ), Южная Австралия (ЮА), Тасмания (TАС), Виктория (ВИК) и Западная Австралия (ЗА). Эти колонии являлись полусуверенными субъектами, равными по статусу, политически независимыми друг от друга и имеющими собственные репрезентативные парламенты.</w:t>
      </w:r>
    </w:p>
    <w:p w14:paraId="4A136B2A" w14:textId="77777777" w:rsidR="00841C25" w:rsidRPr="008F3942" w:rsidRDefault="00841C25" w:rsidP="00841C25">
      <w:pPr>
        <w:pStyle w:val="SingleTxtG"/>
      </w:pPr>
      <w:r>
        <w:t>12.</w:t>
      </w:r>
      <w:r>
        <w:tab/>
        <w:t>В 1901 году австралийские колонии на федеративных началах объединились в Австралийский Союз, который остался частью Британской империи. Помимо шести колоний, которые в соответствии с Конституцией были переименованы в «штаты», впоследствии был создан ряд территорий. Конституция предусматривала создание национальной столицы; в 1911 году для этой цели была создана Австралийская столичная территория (АСТ). В том же году была создана Северная территория (СТ), ранее входившая в состав ЮА. Существует также ряд других австралийских территорий, хотя в настоящее время только АСТ и СТ являются самоуправляющимися.</w:t>
      </w:r>
    </w:p>
    <w:p w14:paraId="6602F8B5" w14:textId="77777777" w:rsidR="00841C25" w:rsidRPr="008F3942" w:rsidRDefault="00841C25" w:rsidP="00841C25">
      <w:pPr>
        <w:pStyle w:val="SingleTxtG"/>
      </w:pPr>
      <w:r>
        <w:t>13.</w:t>
      </w:r>
      <w:r>
        <w:tab/>
        <w:t>В течение XX века Австралия приобрела независимый статус в международных делах. Вестминстерский статут, принятый Австралией в 1942 году и вступивший в силу ретроспективно с 3 сентября 1939 года, формально положил конец большинству конституционных связей между Соединенным Королевством и Австралией, а остававшиеся конституционные связи были разорваны с принятием в 1986 году Закона об Австралии (АС). Британский монарх остается главой австралийского государства, хотя и занимает совершенно иное положение, чем королева или король Австралии. Исполнительная власть в Австралийском Союзе принадлежит монарху и осуществляется генерал-губернатором, назначаемым монархом. За исключением исключительных обстоятельств, генерал-губернатор действует в соответствии с рекомендациями министров Австралийского Союза.</w:t>
      </w:r>
    </w:p>
    <w:p w14:paraId="1B0C186A" w14:textId="237B7F42" w:rsidR="00841C25" w:rsidRPr="008F3942" w:rsidRDefault="00E0204C" w:rsidP="00841C25">
      <w:pPr>
        <w:pStyle w:val="H23G"/>
      </w:pPr>
      <w:r>
        <w:tab/>
      </w:r>
      <w:r w:rsidR="00841C25">
        <w:t>3.</w:t>
      </w:r>
      <w:r w:rsidR="00841C25">
        <w:tab/>
      </w:r>
      <w:r w:rsidR="00841C25">
        <w:rPr>
          <w:bCs/>
        </w:rPr>
        <w:t>Экономика</w:t>
      </w:r>
    </w:p>
    <w:p w14:paraId="3A115A1F" w14:textId="77777777" w:rsidR="00841C25" w:rsidRPr="008F3942" w:rsidRDefault="00841C25" w:rsidP="00841C25">
      <w:pPr>
        <w:pStyle w:val="SingleTxtG"/>
      </w:pPr>
      <w:r>
        <w:t>14.</w:t>
      </w:r>
      <w:r>
        <w:tab/>
        <w:t>Экономика Австралии является одной из самых динамично развивающихся в мире. В стране существуют эффективный государственный сектор, высококвалифицированный и гибкий рынок труда и конкурентоспособный предпринимательский сектор.</w:t>
      </w:r>
    </w:p>
    <w:p w14:paraId="46BB3945" w14:textId="56B5BBB9" w:rsidR="00841C25" w:rsidRPr="008F3942" w:rsidRDefault="00841C25" w:rsidP="00841C25">
      <w:pPr>
        <w:pStyle w:val="SingleTxtG"/>
      </w:pPr>
      <w:r>
        <w:t>15.</w:t>
      </w:r>
      <w:r>
        <w:tab/>
        <w:t xml:space="preserve">В первом квартале 2023 года валовой внутренний продукт (ВВП) Австралии составил 557,1 млрд долл., увеличившись на 2,3 процента по сравнению с предыдущим годом, а валовой национальный доход (ВНД) </w:t>
      </w:r>
      <w:r w:rsidRPr="00347AF9">
        <w:t>—</w:t>
      </w:r>
      <w:r>
        <w:t xml:space="preserve"> 548,8 млрд долл</w:t>
      </w:r>
      <w:r w:rsidR="00E22999">
        <w:t>аров</w:t>
      </w:r>
      <w:r w:rsidRPr="00E0204C">
        <w:rPr>
          <w:rStyle w:val="aa"/>
        </w:rPr>
        <w:footnoteReference w:id="2"/>
      </w:r>
      <w:r>
        <w:t xml:space="preserve">. В первом квартале 2023 года ВВП Австралии на душу населения составил 21 112 долл. по </w:t>
      </w:r>
      <w:r>
        <w:lastRenderedPageBreak/>
        <w:t>сравнению с 21</w:t>
      </w:r>
      <w:r w:rsidR="00E0204C">
        <w:t> </w:t>
      </w:r>
      <w:r>
        <w:t>047 долл. в первом квартале 2022 года, а годовой темп роста экономики составил 2,4 процента</w:t>
      </w:r>
      <w:r w:rsidRPr="00E0204C">
        <w:rPr>
          <w:rStyle w:val="aa"/>
        </w:rPr>
        <w:footnoteReference w:id="3"/>
      </w:r>
      <w:r>
        <w:t>. В бюджете на 2022</w:t>
      </w:r>
      <w:r w:rsidR="003D78B6">
        <w:t>/</w:t>
      </w:r>
      <w:r>
        <w:t xml:space="preserve">23 год </w:t>
      </w:r>
      <w:r w:rsidRPr="00407788">
        <w:t xml:space="preserve">для выполнения обязательств правительства по снижению стоимости жизни и созданию более устойчивой и современной экономики </w:t>
      </w:r>
      <w:r>
        <w:t>в число приоритетов входили домохозяйства, регионы, здравоохранение, образование и окружающая среда</w:t>
      </w:r>
      <w:r w:rsidRPr="00E0204C">
        <w:rPr>
          <w:rStyle w:val="aa"/>
        </w:rPr>
        <w:footnoteReference w:id="4"/>
      </w:r>
      <w:r>
        <w:t>.</w:t>
      </w:r>
    </w:p>
    <w:p w14:paraId="1790D606" w14:textId="542DA07F" w:rsidR="00841C25" w:rsidRPr="008F3942" w:rsidRDefault="00841C25" w:rsidP="00841C25">
      <w:pPr>
        <w:pStyle w:val="SingleTxtG"/>
      </w:pPr>
      <w:r>
        <w:t>16.</w:t>
      </w:r>
      <w:r>
        <w:tab/>
        <w:t xml:space="preserve">За </w:t>
      </w:r>
      <w:r w:rsidR="00E22999">
        <w:t>12</w:t>
      </w:r>
      <w:r>
        <w:t xml:space="preserve"> месяцев до второго квартала 2023 года индекс потребительских цен (ИПЦ) вырос на 6,0 процента. Наиболее значительно подорожали страховые и финансовые услуги (+8,5 процента), жилье (+8,1 процента), продукты питания и безалкогольные напитки (+7,5 процента), а также отдых и культурные мероприятия (+6,8 процента)</w:t>
      </w:r>
      <w:r w:rsidRPr="00E0204C">
        <w:rPr>
          <w:rStyle w:val="aa"/>
        </w:rPr>
        <w:footnoteReference w:id="5"/>
      </w:r>
      <w:r>
        <w:t>.</w:t>
      </w:r>
    </w:p>
    <w:p w14:paraId="2A6F625F" w14:textId="77777777" w:rsidR="00841C25" w:rsidRPr="008F3942" w:rsidRDefault="00841C25" w:rsidP="00841C25">
      <w:pPr>
        <w:pStyle w:val="SingleTxtG"/>
      </w:pPr>
      <w:r>
        <w:t>17.</w:t>
      </w:r>
      <w:r>
        <w:tab/>
        <w:t>С 2019 года, в основном из-за пандемии COVID-19, валовой долг правительства Австралии вырос с 534,4 млрд долл. в марте 2019 года до 894,9 млрд долл. по состоянию на 28 октября 2022 года</w:t>
      </w:r>
      <w:r w:rsidRPr="00E0204C">
        <w:rPr>
          <w:rStyle w:val="aa"/>
        </w:rPr>
        <w:footnoteReference w:id="6"/>
      </w:r>
      <w:r>
        <w:t>.</w:t>
      </w:r>
    </w:p>
    <w:p w14:paraId="0E1DA736" w14:textId="6FC4AFF5" w:rsidR="00841C25" w:rsidRPr="008F3942" w:rsidRDefault="00841C25" w:rsidP="00841C25">
      <w:pPr>
        <w:pStyle w:val="SingleTxtG"/>
      </w:pPr>
      <w:r>
        <w:t>18.</w:t>
      </w:r>
      <w:r>
        <w:tab/>
        <w:t>Размер помощи, предоставленной Австралией по линии ее программы международной помощи в 2022</w:t>
      </w:r>
      <w:r w:rsidR="00466706">
        <w:t>/</w:t>
      </w:r>
      <w:r>
        <w:t>23</w:t>
      </w:r>
      <w:r w:rsidR="00E0204C">
        <w:t xml:space="preserve"> </w:t>
      </w:r>
      <w:r>
        <w:t>году, был оценен в 4,549 млрд долл., что на 241</w:t>
      </w:r>
      <w:r w:rsidR="00466706">
        <w:t> </w:t>
      </w:r>
      <w:r>
        <w:t>млн долл. больше, чем в 2021</w:t>
      </w:r>
      <w:r w:rsidR="00466706">
        <w:t>/</w:t>
      </w:r>
      <w:r>
        <w:t xml:space="preserve">22 году, когда этот показатель, </w:t>
      </w:r>
      <w:r w:rsidR="00A13ABC">
        <w:t>согласно</w:t>
      </w:r>
      <w:r>
        <w:t xml:space="preserve"> оценкам, составил 4,335 млрд долл. (включая временные меры). Доля расходов на оказание помощи от общего объема государственных расходов снизилась и составила 0,72 процента в 2022</w:t>
      </w:r>
      <w:r w:rsidR="00466706">
        <w:t>/</w:t>
      </w:r>
      <w:r>
        <w:t>23 году по сравнению с 1,32 процента в 2012</w:t>
      </w:r>
      <w:r w:rsidR="00466706">
        <w:t>/</w:t>
      </w:r>
      <w:r>
        <w:t>13</w:t>
      </w:r>
      <w:r w:rsidR="00E0204C">
        <w:t xml:space="preserve"> </w:t>
      </w:r>
      <w:r>
        <w:t>году</w:t>
      </w:r>
      <w:r w:rsidRPr="00E0204C">
        <w:rPr>
          <w:rStyle w:val="aa"/>
        </w:rPr>
        <w:footnoteReference w:id="7"/>
      </w:r>
      <w:r>
        <w:t xml:space="preserve">. </w:t>
      </w:r>
    </w:p>
    <w:p w14:paraId="22A48E26" w14:textId="0D2A37EC" w:rsidR="00841C25" w:rsidRPr="008F3942" w:rsidRDefault="00841C25" w:rsidP="00841C25">
      <w:pPr>
        <w:pStyle w:val="SingleTxtG"/>
      </w:pPr>
      <w:r>
        <w:t>19.</w:t>
      </w:r>
      <w:r>
        <w:tab/>
        <w:t xml:space="preserve">Ключевые экономические показатели часто меняются; последние данные см. на веб-сайте Австралийского бюро статистики (АБС) по адресу </w:t>
      </w:r>
      <w:hyperlink r:id="rId12" w:history="1">
        <w:r w:rsidR="00466706" w:rsidRPr="005313E9">
          <w:rPr>
            <w:rStyle w:val="af1"/>
          </w:rPr>
          <w:t>www.abs.gov.au/AUSSTATS/abs@.nsf/mf/1345.0</w:t>
        </w:r>
      </w:hyperlink>
      <w:r>
        <w:t>.</w:t>
      </w:r>
      <w:r w:rsidR="00466706">
        <w:t xml:space="preserve"> </w:t>
      </w:r>
    </w:p>
    <w:p w14:paraId="1DEDFEE1" w14:textId="278E57CB" w:rsidR="00841C25" w:rsidRPr="008F3942" w:rsidRDefault="00466706" w:rsidP="00841C25">
      <w:pPr>
        <w:pStyle w:val="H23G"/>
      </w:pPr>
      <w:r>
        <w:tab/>
      </w:r>
      <w:r w:rsidR="00841C25">
        <w:t>4.</w:t>
      </w:r>
      <w:r w:rsidR="00841C25">
        <w:tab/>
      </w:r>
      <w:r w:rsidR="00841C25">
        <w:rPr>
          <w:bCs/>
        </w:rPr>
        <w:t>Демография</w:t>
      </w:r>
    </w:p>
    <w:p w14:paraId="4E57C49F" w14:textId="5F3655E3" w:rsidR="00841C25" w:rsidRPr="008F3942" w:rsidRDefault="00841C25" w:rsidP="00841C25">
      <w:pPr>
        <w:pStyle w:val="SingleTxtG"/>
      </w:pPr>
      <w:r>
        <w:t>20.</w:t>
      </w:r>
      <w:r>
        <w:tab/>
        <w:t>По оценкам, на 30 июня 2022 года численность постоянного населения Австралии составляла 25,9 млн человек</w:t>
      </w:r>
      <w:r w:rsidRPr="00E0204C">
        <w:rPr>
          <w:rStyle w:val="aa"/>
        </w:rPr>
        <w:footnoteReference w:id="8"/>
      </w:r>
      <w:r>
        <w:t>. Ежегодный прирост населения составляет 1,1</w:t>
      </w:r>
      <w:r w:rsidR="00466706">
        <w:t> </w:t>
      </w:r>
      <w:r>
        <w:t>процента, при этом степень влияния на этот показатель миграции из других стран (около 60 процентов) несколько превышает естественный прирост (около 40</w:t>
      </w:r>
      <w:r w:rsidR="00466706">
        <w:t> </w:t>
      </w:r>
      <w:r>
        <w:t>процентов)</w:t>
      </w:r>
      <w:r w:rsidRPr="00E0204C">
        <w:rPr>
          <w:rStyle w:val="aa"/>
        </w:rPr>
        <w:footnoteReference w:id="9"/>
      </w:r>
      <w:r>
        <w:t>.</w:t>
      </w:r>
    </w:p>
    <w:p w14:paraId="181EDB29" w14:textId="5944D84D" w:rsidR="00841C25" w:rsidRPr="008F3942" w:rsidRDefault="00841C25" w:rsidP="00841C25">
      <w:pPr>
        <w:pStyle w:val="SingleTxtG"/>
      </w:pPr>
      <w:r>
        <w:t>21.</w:t>
      </w:r>
      <w:r>
        <w:tab/>
        <w:t>Австралия является одной из наименее густонаселенных стран в мире; по</w:t>
      </w:r>
      <w:r w:rsidR="00E22999">
        <w:t> </w:t>
      </w:r>
      <w:r>
        <w:t>оценкам, плотность населения составляет 3,3 человека на кв. км, что значительно ниже среднего показателя по странам с высоким уровнем дохода (33,0 человека на кв. км) и</w:t>
      </w:r>
      <w:r w:rsidR="00466706">
        <w:t> </w:t>
      </w:r>
      <w:r>
        <w:t>сопоставимо с Исландией</w:t>
      </w:r>
      <w:r w:rsidRPr="00E0204C">
        <w:rPr>
          <w:rStyle w:val="aa"/>
        </w:rPr>
        <w:footnoteReference w:id="10"/>
      </w:r>
      <w:r>
        <w:t>.</w:t>
      </w:r>
    </w:p>
    <w:p w14:paraId="72CA6DBD" w14:textId="29385B28" w:rsidR="00841C25" w:rsidRPr="008F3942" w:rsidRDefault="00841C25" w:rsidP="00841C25">
      <w:pPr>
        <w:pStyle w:val="SingleTxtG"/>
      </w:pPr>
      <w:bookmarkStart w:id="8" w:name="_Ref64891343"/>
      <w:r>
        <w:t>22.</w:t>
      </w:r>
      <w:r>
        <w:tab/>
        <w:t xml:space="preserve">В силу географических особенностей Австралии более 80 процентов австралийцев живут в пределах 100 км от побережья. Отмечается высокий уровень урбанизации: 72 процента австралийцев живут в крупных городах, в том числе более 40 процентов </w:t>
      </w:r>
      <w:r w:rsidRPr="002C1537">
        <w:t>—</w:t>
      </w:r>
      <w:r>
        <w:t xml:space="preserve"> только в столицах двух штатов </w:t>
      </w:r>
      <w:r w:rsidRPr="002C1537">
        <w:t>—</w:t>
      </w:r>
      <w:r>
        <w:t xml:space="preserve"> Сиднее (5,3 млн) и Мельбурне (5,1</w:t>
      </w:r>
      <w:r w:rsidR="00466706">
        <w:t> </w:t>
      </w:r>
      <w:r>
        <w:t xml:space="preserve">млн). Плотность населения варьируется в широких пределах: в число наиболее густонаселенных районов входят Сидней и Мельбурн (например, в самом Мельбурне </w:t>
      </w:r>
      <w:r>
        <w:lastRenderedPageBreak/>
        <w:t>плотность населения составляет 19 900 человек на кв. км), а наименее густонаселенные районы в основном находятся в штатах КСЛ, ЗA и НЮУ (менее одного человека на кв. км)</w:t>
      </w:r>
      <w:r w:rsidRPr="00E0204C">
        <w:rPr>
          <w:rStyle w:val="aa"/>
        </w:rPr>
        <w:footnoteReference w:id="11"/>
      </w:r>
      <w:r>
        <w:t>.</w:t>
      </w:r>
      <w:bookmarkEnd w:id="8"/>
    </w:p>
    <w:p w14:paraId="5AE0CE31" w14:textId="38F309E8" w:rsidR="00841C25" w:rsidRPr="008F3942" w:rsidRDefault="00841C25" w:rsidP="00841C25">
      <w:pPr>
        <w:pStyle w:val="SingleTxtG"/>
      </w:pPr>
      <w:r>
        <w:t>23.</w:t>
      </w:r>
      <w:r>
        <w:tab/>
        <w:t>Аборигены Австралии являются хранителями одной из древнейших живых культур в мире. Археологические данные свидетельствуют о том, что люди непрерывно жили в Австралии на протяжении более 60 000 лет. Другой особой группой меланезийского происхождения являются жители островов Торресова пролива, которые тысячи лет назад впервые поселились на островах к северу от материка, между оконечностью Квинсленда и Папуа</w:t>
      </w:r>
      <w:r w:rsidR="00E22999">
        <w:t xml:space="preserve"> — </w:t>
      </w:r>
      <w:r>
        <w:t>Новой Гвинеей.</w:t>
      </w:r>
    </w:p>
    <w:p w14:paraId="7D53023E" w14:textId="3A1D9432" w:rsidR="00841C25" w:rsidRPr="008F3942" w:rsidRDefault="00841C25" w:rsidP="00841C25">
      <w:pPr>
        <w:pStyle w:val="SingleTxtG"/>
      </w:pPr>
      <w:r>
        <w:t>24.</w:t>
      </w:r>
      <w:r>
        <w:tab/>
        <w:t>По оценкам, на 30 июня 2021 года в Австралии проживало 984 000 аборигенов и/или жителей островов Торресова пролива, что составляет 3,8 процента от общей численности населения Австралии</w:t>
      </w:r>
      <w:r w:rsidRPr="00E0204C">
        <w:rPr>
          <w:rStyle w:val="aa"/>
        </w:rPr>
        <w:footnoteReference w:id="12"/>
      </w:r>
      <w:r>
        <w:t>. Этот показатель свидетельствует об увеличении численности аборигенов и/или жителей островов Торресова пролива на 23,2 процента с 2016 года, когда, по оценкам, он составлял 798 400 человек. Из тех, кто отнес себя к аборигенам и/или жителям островов Торресова пролива во время последней переписи населения (проведенной в 2021 году), 91,4 процента отнесли себя к аборигенам, 4,2</w:t>
      </w:r>
      <w:r w:rsidR="00466706">
        <w:t> </w:t>
      </w:r>
      <w:r>
        <w:t xml:space="preserve">процента </w:t>
      </w:r>
      <w:r w:rsidRPr="002C1537">
        <w:t>—</w:t>
      </w:r>
      <w:r>
        <w:t xml:space="preserve"> к жителям островов Торресова пролива и 4,4 процента </w:t>
      </w:r>
      <w:r w:rsidRPr="002C1537">
        <w:t>—</w:t>
      </w:r>
      <w:r>
        <w:t xml:space="preserve"> к обеим категориям жителей</w:t>
      </w:r>
      <w:r w:rsidRPr="00E0204C">
        <w:rPr>
          <w:rStyle w:val="aa"/>
        </w:rPr>
        <w:footnoteReference w:id="13"/>
      </w:r>
      <w:r>
        <w:t>. По данным переписи населения, каждый десятый абориген и житель островов Торресова пролива говорит дома на одном из языков аборигенов или островитян Торресова пролива, при этом общее число существующих в стране языков составляет свыше 150</w:t>
      </w:r>
      <w:r w:rsidRPr="00E0204C">
        <w:rPr>
          <w:rStyle w:val="aa"/>
        </w:rPr>
        <w:footnoteReference w:id="14"/>
      </w:r>
      <w:r>
        <w:t>.</w:t>
      </w:r>
    </w:p>
    <w:p w14:paraId="7489F98F" w14:textId="77777777" w:rsidR="00841C25" w:rsidRPr="008F3942" w:rsidRDefault="00841C25" w:rsidP="00841C25">
      <w:pPr>
        <w:pStyle w:val="SingleTxtG"/>
      </w:pPr>
      <w:r>
        <w:t>25.</w:t>
      </w:r>
      <w:r>
        <w:tab/>
        <w:t>Как и в случае с коренными народами других стран со схожей колониальной историей (например, Канады, Новой Зеландии), многочисленные показатели свидетельствуют о том, что среди австралийцев, находящихся в неблагоприятном положении, доля аборигенов и жителей островов Торресова пролива является непропорционально высокой</w:t>
      </w:r>
      <w:r w:rsidRPr="00E0204C">
        <w:rPr>
          <w:rStyle w:val="aa"/>
        </w:rPr>
        <w:footnoteReference w:id="15"/>
      </w:r>
      <w:r>
        <w:t>. В ежегодном докладе «Ликвидация неравенства» признается неизменная сила и стойкость аборигенов и жителей островов Торресова пролива в сохранении древнейшей в мире живой культуры. Все правительства Австралии привержены сотрудничеству с аборигенами и жителями островов Торресова пролива, их общинами, организациями и предприятиями в целях реализации политики, программ и действий, направленных на повышение ожидаемой продолжительности жизни, снижение ранней смертности, а также улучшение возможностей аборигенов и жителей островов Торресова пролива в сферах образования и занятости</w:t>
      </w:r>
      <w:r w:rsidRPr="00E0204C">
        <w:rPr>
          <w:rStyle w:val="aa"/>
        </w:rPr>
        <w:footnoteReference w:id="16"/>
      </w:r>
      <w:r>
        <w:t>.</w:t>
      </w:r>
    </w:p>
    <w:p w14:paraId="6C37D8A9" w14:textId="0937ED9B" w:rsidR="00841C25" w:rsidRPr="008F3942" w:rsidRDefault="00841C25" w:rsidP="00841C25">
      <w:pPr>
        <w:pStyle w:val="SingleTxtG"/>
      </w:pPr>
      <w:r>
        <w:t>26.</w:t>
      </w:r>
      <w:r>
        <w:tab/>
        <w:t xml:space="preserve">Австралия представляет собой многоконфессиональное общество с культурным и языковым разнообразием. По данным переписи 2021 года, 51,5 процента австралийцев родились в другой стране или имели хотя бы одного родителя, родившегося в другой стране. Было выявлено более 300 различных видов происхождения, при этом австралийское происхождение было указано 34 процентами </w:t>
      </w:r>
      <w:r>
        <w:lastRenderedPageBreak/>
        <w:t xml:space="preserve">опрошенных лиц, в результате чего оно занимает второе место по степени распространенности. Европейское происхождение включало три из пяти наиболее часто указанных опрошенными лицами видов происхождения (английское </w:t>
      </w:r>
      <w:r w:rsidRPr="002C1537">
        <w:t>—</w:t>
      </w:r>
      <w:r>
        <w:t xml:space="preserve"> 33</w:t>
      </w:r>
      <w:r w:rsidR="00466706">
        <w:t> </w:t>
      </w:r>
      <w:r>
        <w:t xml:space="preserve">процента, ирландское </w:t>
      </w:r>
      <w:r w:rsidRPr="002C1537">
        <w:t>—</w:t>
      </w:r>
      <w:r>
        <w:t xml:space="preserve"> 9,5 процента, шотландское </w:t>
      </w:r>
      <w:r w:rsidRPr="002C1537">
        <w:t>—</w:t>
      </w:r>
      <w:r>
        <w:t xml:space="preserve"> 8,6 процента). Что касается неевропейского происхождения, то чаще всего указывалось китайское происхождение (5,5 процента)</w:t>
      </w:r>
      <w:r w:rsidRPr="00E0204C">
        <w:rPr>
          <w:rStyle w:val="aa"/>
        </w:rPr>
        <w:footnoteReference w:id="17"/>
      </w:r>
      <w:r>
        <w:t xml:space="preserve">. </w:t>
      </w:r>
    </w:p>
    <w:p w14:paraId="357FB305" w14:textId="2778D0FC" w:rsidR="00841C25" w:rsidRPr="008F3942" w:rsidRDefault="00841C25" w:rsidP="00841C25">
      <w:pPr>
        <w:pStyle w:val="SingleTxtG"/>
      </w:pPr>
      <w:r>
        <w:t>27.</w:t>
      </w:r>
      <w:r>
        <w:tab/>
        <w:t>Хотя в Австралии нет официального языка, наиболее распространенным является английский язык. Более одной пятой австралийцев говорят на других языках, кроме английского, чаще всего на мандаринском (2,6 процента), арабском (1,4</w:t>
      </w:r>
      <w:r w:rsidR="00466706">
        <w:t> </w:t>
      </w:r>
      <w:r>
        <w:t>процента), вьетнамском (1,2 процента) и кантонском (1,1 процента)</w:t>
      </w:r>
      <w:r w:rsidRPr="00E0204C">
        <w:rPr>
          <w:rStyle w:val="aa"/>
        </w:rPr>
        <w:footnoteReference w:id="18"/>
      </w:r>
      <w:r>
        <w:t>.</w:t>
      </w:r>
    </w:p>
    <w:p w14:paraId="7F03A8BF" w14:textId="5CED9B05" w:rsidR="00841C25" w:rsidRPr="008F3942" w:rsidRDefault="00841C25" w:rsidP="00841C25">
      <w:pPr>
        <w:pStyle w:val="SingleTxtG"/>
      </w:pPr>
      <w:r>
        <w:t>28.</w:t>
      </w:r>
      <w:r>
        <w:tab/>
        <w:t>В ходе переписи 2021 года среди лиц, которые ответили на факультативный вопрос о религии, 43,9 процента австралийцев назвали себя христианами и 38,9</w:t>
      </w:r>
      <w:r w:rsidR="00466706">
        <w:t> </w:t>
      </w:r>
      <w:r>
        <w:t xml:space="preserve">процента </w:t>
      </w:r>
      <w:r w:rsidRPr="002C1537">
        <w:t>—</w:t>
      </w:r>
      <w:r>
        <w:t xml:space="preserve"> лицами, не исповедующими никакую религию. Среди остальных австралийцев, сообщивших о своем вероисповедании, чаще всего указывались такие религии, как ислам, индуизм, буддизм, сикхизм и иудаизм</w:t>
      </w:r>
      <w:r w:rsidRPr="00E0204C">
        <w:rPr>
          <w:rStyle w:val="aa"/>
        </w:rPr>
        <w:footnoteReference w:id="19"/>
      </w:r>
      <w:r>
        <w:t>. За последнее десятилетие религиозные убеждения австралийцев изменились: увеличилась доля населения, не исповедующего никакой религии, и доля населения, исповедующего религию, отличную от христианства.</w:t>
      </w:r>
    </w:p>
    <w:p w14:paraId="4A6D90BC" w14:textId="68A537F4" w:rsidR="00841C25" w:rsidRPr="008F3942" w:rsidRDefault="00841C25" w:rsidP="00841C25">
      <w:pPr>
        <w:pStyle w:val="SingleTxtG"/>
      </w:pPr>
      <w:r>
        <w:t>29.</w:t>
      </w:r>
      <w:r>
        <w:tab/>
        <w:t>В 2021 году в Австралии родилось 309 996 детей, а общий коэффициент рождаемости составил 1,70 живорождения на одну женщину</w:t>
      </w:r>
      <w:r w:rsidRPr="00E0204C">
        <w:rPr>
          <w:rStyle w:val="aa"/>
        </w:rPr>
        <w:footnoteReference w:id="20"/>
      </w:r>
      <w:r>
        <w:t>. С 1976 года общий коэффициент рождаемости в Австралии находится ниже уровня воспроизводства населения. В 2021 году было зарегистрировано 171 469 смертей, что соответствует общему коэффициенту смертности в 6,7 случая на 1000 человек и стандартизированному коэффициенту смертности в 5,1 случая на 1000 человек</w:t>
      </w:r>
      <w:r w:rsidRPr="00E0204C">
        <w:rPr>
          <w:rStyle w:val="aa"/>
        </w:rPr>
        <w:footnoteReference w:id="21"/>
      </w:r>
      <w:r>
        <w:t>.</w:t>
      </w:r>
    </w:p>
    <w:p w14:paraId="6856651F" w14:textId="5ECFE96A" w:rsidR="00841C25" w:rsidRPr="008F3942" w:rsidRDefault="00841C25" w:rsidP="00841C25">
      <w:pPr>
        <w:pStyle w:val="SingleTxtG"/>
      </w:pPr>
      <w:r>
        <w:t>30.</w:t>
      </w:r>
      <w:r>
        <w:tab/>
        <w:t xml:space="preserve">Австралия занимает третье место в мире по продолжительности жизни; </w:t>
      </w:r>
      <w:r w:rsidR="00466706">
        <w:br/>
      </w:r>
      <w:r>
        <w:t>в 2019–2021</w:t>
      </w:r>
      <w:r w:rsidR="00E0204C">
        <w:t xml:space="preserve"> </w:t>
      </w:r>
      <w:r>
        <w:t>годах ожидаемая продолжительность жизни при рождении составляла 81,3 года для мужчин и 85,4 года для женщин</w:t>
      </w:r>
      <w:r w:rsidRPr="00E0204C">
        <w:rPr>
          <w:rStyle w:val="aa"/>
        </w:rPr>
        <w:footnoteReference w:id="22"/>
      </w:r>
      <w:r>
        <w:t>. За последнее десятилетие ожидаемая продолжительность жизни значительно увеличилась (на 1,6 года для мужчин и на 1,2</w:t>
      </w:r>
      <w:r w:rsidR="00466706">
        <w:t> </w:t>
      </w:r>
      <w:r>
        <w:t>года для женщин) благодаря улучшению медицинского обслуживания, более безопасным условиям труда, а также медицинским и технологическим достижениям. Как среди мужчин, так и среди женщин, принадлежащих к числу аборигенов и жителей островов Торресова пролива, ожидаемая продолжительность жизни ниже, чем среди некоренных австралийцев</w:t>
      </w:r>
      <w:r w:rsidRPr="00E0204C">
        <w:rPr>
          <w:rStyle w:val="aa"/>
        </w:rPr>
        <w:footnoteReference w:id="23"/>
      </w:r>
      <w:r>
        <w:t>.</w:t>
      </w:r>
      <w:r w:rsidR="00E22999">
        <w:t xml:space="preserve"> </w:t>
      </w:r>
      <w:r>
        <w:t>Ожидается, что мальчики из числа аборигенов и жителей островов Торресова пролива, родившиеся в 2015–2017</w:t>
      </w:r>
      <w:r w:rsidR="00E0204C">
        <w:t xml:space="preserve"> </w:t>
      </w:r>
      <w:r>
        <w:t xml:space="preserve">годах, доживут до 71,6 года, а девочки </w:t>
      </w:r>
      <w:r w:rsidRPr="002C1537">
        <w:t>—</w:t>
      </w:r>
      <w:r>
        <w:t xml:space="preserve"> до 75,6 года</w:t>
      </w:r>
      <w:r w:rsidRPr="00E0204C">
        <w:rPr>
          <w:rStyle w:val="aa"/>
        </w:rPr>
        <w:footnoteReference w:id="24"/>
      </w:r>
      <w:r>
        <w:t>.</w:t>
      </w:r>
    </w:p>
    <w:p w14:paraId="55723485" w14:textId="693A6311" w:rsidR="00841C25" w:rsidRPr="00D62FAA" w:rsidRDefault="00841C25" w:rsidP="00841C25">
      <w:pPr>
        <w:pStyle w:val="SingleTxtG"/>
      </w:pPr>
      <w:r>
        <w:t>31.</w:t>
      </w:r>
      <w:r>
        <w:tab/>
        <w:t>Влияние низкого уровня рождаемости и высокой ожидаемой продолжительности жизни отражено в приведенной ниже таблице, содержащей данные о возрастной структуре населения Австралии</w:t>
      </w:r>
      <w:r w:rsidRPr="00E0204C">
        <w:rPr>
          <w:rStyle w:val="aa"/>
        </w:rPr>
        <w:footnoteReference w:id="25"/>
      </w:r>
      <w:r>
        <w:t>. Средний возраст населения Австралии составляет 37,2 года. За последние 20 лет (с 2000 по 2020 год) количество детей в возрасте 0</w:t>
      </w:r>
      <w:r w:rsidRPr="002C1537">
        <w:t>–</w:t>
      </w:r>
      <w:r>
        <w:t xml:space="preserve">14 лет сократилось с 21 процента до 19 процентов населения. Около </w:t>
      </w:r>
      <w:r>
        <w:lastRenderedPageBreak/>
        <w:t>65 процентов населения составляют люди трудоспособного возраста (15</w:t>
      </w:r>
      <w:r w:rsidRPr="002C1537">
        <w:t>–</w:t>
      </w:r>
      <w:r>
        <w:t>64 года), и</w:t>
      </w:r>
      <w:r w:rsidR="00E22999">
        <w:t>,</w:t>
      </w:r>
      <w:r>
        <w:t xml:space="preserve"> хотя за последние 20 лет этот показатель вырос, за последние пять лет темпы роста замедлились. Общевозрастной коэффициент демографической нагрузки оценивается в 54 процента (54 иждивенца на каждые 100 человек трудоспособного возраста)</w:t>
      </w:r>
      <w:r w:rsidRPr="00E0204C">
        <w:rPr>
          <w:rStyle w:val="aa"/>
        </w:rPr>
        <w:footnoteReference w:id="26"/>
      </w:r>
      <w:r>
        <w:t>. Дополнительные данные представлены в приложении 1, таблицы A1</w:t>
      </w:r>
      <w:r w:rsidR="00466706">
        <w:t>–</w:t>
      </w:r>
      <w:r>
        <w:t>A2.</w:t>
      </w:r>
    </w:p>
    <w:p w14:paraId="1955BF7D" w14:textId="77777777" w:rsidR="00841C25" w:rsidRPr="00D62FAA" w:rsidRDefault="00841C25" w:rsidP="00841C25">
      <w:pPr>
        <w:pStyle w:val="SingleTxtG"/>
        <w:jc w:val="center"/>
      </w:pPr>
      <w:r w:rsidRPr="00D62FAA">
        <w:rPr>
          <w:noProof/>
        </w:rPr>
        <w:drawing>
          <wp:inline distT="0" distB="0" distL="0" distR="0" wp14:anchorId="1545215E" wp14:editId="181DC042">
            <wp:extent cx="3892550" cy="2814832"/>
            <wp:effectExtent l="0" t="0" r="0" b="0"/>
            <wp:docPr id="6" name="Picture 6"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aph of different colored bars&#10;&#10;Description automatically generated with medium confidence"/>
                    <pic:cNvPicPr/>
                  </pic:nvPicPr>
                  <pic:blipFill>
                    <a:blip r:embed="rId13"/>
                    <a:stretch>
                      <a:fillRect/>
                    </a:stretch>
                  </pic:blipFill>
                  <pic:spPr>
                    <a:xfrm>
                      <a:off x="0" y="0"/>
                      <a:ext cx="3920443" cy="2835003"/>
                    </a:xfrm>
                    <a:prstGeom prst="rect">
                      <a:avLst/>
                    </a:prstGeom>
                  </pic:spPr>
                </pic:pic>
              </a:graphicData>
            </a:graphic>
          </wp:inline>
        </w:drawing>
      </w:r>
      <w:bookmarkStart w:id="10" w:name="OLE_LINK5"/>
    </w:p>
    <w:p w14:paraId="099FEAD7" w14:textId="77777777" w:rsidR="00841C25" w:rsidRPr="00466706" w:rsidRDefault="00841C25" w:rsidP="00466706">
      <w:pPr>
        <w:spacing w:before="120" w:after="240" w:line="220" w:lineRule="exact"/>
        <w:ind w:left="1134" w:right="1134" w:firstLine="170"/>
        <w:rPr>
          <w:sz w:val="18"/>
          <w:szCs w:val="18"/>
        </w:rPr>
      </w:pPr>
      <w:r w:rsidRPr="00466706">
        <w:rPr>
          <w:i/>
          <w:iCs/>
          <w:sz w:val="18"/>
          <w:szCs w:val="18"/>
        </w:rPr>
        <w:t>Источник</w:t>
      </w:r>
      <w:r w:rsidRPr="00466706">
        <w:rPr>
          <w:sz w:val="18"/>
          <w:szCs w:val="18"/>
        </w:rPr>
        <w:t>: Австралийское бюро статистики, 2020 год.</w:t>
      </w:r>
    </w:p>
    <w:bookmarkEnd w:id="10"/>
    <w:p w14:paraId="5700F812" w14:textId="44CDDE9A" w:rsidR="00841C25" w:rsidRPr="008F3942" w:rsidRDefault="00841C25" w:rsidP="00841C25">
      <w:pPr>
        <w:pStyle w:val="SingleTxtG"/>
      </w:pPr>
      <w:r>
        <w:t>32.</w:t>
      </w:r>
      <w:r>
        <w:tab/>
        <w:t>Население Австралии стареет; в 2022 году доля жителей страны в возрасте 65</w:t>
      </w:r>
      <w:r w:rsidR="00466706">
        <w:t> </w:t>
      </w:r>
      <w:r>
        <w:t>лет и старше составляла 16 процентов (4 млн человек), и, по прогнозам, в 2066 году этот показатель вырастет до 21–23 процентов</w:t>
      </w:r>
      <w:r w:rsidRPr="00E0204C">
        <w:rPr>
          <w:rStyle w:val="aa"/>
        </w:rPr>
        <w:footnoteReference w:id="27"/>
      </w:r>
      <w:r>
        <w:t>. За последние 20 лет число людей в возрасте 85 лет и старше увеличилось на 91 процент</w:t>
      </w:r>
      <w:r w:rsidRPr="00E0204C">
        <w:rPr>
          <w:rStyle w:val="aa"/>
        </w:rPr>
        <w:footnoteReference w:id="28"/>
      </w:r>
      <w:r>
        <w:t xml:space="preserve">. Старение населения было определено в качестве одной из самых важных будущих проблем для Австралии, имеющей особые последствия для здравоохранения, ухода за престарелыми, жилья и квалифицированной рабочей силы. </w:t>
      </w:r>
    </w:p>
    <w:p w14:paraId="5B39ACB2" w14:textId="700F21C7" w:rsidR="00841C25" w:rsidRPr="008F3942" w:rsidRDefault="00841C25" w:rsidP="00841C25">
      <w:pPr>
        <w:pStyle w:val="SingleTxtG"/>
      </w:pPr>
      <w:r>
        <w:t>33.</w:t>
      </w:r>
      <w:r>
        <w:tab/>
        <w:t>По данным переписи 2021 года, большинство австралийцев живут в частных жилищах, обычно занимаемых одной семьей (70,5 процента) или отдельно проживающими лицами (25,6 процента)</w:t>
      </w:r>
      <w:r w:rsidRPr="00E0204C">
        <w:rPr>
          <w:rStyle w:val="aa"/>
        </w:rPr>
        <w:footnoteReference w:id="29"/>
      </w:r>
      <w:r>
        <w:t>. Среднее число людей в домохозяйстве выше в домохозяйствах аборигенов и/или жителей островов Торресова пролива (3,1</w:t>
      </w:r>
      <w:r w:rsidR="00466706">
        <w:t> </w:t>
      </w:r>
      <w:r>
        <w:t>человека на домохозяйство), чем в домохозяйствах, состоящих из представителей некоренного населения</w:t>
      </w:r>
      <w:r w:rsidRPr="00E0204C">
        <w:rPr>
          <w:rStyle w:val="aa"/>
        </w:rPr>
        <w:footnoteReference w:id="30"/>
      </w:r>
      <w:r>
        <w:t>.</w:t>
      </w:r>
    </w:p>
    <w:p w14:paraId="4EA3008E" w14:textId="3FB86D75" w:rsidR="00841C25" w:rsidRPr="008F3942" w:rsidRDefault="00841C25" w:rsidP="00841C25">
      <w:pPr>
        <w:pStyle w:val="SingleTxtG"/>
      </w:pPr>
      <w:r>
        <w:t>34.</w:t>
      </w:r>
      <w:r>
        <w:tab/>
        <w:t xml:space="preserve">Данные переписи 2021 года показывают, что состав австралийских семей за последние 25 лет значительно изменился. Хотя семейные пары, живущие с детьми, </w:t>
      </w:r>
      <w:r w:rsidR="00E60A05">
        <w:br/>
      </w:r>
      <w:r>
        <w:t>по-прежнему являются наиболее распространенной структурой семьи и составляют 53</w:t>
      </w:r>
      <w:r w:rsidR="00466706">
        <w:t> </w:t>
      </w:r>
      <w:r>
        <w:t xml:space="preserve">процента, их количество снизилось по сравнению с 1996 годом, когда доля таких пар составляла 54 процента, а доля пар без проживающих с ними детей и неполных </w:t>
      </w:r>
      <w:r>
        <w:lastRenderedPageBreak/>
        <w:t>семей увеличилась (соответственно с 32 процентов до 47 процентов и с 15 процентов до 16 процентов)</w:t>
      </w:r>
      <w:r w:rsidRPr="00E0204C">
        <w:rPr>
          <w:rStyle w:val="aa"/>
        </w:rPr>
        <w:footnoteReference w:id="31"/>
      </w:r>
      <w:r>
        <w:t>. В 2021 году 80 процентов домохозяйств с одним родителем возглавляли женщины</w:t>
      </w:r>
      <w:r w:rsidRPr="00E0204C">
        <w:rPr>
          <w:rStyle w:val="aa"/>
        </w:rPr>
        <w:footnoteReference w:id="32"/>
      </w:r>
      <w:r>
        <w:t>. После принятия в 2017 году поправок к Закону о браке 1961</w:t>
      </w:r>
      <w:r w:rsidR="00466706">
        <w:t> </w:t>
      </w:r>
      <w:r>
        <w:t>года, установивших равноправие супругов, в ходе переписи населения 2021 года было зарегистрировано около 25 000 однополых браков.</w:t>
      </w:r>
    </w:p>
    <w:p w14:paraId="5E5923E5" w14:textId="61158ED1" w:rsidR="00841C25" w:rsidRPr="008F3942" w:rsidRDefault="00466706" w:rsidP="00841C25">
      <w:pPr>
        <w:pStyle w:val="H23G"/>
      </w:pPr>
      <w:r>
        <w:tab/>
      </w:r>
      <w:r w:rsidR="00841C25">
        <w:t>5.</w:t>
      </w:r>
      <w:r w:rsidR="00841C25">
        <w:tab/>
      </w:r>
      <w:r w:rsidR="00841C25">
        <w:rPr>
          <w:bCs/>
        </w:rPr>
        <w:t>Демографические, экономические, социальные и культурные особенности</w:t>
      </w:r>
    </w:p>
    <w:p w14:paraId="1CC30001" w14:textId="77777777" w:rsidR="00841C25" w:rsidRPr="008F3942" w:rsidRDefault="00841C25" w:rsidP="00841C25">
      <w:pPr>
        <w:pStyle w:val="H4G"/>
      </w:pPr>
      <w:r>
        <w:tab/>
      </w:r>
      <w:r>
        <w:tab/>
      </w:r>
      <w:r>
        <w:rPr>
          <w:iCs/>
        </w:rPr>
        <w:t>Доходы и расходы</w:t>
      </w:r>
    </w:p>
    <w:p w14:paraId="7FE3EAD8" w14:textId="4FB81C5F" w:rsidR="00841C25" w:rsidRPr="008F3942" w:rsidRDefault="00841C25" w:rsidP="00841C25">
      <w:pPr>
        <w:pStyle w:val="SingleTxtG"/>
      </w:pPr>
      <w:r>
        <w:t>35.</w:t>
      </w:r>
      <w:r>
        <w:tab/>
        <w:t>По данным переписи населения 2021 года, средний еженедельный личный доход австралийцев в возрасте 15 лет и старше составлял 805 долл</w:t>
      </w:r>
      <w:r w:rsidR="00E22999">
        <w:t>аров</w:t>
      </w:r>
      <w:r w:rsidRPr="00E0204C">
        <w:rPr>
          <w:rStyle w:val="aa"/>
        </w:rPr>
        <w:footnoteReference w:id="33"/>
      </w:r>
      <w:r>
        <w:t>. Подробные данные об экономическом благосостоянии австралийцев включаются в документ АСБ, который называется «Обследование доходов и домохозяйств» (последние результаты имеются за 2019</w:t>
      </w:r>
      <w:r w:rsidR="003D78B6">
        <w:t>/</w:t>
      </w:r>
      <w:r>
        <w:t>20 год). В 2019</w:t>
      </w:r>
      <w:r w:rsidR="00466706">
        <w:t>/2</w:t>
      </w:r>
      <w:r>
        <w:t xml:space="preserve">0 году медианный еженедельный валовой доход домохозяйств составлял 1786 долл., а медианный еженедельный эквивалентный располагаемый доход домохозяйств (ЭРДД) </w:t>
      </w:r>
      <w:r w:rsidRPr="00600AFB">
        <w:t>—</w:t>
      </w:r>
      <w:r>
        <w:t xml:space="preserve"> 959 долл</w:t>
      </w:r>
      <w:r w:rsidR="00E22999">
        <w:t>аров</w:t>
      </w:r>
      <w:r w:rsidRPr="00E0204C">
        <w:rPr>
          <w:rStyle w:val="aa"/>
        </w:rPr>
        <w:footnoteReference w:id="34"/>
      </w:r>
      <w:r>
        <w:t>. Домохозяйства, относящиеся к квинтилю самых высоких доходов, получают 40 процентов от общего дохода</w:t>
      </w:r>
      <w:r w:rsidRPr="00E0204C">
        <w:rPr>
          <w:rStyle w:val="aa"/>
        </w:rPr>
        <w:footnoteReference w:id="35"/>
      </w:r>
      <w:r>
        <w:t>. Коэффициент Джини для эквивалентного располагаемого дохода домохозяйств составил 0,324</w:t>
      </w:r>
      <w:r w:rsidRPr="00E0204C">
        <w:rPr>
          <w:rStyle w:val="aa"/>
        </w:rPr>
        <w:footnoteReference w:id="36"/>
      </w:r>
      <w:r>
        <w:t>. Распределение богатства является более неравномерным, чем распределение доходов: к высшему квинтилю относятся 63</w:t>
      </w:r>
      <w:r w:rsidR="00466706">
        <w:t> </w:t>
      </w:r>
      <w:r>
        <w:t>процента общего богатства домохозяйств</w:t>
      </w:r>
      <w:r w:rsidRPr="00E0204C">
        <w:rPr>
          <w:rStyle w:val="aa"/>
        </w:rPr>
        <w:footnoteReference w:id="37"/>
      </w:r>
      <w:r>
        <w:t>. В 2019</w:t>
      </w:r>
      <w:bookmarkStart w:id="11" w:name="_Hlk170713174"/>
      <w:r w:rsidR="00466706">
        <w:t>/</w:t>
      </w:r>
      <w:bookmarkEnd w:id="11"/>
      <w:r>
        <w:t>20 году коэффициент Джини составил 0,611 для чистой стоимости имущества домохозяйств и 0,436 для валового дохода домохозяйств</w:t>
      </w:r>
      <w:r w:rsidRPr="00E0204C">
        <w:rPr>
          <w:rStyle w:val="aa"/>
        </w:rPr>
        <w:footnoteReference w:id="38"/>
      </w:r>
      <w:r>
        <w:t>.</w:t>
      </w:r>
    </w:p>
    <w:p w14:paraId="65B5616B" w14:textId="77777777" w:rsidR="00841C25" w:rsidRPr="008F3942" w:rsidRDefault="00841C25" w:rsidP="00841C25">
      <w:pPr>
        <w:pStyle w:val="SingleTxtG"/>
      </w:pPr>
      <w:r w:rsidRPr="008F3942">
        <w:br w:type="page"/>
      </w:r>
    </w:p>
    <w:p w14:paraId="7A6736EF" w14:textId="642E34DB" w:rsidR="00841C25" w:rsidRPr="008F3942" w:rsidRDefault="00841C25" w:rsidP="00841C25">
      <w:pPr>
        <w:pStyle w:val="SingleTxtG"/>
        <w:spacing w:after="240"/>
      </w:pPr>
      <w:r>
        <w:lastRenderedPageBreak/>
        <w:t>36.</w:t>
      </w:r>
      <w:r>
        <w:tab/>
        <w:t>График: доля ЭРДД и чистой стоимости имущества по квинтилям в 2019</w:t>
      </w:r>
      <w:r w:rsidR="00466706">
        <w:t>/</w:t>
      </w:r>
      <w:r>
        <w:t>20</w:t>
      </w:r>
      <w:r w:rsidR="00E0204C">
        <w:t xml:space="preserve"> </w:t>
      </w:r>
      <w:r>
        <w:t>году</w:t>
      </w:r>
    </w:p>
    <w:p w14:paraId="64B372B2" w14:textId="77777777" w:rsidR="00841C25" w:rsidRPr="00D62FAA" w:rsidRDefault="00841C25" w:rsidP="00841C25">
      <w:pPr>
        <w:pStyle w:val="SingleTxtG"/>
      </w:pPr>
      <w:r w:rsidRPr="00D62FAA">
        <w:rPr>
          <w:noProof/>
        </w:rPr>
        <w:drawing>
          <wp:inline distT="0" distB="0" distL="0" distR="0" wp14:anchorId="486564CA" wp14:editId="74D877CA">
            <wp:extent cx="4566316" cy="3005593"/>
            <wp:effectExtent l="0" t="0" r="5715" b="4445"/>
            <wp:docPr id="1787618300" name="Picture 1787618300" descr="A graph of income and w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618300" name="Picture 1787618300" descr="A graph of income and wealth&#10;&#10;Description automatically generated"/>
                    <pic:cNvPicPr/>
                  </pic:nvPicPr>
                  <pic:blipFill rotWithShape="1">
                    <a:blip r:embed="rId14"/>
                    <a:srcRect t="7258"/>
                    <a:stretch/>
                  </pic:blipFill>
                  <pic:spPr bwMode="auto">
                    <a:xfrm>
                      <a:off x="0" y="0"/>
                      <a:ext cx="4580458" cy="3014901"/>
                    </a:xfrm>
                    <a:prstGeom prst="rect">
                      <a:avLst/>
                    </a:prstGeom>
                    <a:ln>
                      <a:noFill/>
                    </a:ln>
                    <a:extLst>
                      <a:ext uri="{53640926-AAD7-44D8-BBD7-CCE9431645EC}">
                        <a14:shadowObscured xmlns:a14="http://schemas.microsoft.com/office/drawing/2010/main"/>
                      </a:ext>
                    </a:extLst>
                  </pic:spPr>
                </pic:pic>
              </a:graphicData>
            </a:graphic>
          </wp:inline>
        </w:drawing>
      </w:r>
    </w:p>
    <w:p w14:paraId="53440AE1" w14:textId="5774778A" w:rsidR="00841C25" w:rsidRPr="008F3942" w:rsidRDefault="00841C25" w:rsidP="00841C25">
      <w:pPr>
        <w:pStyle w:val="SingleTxtG"/>
        <w:spacing w:before="240"/>
      </w:pPr>
      <w:r>
        <w:t>37.</w:t>
      </w:r>
      <w:r>
        <w:tab/>
        <w:t>Три четверти австралийских домохозяйств (75 процентов) имеют долги, а у 30</w:t>
      </w:r>
      <w:r w:rsidR="00466706">
        <w:t> </w:t>
      </w:r>
      <w:r>
        <w:t>процентов долг в три и более раз превышает их доход</w:t>
      </w:r>
      <w:r w:rsidRPr="00E0204C">
        <w:rPr>
          <w:rStyle w:val="aa"/>
        </w:rPr>
        <w:footnoteReference w:id="39"/>
      </w:r>
      <w:r>
        <w:t>. За последнее десятилетие рост стоимости недвижимости и низкие процентные ставки в сочетании с минимальным ростом реальных доходов способствовали увеличению чрезмерной задолженности.</w:t>
      </w:r>
    </w:p>
    <w:p w14:paraId="74622902" w14:textId="33201F2E" w:rsidR="00841C25" w:rsidRPr="008F3942" w:rsidRDefault="00841C25" w:rsidP="00841C25">
      <w:pPr>
        <w:pStyle w:val="SingleTxtG"/>
      </w:pPr>
      <w:r>
        <w:t>38.</w:t>
      </w:r>
      <w:r>
        <w:tab/>
        <w:t>В 2015</w:t>
      </w:r>
      <w:r w:rsidR="003D78B6">
        <w:t>/</w:t>
      </w:r>
      <w:r>
        <w:t>16 году расходы на жилье составляли 30 процентов еженедельных расходов домохозяйств на товары и услуги (приложение 1, таблица A4). Другие основные расходы включают продукты питания и безалкогольные напитки (17</w:t>
      </w:r>
      <w:r w:rsidR="00466706">
        <w:t> </w:t>
      </w:r>
      <w:r>
        <w:t>процентов), транспорт (15 процентов) и медицину и здравоохранение (6</w:t>
      </w:r>
      <w:r w:rsidR="00466706">
        <w:t> </w:t>
      </w:r>
      <w:r>
        <w:t>процентов)</w:t>
      </w:r>
      <w:r w:rsidRPr="00E0204C">
        <w:rPr>
          <w:rStyle w:val="aa"/>
        </w:rPr>
        <w:footnoteReference w:id="40"/>
      </w:r>
      <w:r>
        <w:t>. В период с 2009</w:t>
      </w:r>
      <w:r w:rsidR="003D78B6">
        <w:t>/</w:t>
      </w:r>
      <w:r>
        <w:t>10 по 2015</w:t>
      </w:r>
      <w:r w:rsidR="003D78B6">
        <w:t>/</w:t>
      </w:r>
      <w:r>
        <w:t xml:space="preserve">16 годы расходы домохозяйств на образование увеличились больше всего; это увеличение составило 44 процента </w:t>
      </w:r>
      <w:r w:rsidRPr="00600AFB">
        <w:t>—</w:t>
      </w:r>
      <w:r>
        <w:t xml:space="preserve"> </w:t>
      </w:r>
      <w:r w:rsidR="00466706">
        <w:br/>
      </w:r>
      <w:r>
        <w:t>с 31 долл. в неделю до 44 долл</w:t>
      </w:r>
      <w:r w:rsidR="000C491C">
        <w:t>аров</w:t>
      </w:r>
      <w:r>
        <w:t>. В пересчете на доллары, без поправки на инфляцию, средние расходы домохозяйств на предметы первой необходимости увеличились с 718</w:t>
      </w:r>
      <w:r w:rsidR="00466706">
        <w:t> </w:t>
      </w:r>
      <w:r>
        <w:t>долл. в 2009</w:t>
      </w:r>
      <w:r w:rsidR="003D78B6">
        <w:t>/</w:t>
      </w:r>
      <w:r>
        <w:t>10 году до 846 долл. в 2015</w:t>
      </w:r>
      <w:r w:rsidR="003D78B6">
        <w:t>/</w:t>
      </w:r>
      <w:r>
        <w:t>16 году.</w:t>
      </w:r>
    </w:p>
    <w:p w14:paraId="74CC38AB" w14:textId="7258FDBA" w:rsidR="00841C25" w:rsidRPr="008F3942" w:rsidRDefault="00841C25" w:rsidP="00841C25">
      <w:pPr>
        <w:pStyle w:val="SingleTxtG"/>
      </w:pPr>
      <w:r>
        <w:t>39.</w:t>
      </w:r>
      <w:r>
        <w:tab/>
        <w:t>По данным общего социального обследования, в 2020 году 19 процентов семей не могли собрать 2000 долл. в течение недели на что-то важное; и 21 процент испытывали проблему с наличными средствами в течение предыдущих 12 месяцев</w:t>
      </w:r>
      <w:r w:rsidRPr="00E0204C">
        <w:rPr>
          <w:rStyle w:val="aa"/>
        </w:rPr>
        <w:footnoteReference w:id="41"/>
      </w:r>
      <w:r>
        <w:t>.</w:t>
      </w:r>
    </w:p>
    <w:p w14:paraId="59A6FD91" w14:textId="77777777" w:rsidR="00841C25" w:rsidRPr="008F3942" w:rsidRDefault="00841C25" w:rsidP="00841C25">
      <w:pPr>
        <w:pStyle w:val="H4G"/>
      </w:pPr>
      <w:r>
        <w:tab/>
      </w:r>
      <w:r>
        <w:tab/>
      </w:r>
      <w:r>
        <w:rPr>
          <w:iCs/>
        </w:rPr>
        <w:t>Уровень участия в рабочей силе</w:t>
      </w:r>
    </w:p>
    <w:p w14:paraId="765A90D8" w14:textId="60F49B52" w:rsidR="00841C25" w:rsidRPr="008F3942" w:rsidRDefault="00841C25" w:rsidP="00841C25">
      <w:pPr>
        <w:pStyle w:val="SingleTxtG"/>
      </w:pPr>
      <w:r>
        <w:t>40.</w:t>
      </w:r>
      <w:r>
        <w:tab/>
        <w:t>По состоянию на июнь 2023 года уровень участия в рабочей силе составлял 66,8</w:t>
      </w:r>
      <w:r w:rsidR="00466706">
        <w:t> </w:t>
      </w:r>
      <w:r>
        <w:t>процента (71,3 процента для мужчин и 62,7 процента для женщин), а уровень занятости увеличился до 14 046 100 человек после значительных изменений по месяцам в период с марта 2020 года по ноябрь 2021 года, вызванных пандемией COVID-19</w:t>
      </w:r>
      <w:r w:rsidRPr="00E0204C">
        <w:rPr>
          <w:rStyle w:val="aa"/>
        </w:rPr>
        <w:footnoteReference w:id="42"/>
      </w:r>
      <w:r>
        <w:t>.</w:t>
      </w:r>
    </w:p>
    <w:p w14:paraId="0B73A143" w14:textId="0A9934CB" w:rsidR="00841C25" w:rsidRPr="008F3942" w:rsidRDefault="00841C25" w:rsidP="00841C25">
      <w:pPr>
        <w:pStyle w:val="SingleTxtG"/>
        <w:rPr>
          <w:rFonts w:eastAsia="Calibri"/>
        </w:rPr>
      </w:pPr>
      <w:r>
        <w:t>41.</w:t>
      </w:r>
      <w:r>
        <w:tab/>
        <w:t>В июне 2023 года уровень безработицы оставался на уровне 3,5 процента (3,6</w:t>
      </w:r>
      <w:r w:rsidR="00466706">
        <w:t> </w:t>
      </w:r>
      <w:r>
        <w:t xml:space="preserve">процента для мужчин и 3,4 процента для женщин), при этом уровень безработицы </w:t>
      </w:r>
      <w:r>
        <w:lastRenderedPageBreak/>
        <w:t>среди молодежи (в возрасте 15</w:t>
      </w:r>
      <w:r w:rsidRPr="00543EC3">
        <w:t>–</w:t>
      </w:r>
      <w:r>
        <w:t>24 лет) вырос до 7,8 процента, что ниже пикового значения в 16,6 процента в июле 2020 года и уровня непосредственно перед началом пандемии COVID-19 (11,6 процента в марте 2020 года)</w:t>
      </w:r>
      <w:r w:rsidRPr="00E0204C">
        <w:rPr>
          <w:rStyle w:val="aa"/>
        </w:rPr>
        <w:footnoteReference w:id="43"/>
      </w:r>
      <w:r>
        <w:t>.</w:t>
      </w:r>
      <w:bookmarkStart w:id="12" w:name="_Hlk142649167"/>
      <w:bookmarkEnd w:id="12"/>
    </w:p>
    <w:p w14:paraId="6DFE454E" w14:textId="1A1FAD59" w:rsidR="00841C25" w:rsidRPr="008F3942" w:rsidRDefault="00841C25" w:rsidP="00841C25">
      <w:pPr>
        <w:pStyle w:val="SingleTxtG"/>
        <w:rPr>
          <w:rFonts w:eastAsia="Calibri"/>
        </w:rPr>
      </w:pPr>
      <w:r>
        <w:t>42.</w:t>
      </w:r>
      <w:r>
        <w:tab/>
        <w:t>В мае 2023 года крупнейшими областями занятости в Австралии были здравоохранение и социальная помощь (15,3 процента работников), за ними следовали профессиональные, научные и технические услуги (9,5 процента), строительство (9,4</w:t>
      </w:r>
      <w:r w:rsidR="00466706">
        <w:t> </w:t>
      </w:r>
      <w:r>
        <w:t>процента) и розничная торговля (9,3 процента), а также образование и подготовка (8,4 процента)</w:t>
      </w:r>
      <w:r w:rsidRPr="00E0204C">
        <w:rPr>
          <w:rStyle w:val="aa"/>
        </w:rPr>
        <w:footnoteReference w:id="44"/>
      </w:r>
      <w:r>
        <w:t>.</w:t>
      </w:r>
    </w:p>
    <w:p w14:paraId="4EB5A37E" w14:textId="5B0AB67D" w:rsidR="00841C25" w:rsidRPr="008F3942" w:rsidRDefault="00841C25" w:rsidP="00841C25">
      <w:pPr>
        <w:pStyle w:val="SingleTxtG"/>
      </w:pPr>
      <w:r>
        <w:t>43.</w:t>
      </w:r>
      <w:r>
        <w:tab/>
        <w:t xml:space="preserve">В 2021 году доля аборигенов и жителей островов Торресова пролива в возрасте 15–24 лет, которые работали, учились или приобретали профессиональные навыки, составляла 58,0 процента, а доля работающих аборигенов и жителей островов Торресова пролива в возрасте 25–64 лет </w:t>
      </w:r>
      <w:r w:rsidRPr="00543EC3">
        <w:t>—</w:t>
      </w:r>
      <w:r>
        <w:t xml:space="preserve"> 55,7 процента</w:t>
      </w:r>
      <w:r w:rsidRPr="00E0204C">
        <w:rPr>
          <w:rStyle w:val="aa"/>
        </w:rPr>
        <w:footnoteReference w:id="45"/>
      </w:r>
      <w:r>
        <w:t>. Учитывая динамичный характер рынка труда, АCБ ежемесячно публикует обновленную статистику, причем данные за июнь 2023 года являлись самыми свежими на момент составления доклада</w:t>
      </w:r>
      <w:r w:rsidRPr="00E0204C">
        <w:rPr>
          <w:rStyle w:val="aa"/>
        </w:rPr>
        <w:footnoteReference w:id="46"/>
      </w:r>
      <w:r>
        <w:t>.</w:t>
      </w:r>
    </w:p>
    <w:p w14:paraId="294DF0D1" w14:textId="77777777" w:rsidR="00841C25" w:rsidRPr="008F3942" w:rsidRDefault="00841C25" w:rsidP="00841C25">
      <w:pPr>
        <w:pStyle w:val="SingleTxtG"/>
      </w:pPr>
      <w:r>
        <w:t>44.</w:t>
      </w:r>
      <w:r>
        <w:tab/>
        <w:t>В августе 2022 года 12,5 процента опрошенных работников заявили, что они являются членами профсоюзов, хотя этот показатель варьировался в зависимости от отрасли, при этом самый высокий уровень членства в профсоюзах был отмечен в сфере образования и профессиональной подготовки (30 процентов) и в профессиональных группах (19 процентов)</w:t>
      </w:r>
      <w:r w:rsidRPr="00E0204C">
        <w:rPr>
          <w:rStyle w:val="aa"/>
        </w:rPr>
        <w:footnoteReference w:id="47"/>
      </w:r>
      <w:r>
        <w:t>.</w:t>
      </w:r>
    </w:p>
    <w:p w14:paraId="2E1C45D0" w14:textId="77777777" w:rsidR="00841C25" w:rsidRPr="008F3942" w:rsidRDefault="00841C25" w:rsidP="00841C25">
      <w:pPr>
        <w:pStyle w:val="H4G"/>
      </w:pPr>
      <w:r>
        <w:tab/>
      </w:r>
      <w:r>
        <w:tab/>
      </w:r>
      <w:r>
        <w:rPr>
          <w:iCs/>
        </w:rPr>
        <w:t>Образование</w:t>
      </w:r>
    </w:p>
    <w:p w14:paraId="0DAF05C5" w14:textId="2EEBAE91" w:rsidR="00841C25" w:rsidRPr="008F3942" w:rsidRDefault="00841C25" w:rsidP="00841C25">
      <w:pPr>
        <w:pStyle w:val="SingleTxtG"/>
      </w:pPr>
      <w:r>
        <w:t>45.</w:t>
      </w:r>
      <w:r>
        <w:tab/>
        <w:t>В Австралии образование предоставляют государственные и негосударственные школы (в том числе религиозные и независимые); большинство учащихся (65,1 процента) посещают государственные школы</w:t>
      </w:r>
      <w:r w:rsidRPr="00E0204C">
        <w:rPr>
          <w:rStyle w:val="aa"/>
        </w:rPr>
        <w:footnoteReference w:id="48"/>
      </w:r>
      <w:r>
        <w:t xml:space="preserve">. Учащиеся должны получать формальное образование в возрасте от </w:t>
      </w:r>
      <w:r w:rsidR="000C491C">
        <w:t>5</w:t>
      </w:r>
      <w:r>
        <w:t xml:space="preserve"> или </w:t>
      </w:r>
      <w:r w:rsidR="000C491C">
        <w:t xml:space="preserve">6 </w:t>
      </w:r>
      <w:r>
        <w:t>лет до 17 или 18 лет (это</w:t>
      </w:r>
      <w:r w:rsidR="000C491C">
        <w:t> </w:t>
      </w:r>
      <w:r>
        <w:t xml:space="preserve">зависит от штата). Государственные школы получают большую часть государственного финансирования от правительства штата или территории, а часть средств </w:t>
      </w:r>
      <w:r w:rsidRPr="00543EC3">
        <w:t>—</w:t>
      </w:r>
      <w:r>
        <w:t xml:space="preserve"> от правительства Австралии. Семьи, как правило, должны оплачивать школьную форму, учебники и другие расходы.</w:t>
      </w:r>
    </w:p>
    <w:p w14:paraId="0E7D1BCE" w14:textId="77777777" w:rsidR="00841C25" w:rsidRPr="008F3942" w:rsidRDefault="00841C25" w:rsidP="00841C25">
      <w:pPr>
        <w:pStyle w:val="SingleTxtG"/>
      </w:pPr>
      <w:r>
        <w:t>46.</w:t>
      </w:r>
      <w:r>
        <w:tab/>
        <w:t>В 2021 году соотношение между числом учащихся и числом преподавателей в эквиваленте полного рабочего дня в Австралии составляло 14,5 в начальных школах (14,4 в государственных и 14,8 в негосударственных) и 11,9 в средних школах (12,4 в государственных и 11,3 в негосударственных)</w:t>
      </w:r>
      <w:r w:rsidRPr="00E0204C">
        <w:rPr>
          <w:rStyle w:val="aa"/>
        </w:rPr>
        <w:footnoteReference w:id="49"/>
      </w:r>
      <w:r>
        <w:t>. В 2022 году среднее соотношение между числом учащихся и числом преподавателей во всех школах составляло 13,1</w:t>
      </w:r>
      <w:r w:rsidRPr="00E0204C">
        <w:rPr>
          <w:rStyle w:val="aa"/>
        </w:rPr>
        <w:footnoteReference w:id="50"/>
      </w:r>
      <w:r>
        <w:t>.</w:t>
      </w:r>
    </w:p>
    <w:p w14:paraId="70A05B04" w14:textId="77777777" w:rsidR="00841C25" w:rsidRPr="008F3942" w:rsidRDefault="00841C25" w:rsidP="00841C25">
      <w:pPr>
        <w:pStyle w:val="SingleTxtG"/>
      </w:pPr>
      <w:r>
        <w:t>47.</w:t>
      </w:r>
      <w:r>
        <w:tab/>
        <w:t>Доля населения в возрасте 6–15 лет, посещающего школу (99,3 процента)</w:t>
      </w:r>
      <w:r w:rsidRPr="00E0204C">
        <w:rPr>
          <w:rStyle w:val="aa"/>
        </w:rPr>
        <w:footnoteReference w:id="51"/>
      </w:r>
      <w:r>
        <w:t>, посещаемость в школах (71,2 процента учащихся 1</w:t>
      </w:r>
      <w:r w:rsidRPr="00543EC3">
        <w:t>–</w:t>
      </w:r>
      <w:r>
        <w:t xml:space="preserve">10 классов имеют показатель посещаемости на уровне 90 процентов или выше) и очевидный показатель удержания </w:t>
      </w:r>
      <w:r>
        <w:lastRenderedPageBreak/>
        <w:t>в школах учащихся (81,6 процента в 10</w:t>
      </w:r>
      <w:r w:rsidRPr="00543EC3">
        <w:t>–</w:t>
      </w:r>
      <w:r>
        <w:t xml:space="preserve">12 классах) </w:t>
      </w:r>
      <w:r w:rsidRPr="00543EC3">
        <w:t>—</w:t>
      </w:r>
      <w:r>
        <w:t xml:space="preserve"> все эти показатели являются высокими</w:t>
      </w:r>
      <w:r w:rsidRPr="00E0204C">
        <w:rPr>
          <w:rStyle w:val="aa"/>
        </w:rPr>
        <w:footnoteReference w:id="52"/>
      </w:r>
      <w:r>
        <w:t>.</w:t>
      </w:r>
    </w:p>
    <w:p w14:paraId="52D09699" w14:textId="77777777" w:rsidR="00841C25" w:rsidRPr="008F3942" w:rsidRDefault="00841C25" w:rsidP="00841C25">
      <w:pPr>
        <w:pStyle w:val="SingleTxtG"/>
      </w:pPr>
      <w:r>
        <w:t>48.</w:t>
      </w:r>
      <w:r>
        <w:tab/>
        <w:t>Показатели успеваемости также являются также высокими: более 90 процентов учащихся соответствуют минимальным национальным требованиям в отношении грамотности и счета в 3, 5, 7 и 9 классах или превышают их</w:t>
      </w:r>
      <w:r w:rsidRPr="00E0204C">
        <w:rPr>
          <w:rStyle w:val="aa"/>
        </w:rPr>
        <w:footnoteReference w:id="53"/>
      </w:r>
      <w:r>
        <w:t>. В отношении убеждающего/повествовательного письма показатели снижаются с 97 процентов в третьем классе до 82 процентов в девятом</w:t>
      </w:r>
      <w:r w:rsidRPr="00E0204C">
        <w:rPr>
          <w:rStyle w:val="aa"/>
        </w:rPr>
        <w:footnoteReference w:id="54"/>
      </w:r>
      <w:r>
        <w:t>. В 2016 году 81 процент австралийских учащихся четвертого класса владели навыками чтения на уровне международного стандарта или превышали его по сравнению с 76 процентами в 2011 году</w:t>
      </w:r>
      <w:r w:rsidRPr="00E0204C">
        <w:rPr>
          <w:rStyle w:val="aa"/>
        </w:rPr>
        <w:footnoteReference w:id="55"/>
      </w:r>
      <w:r>
        <w:t>. Данные о сравнении показателей успеваемости учащихся из числа аборигенов и жителей островов Торресова пролива и некоренных учащихся приводятся в ежегодном докладе «Ликвидация неравенства»</w:t>
      </w:r>
      <w:r w:rsidRPr="00E0204C">
        <w:rPr>
          <w:rStyle w:val="aa"/>
        </w:rPr>
        <w:footnoteReference w:id="56"/>
      </w:r>
      <w:r>
        <w:t xml:space="preserve">. </w:t>
      </w:r>
    </w:p>
    <w:p w14:paraId="272E4606" w14:textId="77777777" w:rsidR="00841C25" w:rsidRPr="008F3942" w:rsidRDefault="00841C25" w:rsidP="00841C25">
      <w:pPr>
        <w:pStyle w:val="SingleTxtG"/>
      </w:pPr>
      <w:r>
        <w:t>49.</w:t>
      </w:r>
      <w:r>
        <w:tab/>
        <w:t xml:space="preserve">В 2021 году в стране насчитывалось 1 162 260 студентов, обучающихся в высших учебных заведениях. С 2011 года количество студентов бакалавриата увеличилось на 29,9 процента. Число студентов, постоянно проживающих в отдаленных областях или районах, увеличилось на 14,0 процента, студентов с низким социально-экономическим статусом </w:t>
      </w:r>
      <w:r w:rsidRPr="00A87B90">
        <w:t>—</w:t>
      </w:r>
      <w:r>
        <w:t xml:space="preserve"> на 43,2 процента, студентов, относящихся к аборигенам и жителям островов Торресова пролива, </w:t>
      </w:r>
      <w:r w:rsidRPr="00A87B90">
        <w:t>—</w:t>
      </w:r>
      <w:r>
        <w:t xml:space="preserve"> на 96,5 процента и студентов с инвалидностью </w:t>
      </w:r>
      <w:r w:rsidRPr="00A87B90">
        <w:t>—</w:t>
      </w:r>
      <w:r>
        <w:t xml:space="preserve"> на 157,9 процента. По оценкам, 43,5 процента австралийцев в возрасте 25–34 лет имеют степень бакалавра или более высокую степень</w:t>
      </w:r>
      <w:r w:rsidRPr="00E0204C">
        <w:rPr>
          <w:rStyle w:val="aa"/>
        </w:rPr>
        <w:footnoteReference w:id="57"/>
      </w:r>
      <w:r>
        <w:t>.</w:t>
      </w:r>
    </w:p>
    <w:p w14:paraId="354110DF" w14:textId="77777777" w:rsidR="00841C25" w:rsidRPr="008F3942" w:rsidRDefault="00841C25" w:rsidP="00841C25">
      <w:pPr>
        <w:pStyle w:val="SingleTxtG"/>
      </w:pPr>
      <w:r>
        <w:t>50.</w:t>
      </w:r>
      <w:r>
        <w:tab/>
        <w:t>В 2022 году в стране 99,2 процента детей аборигенов и жителей островов Торресова пролива в возрастной группе, предшествующей зачислению в школу, были зачислены в дошкольные учреждения</w:t>
      </w:r>
      <w:r w:rsidRPr="00E0204C">
        <w:rPr>
          <w:rStyle w:val="aa"/>
        </w:rPr>
        <w:footnoteReference w:id="58"/>
      </w:r>
      <w:r>
        <w:t>.</w:t>
      </w:r>
    </w:p>
    <w:p w14:paraId="1C3119CC" w14:textId="77777777" w:rsidR="00841C25" w:rsidRPr="008F3942" w:rsidRDefault="00841C25" w:rsidP="00841C25">
      <w:pPr>
        <w:pStyle w:val="SingleTxtG"/>
      </w:pPr>
      <w:r>
        <w:t>51.</w:t>
      </w:r>
      <w:r>
        <w:tab/>
        <w:t>На национальном уровне в 2021 году:</w:t>
      </w:r>
    </w:p>
    <w:p w14:paraId="22B77855" w14:textId="77777777" w:rsidR="00841C25" w:rsidRPr="008F3942" w:rsidRDefault="00841C25" w:rsidP="00841C25">
      <w:pPr>
        <w:pStyle w:val="Bullet1G"/>
        <w:numPr>
          <w:ilvl w:val="0"/>
          <w:numId w:val="22"/>
        </w:numPr>
      </w:pPr>
      <w:r>
        <w:t>34,3 процента детей аборигенов и жителей островов Торресова пролива, начинающих обучение в школе, были оценены как хорошо успевающие во всех пяти областях, оцениваемых при проведении национального обследования результатов раннего развития;</w:t>
      </w:r>
    </w:p>
    <w:p w14:paraId="73902AD2" w14:textId="03ABD640" w:rsidR="00841C25" w:rsidRPr="008F3942" w:rsidRDefault="00841C25" w:rsidP="00841C25">
      <w:pPr>
        <w:pStyle w:val="Bullet1G"/>
        <w:numPr>
          <w:ilvl w:val="0"/>
          <w:numId w:val="22"/>
        </w:numPr>
      </w:pPr>
      <w:r>
        <w:t xml:space="preserve">68,1 процента аборигенов и жителей островов Торресова пролива в возрасте </w:t>
      </w:r>
      <w:r w:rsidR="00466706">
        <w:br/>
      </w:r>
      <w:r>
        <w:t>20–24 лет окончили 12-й или эквивалентный ему класс;</w:t>
      </w:r>
    </w:p>
    <w:p w14:paraId="7CC7A13D" w14:textId="0045BBBD" w:rsidR="00841C25" w:rsidRPr="008F3942" w:rsidRDefault="00841C25" w:rsidP="00841C25">
      <w:pPr>
        <w:pStyle w:val="Bullet1G"/>
        <w:numPr>
          <w:ilvl w:val="0"/>
          <w:numId w:val="22"/>
        </w:numPr>
      </w:pPr>
      <w:r>
        <w:t xml:space="preserve">47,0 процента аборигенов и жителей островов Торресова пролива в возрасте </w:t>
      </w:r>
      <w:r w:rsidR="0097373E">
        <w:br/>
      </w:r>
      <w:r>
        <w:t>25–34 лет прошли внешкольную подготовку для получения квалификации на уровне сертификата III (минимальной квалификации для приема на работу во многие отрасли) или более высокой квалификации</w:t>
      </w:r>
      <w:r w:rsidRPr="00E0204C">
        <w:rPr>
          <w:rStyle w:val="aa"/>
        </w:rPr>
        <w:footnoteReference w:id="59"/>
      </w:r>
      <w:r>
        <w:t>.</w:t>
      </w:r>
    </w:p>
    <w:p w14:paraId="1181912E" w14:textId="77777777" w:rsidR="00841C25" w:rsidRPr="008F3942" w:rsidRDefault="00841C25" w:rsidP="00841C25">
      <w:pPr>
        <w:pStyle w:val="H4G"/>
      </w:pPr>
      <w:r>
        <w:tab/>
      </w:r>
      <w:r>
        <w:tab/>
      </w:r>
      <w:r>
        <w:rPr>
          <w:iCs/>
        </w:rPr>
        <w:t>Здоровье</w:t>
      </w:r>
    </w:p>
    <w:p w14:paraId="32AB5A78" w14:textId="77777777" w:rsidR="00841C25" w:rsidRPr="008F3942" w:rsidRDefault="00841C25" w:rsidP="00841C25">
      <w:pPr>
        <w:pStyle w:val="SingleTxtG"/>
      </w:pPr>
      <w:r>
        <w:t>52.</w:t>
      </w:r>
      <w:r>
        <w:tab/>
        <w:t>В Австралии существует эффективная система здравоохранения, и австралийцы в целом живут долго и отличаются хорошим здоровьем.</w:t>
      </w:r>
    </w:p>
    <w:p w14:paraId="72BA6F61" w14:textId="42E9B7D2" w:rsidR="00841C25" w:rsidRPr="008F3942" w:rsidRDefault="00841C25" w:rsidP="0097373E">
      <w:pPr>
        <w:pStyle w:val="SingleTxtG"/>
        <w:keepNext/>
        <w:keepLines/>
      </w:pPr>
      <w:r>
        <w:lastRenderedPageBreak/>
        <w:t>53.</w:t>
      </w:r>
      <w:r>
        <w:tab/>
        <w:t>В 2022 году в число наиболее распространенных заболеваний входили неинфекционные заболевания, включая рак (17 процентов), за которыми следовали заболевания опорно-двигательного аппарата (13 процентов), сердечно-сосудистые заболевания (12 процентов), психические расстройства и расстройства, связанные с употреблением психоактивных веществ (12 процентов)</w:t>
      </w:r>
      <w:r w:rsidR="000C491C">
        <w:t>,</w:t>
      </w:r>
      <w:r>
        <w:t xml:space="preserve"> и неврологические заболевания (8 процентов), хотя существуют различия в структуре заболеваемости по возрастным группам и полу (приложение 1, рисунок A1)</w:t>
      </w:r>
      <w:r w:rsidRPr="00E0204C">
        <w:rPr>
          <w:rStyle w:val="aa"/>
        </w:rPr>
        <w:footnoteReference w:id="60"/>
      </w:r>
      <w:r>
        <w:t>.</w:t>
      </w:r>
    </w:p>
    <w:p w14:paraId="754FC882" w14:textId="77777777" w:rsidR="00841C25" w:rsidRPr="008F3942" w:rsidRDefault="00841C25" w:rsidP="00841C25">
      <w:pPr>
        <w:pStyle w:val="SingleTxtG"/>
      </w:pPr>
      <w:r>
        <w:t>54.</w:t>
      </w:r>
      <w:r>
        <w:tab/>
        <w:t>Более трети (38 процентов) заболеваний можно было бы предотвратить за счет снижения воздействия поддающихся изменению факторов риска, в число которых входят, в частности, употребление алкоголя и табака, избыточный вес (включая ожирение), риски, связанные с питанием, недостаточная физическая активность и гипертония</w:t>
      </w:r>
      <w:r w:rsidRPr="00E0204C">
        <w:rPr>
          <w:rStyle w:val="aa"/>
        </w:rPr>
        <w:footnoteReference w:id="61"/>
      </w:r>
      <w:r>
        <w:t>.</w:t>
      </w:r>
    </w:p>
    <w:p w14:paraId="10CC0F34" w14:textId="30D11AC1" w:rsidR="00841C25" w:rsidRPr="008F3942" w:rsidRDefault="00841C25" w:rsidP="00841C25">
      <w:pPr>
        <w:pStyle w:val="SingleTxtG"/>
      </w:pPr>
      <w:r>
        <w:t>55.</w:t>
      </w:r>
      <w:r>
        <w:tab/>
        <w:t>В 2022 году инфекционные заболевания составили 4,5 процента от общего числа заболеваний</w:t>
      </w:r>
      <w:r w:rsidRPr="00E0204C">
        <w:rPr>
          <w:rStyle w:val="aa"/>
        </w:rPr>
        <w:footnoteReference w:id="62"/>
      </w:r>
      <w:r>
        <w:t xml:space="preserve">. В 2021 году самые высокие показатели заболеваемости были зарегистрированы в отношении COVID-19 (471 000 случаев), инфекций, передающихся половым путем (например, хламидиоза </w:t>
      </w:r>
      <w:r w:rsidRPr="00A87B90">
        <w:t>—</w:t>
      </w:r>
      <w:r>
        <w:t xml:space="preserve"> 86 000 случаев), желудочно-кишечных заболеваний (например, кампилобактериоза </w:t>
      </w:r>
      <w:r w:rsidRPr="00A87B90">
        <w:t>—</w:t>
      </w:r>
      <w:r>
        <w:t xml:space="preserve"> 37 000 случаев) и вируса, вызывающего ветряную оспу и опоясывающий лишай (Varicella Zoster </w:t>
      </w:r>
      <w:r w:rsidRPr="00A87B90">
        <w:t>—</w:t>
      </w:r>
      <w:r>
        <w:t xml:space="preserve"> </w:t>
      </w:r>
      <w:r w:rsidR="0097373E">
        <w:br/>
      </w:r>
      <w:r>
        <w:t>33 000 случаев)</w:t>
      </w:r>
      <w:r w:rsidRPr="00E0204C">
        <w:rPr>
          <w:rStyle w:val="aa"/>
        </w:rPr>
        <w:footnoteReference w:id="63"/>
      </w:r>
      <w:r>
        <w:t>.</w:t>
      </w:r>
      <w:r w:rsidR="00E0204C">
        <w:t xml:space="preserve"> </w:t>
      </w:r>
      <w:r>
        <w:t>В 2021 году в Австралии было диагностировано 552 новых случая ВИЧ. Показатель выявления ВИЧ-инфекции составил 2,2 на 100 000 жителей, что на 38 процентов меньше, чем в 2019 году</w:t>
      </w:r>
      <w:r w:rsidRPr="00E0204C">
        <w:rPr>
          <w:rStyle w:val="aa"/>
        </w:rPr>
        <w:footnoteReference w:id="64"/>
      </w:r>
      <w:r>
        <w:t>.</w:t>
      </w:r>
    </w:p>
    <w:p w14:paraId="7F6FE79F" w14:textId="53BDE66F" w:rsidR="00841C25" w:rsidRPr="008F3942" w:rsidRDefault="00841C25" w:rsidP="00841C25">
      <w:pPr>
        <w:pStyle w:val="SingleTxtG"/>
      </w:pPr>
      <w:r>
        <w:t>56.</w:t>
      </w:r>
      <w:r>
        <w:tab/>
        <w:t>В Австралии низкий уровень младенческой смертности (3,3 на 1000</w:t>
      </w:r>
      <w:r w:rsidR="0097373E">
        <w:t> </w:t>
      </w:r>
      <w:r>
        <w:t>живорождений в 2021 году), низкое число случаев рождения детей с низкой массой тела</w:t>
      </w:r>
      <w:r w:rsidR="00E0204C">
        <w:t xml:space="preserve"> </w:t>
      </w:r>
      <w:r>
        <w:t>(6,8 процента в 2021 году) (определяемой как вес при рождении менее 2500 граммов), и большинство (92,6 процента) австралийских детей полностью привиты в возрасте двух лет</w:t>
      </w:r>
      <w:r w:rsidRPr="00E0204C">
        <w:rPr>
          <w:rStyle w:val="aa"/>
        </w:rPr>
        <w:footnoteReference w:id="65"/>
      </w:r>
      <w:r>
        <w:t>. В 2020 году в стране 89,0 процента детей аборигенов и жителей островов Торресова пролива имели здоровый вес при рождении</w:t>
      </w:r>
      <w:r w:rsidRPr="00E0204C">
        <w:rPr>
          <w:rStyle w:val="aa"/>
        </w:rPr>
        <w:footnoteReference w:id="66"/>
      </w:r>
      <w:r>
        <w:t>.</w:t>
      </w:r>
    </w:p>
    <w:p w14:paraId="0315C5A3" w14:textId="77777777" w:rsidR="00841C25" w:rsidRPr="008F3942" w:rsidRDefault="00841C25" w:rsidP="00841C25">
      <w:pPr>
        <w:pStyle w:val="SingleTxtG"/>
      </w:pPr>
      <w:r>
        <w:t>57.</w:t>
      </w:r>
      <w:r>
        <w:tab/>
        <w:t>Питание является одной из важных проблем австралийских детей: в 2022 году 8,5 процента детей потребляли рекомендованное количество фруктов и овощей</w:t>
      </w:r>
      <w:r w:rsidRPr="00E0204C">
        <w:rPr>
          <w:rStyle w:val="aa"/>
        </w:rPr>
        <w:footnoteReference w:id="67"/>
      </w:r>
      <w:r>
        <w:t>. Около 25 процентов австралийских детей в возрасте 5–17 лет страдают от избыточного веса или ожирения</w:t>
      </w:r>
      <w:r w:rsidRPr="00E0204C">
        <w:rPr>
          <w:rStyle w:val="aa"/>
        </w:rPr>
        <w:footnoteReference w:id="68"/>
      </w:r>
      <w:r>
        <w:t>.</w:t>
      </w:r>
    </w:p>
    <w:p w14:paraId="754BAFE4" w14:textId="77777777" w:rsidR="00841C25" w:rsidRPr="008F3942" w:rsidRDefault="00841C25" w:rsidP="00841C25">
      <w:pPr>
        <w:pStyle w:val="SingleTxtG"/>
      </w:pPr>
      <w:r>
        <w:t>58.</w:t>
      </w:r>
      <w:r>
        <w:tab/>
        <w:t xml:space="preserve">Доступ австралийских женщин к услугам в области охраны сексуального и репродуктивного здоровья и их использование неодинаковы. По данным национального обследования, проведенного в 2013 году среди женщин и мужчин в </w:t>
      </w:r>
      <w:r>
        <w:lastRenderedPageBreak/>
        <w:t>возрасте 18</w:t>
      </w:r>
      <w:r w:rsidRPr="00A87B90">
        <w:t>–</w:t>
      </w:r>
      <w:r>
        <w:t>51 года, 85 процентов использовали контрацептивы</w:t>
      </w:r>
      <w:r w:rsidRPr="00E0204C">
        <w:rPr>
          <w:rStyle w:val="aa"/>
        </w:rPr>
        <w:footnoteReference w:id="69"/>
      </w:r>
      <w:r>
        <w:t>. Среди женщин в возрасте 18</w:t>
      </w:r>
      <w:r w:rsidRPr="00A87B90">
        <w:t>–</w:t>
      </w:r>
      <w:r>
        <w:t>23 лет наблюдается высокий уровень использования контрацепции, причем таблетки применяются чаще, чем презервативы, особенно в более молодой возрастной категории (60 процентов принимают таблетки и 45 процентов пользуются презервативами)</w:t>
      </w:r>
      <w:r w:rsidRPr="00E0204C">
        <w:rPr>
          <w:rStyle w:val="aa"/>
        </w:rPr>
        <w:footnoteReference w:id="70"/>
      </w:r>
      <w:r>
        <w:t>. Примерно каждая пятая молодая женщина имела нежелательную беременность, причем нежелательная беременность чаще связана с непостоянным использованием контрацептивов, а не с их неиспользованием.</w:t>
      </w:r>
    </w:p>
    <w:p w14:paraId="73A7A813" w14:textId="77777777" w:rsidR="00841C25" w:rsidRPr="008F3942" w:rsidRDefault="00841C25" w:rsidP="00841C25">
      <w:pPr>
        <w:pStyle w:val="SingleTxtG"/>
      </w:pPr>
      <w:r>
        <w:t>59.</w:t>
      </w:r>
      <w:r>
        <w:tab/>
        <w:t>Аборты разрешены во всех штатах и территориях Австралии, однако законы об абортах в разных юрисдикциях отличаются. В некоторых юрисдикциях уведомление об аборте является обязательным, и в стране не существует единой системы отчетности по абортам. По оценкам, 20–25 процентов австралийских женщин сделают аборт в течение своей жизни</w:t>
      </w:r>
      <w:r w:rsidRPr="00E0204C">
        <w:rPr>
          <w:rStyle w:val="aa"/>
        </w:rPr>
        <w:footnoteReference w:id="71"/>
      </w:r>
      <w:r>
        <w:t>.</w:t>
      </w:r>
    </w:p>
    <w:p w14:paraId="01E7E78D" w14:textId="05AF1A89" w:rsidR="00841C25" w:rsidRPr="008F3942" w:rsidRDefault="00841C25" w:rsidP="00841C25">
      <w:pPr>
        <w:pStyle w:val="SingleTxtG"/>
      </w:pPr>
      <w:r>
        <w:t>60.</w:t>
      </w:r>
      <w:r>
        <w:tab/>
        <w:t>Показатели материнского здоровья являются положительными; в 2021 году 80</w:t>
      </w:r>
      <w:r w:rsidR="0097373E">
        <w:t> </w:t>
      </w:r>
      <w:r>
        <w:t>процентов родивших женщин обращались за дородовым уходом в первом триместре беременности, и 96 процентов имели пять или более посещений в рамках пренатальной помощи</w:t>
      </w:r>
      <w:r w:rsidRPr="00E0204C">
        <w:rPr>
          <w:rStyle w:val="aa"/>
        </w:rPr>
        <w:footnoteReference w:id="72"/>
      </w:r>
      <w:r>
        <w:t>. В 2020 году коэффициент материнской смертности составил 5,5 смертей на 100 000 рожениц, и в период с 2011 по 2020 год коэффициент материнской смертности был относительно стабильным и колебался в пределах от 5,0</w:t>
      </w:r>
      <w:r w:rsidR="0097373E">
        <w:t> </w:t>
      </w:r>
      <w:r>
        <w:t>до 8,4 на 100 000 рожениц</w:t>
      </w:r>
      <w:r w:rsidRPr="00E0204C">
        <w:rPr>
          <w:rStyle w:val="aa"/>
        </w:rPr>
        <w:footnoteReference w:id="73"/>
      </w:r>
      <w:r>
        <w:t>.</w:t>
      </w:r>
    </w:p>
    <w:p w14:paraId="38AACF6F" w14:textId="5B0290F8" w:rsidR="00841C25" w:rsidRPr="008F3942" w:rsidRDefault="00841C25" w:rsidP="00841C25">
      <w:pPr>
        <w:pStyle w:val="SingleTxtG"/>
      </w:pPr>
      <w:r>
        <w:t>61.</w:t>
      </w:r>
      <w:r>
        <w:tab/>
        <w:t>В 2021 году уровень смертности оставался низким (507,2 на 100 000 человек). В</w:t>
      </w:r>
      <w:r w:rsidR="0097373E">
        <w:t> </w:t>
      </w:r>
      <w:r>
        <w:t>число десяти основных причин смерти в 2021 году входили ишемическая болезнь сердца (10,1 процента смертей), деменция, включая болезнь Альцгеймера (9,3</w:t>
      </w:r>
      <w:r w:rsidR="0097373E">
        <w:t> </w:t>
      </w:r>
      <w:r>
        <w:t>процента), цереброваскулярные заболевания (5,7 процента), рак легких (5,1</w:t>
      </w:r>
      <w:r w:rsidR="0097373E">
        <w:t> </w:t>
      </w:r>
      <w:r>
        <w:t>процента), хронические заболевания нижних дыхательных путей, колоректальный рак, диабет, лимфоидный рак, заболевания мочевыделительной системы и случайные падения</w:t>
      </w:r>
      <w:r w:rsidRPr="00E0204C">
        <w:rPr>
          <w:rStyle w:val="aa"/>
        </w:rPr>
        <w:footnoteReference w:id="74"/>
      </w:r>
      <w:r>
        <w:t>. Смертность от болезней системы кровообращения в последние годы снизилась благодаря снижению уровня курения и улучшению профилактики, выявления и лечения, в то время как деменция за последнее десятилетие выросла на 53,8 процента</w:t>
      </w:r>
      <w:r w:rsidRPr="00E0204C">
        <w:rPr>
          <w:rStyle w:val="aa"/>
        </w:rPr>
        <w:footnoteReference w:id="75"/>
      </w:r>
      <w:r>
        <w:t>.</w:t>
      </w:r>
    </w:p>
    <w:p w14:paraId="0BE4AC8C" w14:textId="77777777" w:rsidR="00841C25" w:rsidRPr="008F3942" w:rsidRDefault="00841C25" w:rsidP="00841C25">
      <w:pPr>
        <w:pStyle w:val="SingleTxtG"/>
      </w:pPr>
      <w:r>
        <w:t>62.</w:t>
      </w:r>
      <w:r>
        <w:tab/>
        <w:t>Расстройства, связанные с психическим здоровьем, по-прежнему вызывают озабоченность в Австралии.</w:t>
      </w:r>
    </w:p>
    <w:p w14:paraId="5EBC2B75" w14:textId="77777777" w:rsidR="00841C25" w:rsidRPr="008F3942" w:rsidRDefault="00841C25" w:rsidP="00841C25">
      <w:pPr>
        <w:pStyle w:val="Bullet1G"/>
        <w:numPr>
          <w:ilvl w:val="0"/>
          <w:numId w:val="22"/>
        </w:numPr>
      </w:pPr>
      <w:r>
        <w:t>Психические расстройства и расстройства, связанные с употреблением психоактивных веществ, занимают четвертое место среди основных причин заболеваемости, составляя 12 процентов от общего числа заболеваний</w:t>
      </w:r>
      <w:r w:rsidRPr="00E0204C">
        <w:rPr>
          <w:rStyle w:val="aa"/>
        </w:rPr>
        <w:footnoteReference w:id="76"/>
      </w:r>
      <w:r>
        <w:t>.</w:t>
      </w:r>
    </w:p>
    <w:p w14:paraId="73DC14F9" w14:textId="2C987757" w:rsidR="00841C25" w:rsidRPr="008F3942" w:rsidRDefault="00841C25" w:rsidP="00841C25">
      <w:pPr>
        <w:pStyle w:val="Bullet1G"/>
        <w:numPr>
          <w:ilvl w:val="0"/>
          <w:numId w:val="22"/>
        </w:numPr>
      </w:pPr>
      <w:r>
        <w:t xml:space="preserve">Психические расстройства могут различаться по степени тяжести и продолжительности, а также носить эпизодический характер. Согласно последнему национальному исследованию психического здоровья и </w:t>
      </w:r>
      <w:r>
        <w:lastRenderedPageBreak/>
        <w:t>благополучия, проведенному в 2020</w:t>
      </w:r>
      <w:r w:rsidR="003D78B6">
        <w:t>/</w:t>
      </w:r>
      <w:r>
        <w:t>21</w:t>
      </w:r>
      <w:r w:rsidR="00E0204C">
        <w:t xml:space="preserve"> </w:t>
      </w:r>
      <w:r>
        <w:t>году, примерно 21,4 процента взрослого населения за последние 12 месяцев испытывали то или иное психическое расстройство, чаще всего тревожные расстройства</w:t>
      </w:r>
      <w:r w:rsidRPr="00E0204C">
        <w:rPr>
          <w:rStyle w:val="aa"/>
        </w:rPr>
        <w:footnoteReference w:id="77"/>
      </w:r>
      <w:r>
        <w:t xml:space="preserve">. </w:t>
      </w:r>
    </w:p>
    <w:p w14:paraId="5D1D7CC1" w14:textId="24F64D8C" w:rsidR="00841C25" w:rsidRPr="008F3942" w:rsidRDefault="00841C25" w:rsidP="00841C25">
      <w:pPr>
        <w:pStyle w:val="Bullet1G"/>
        <w:numPr>
          <w:ilvl w:val="0"/>
          <w:numId w:val="22"/>
        </w:numPr>
      </w:pPr>
      <w:r>
        <w:t>Более половины (54,4 процента) австралийцев, идентифицирующих себя как геи, лесбиянки или бисексуалы, или использующих другие термины, такие как асексуалы, пансексуалы или квиры, в 2020</w:t>
      </w:r>
      <w:r w:rsidR="003D78B6">
        <w:t>/</w:t>
      </w:r>
      <w:r>
        <w:t>21 году страдали тем или иным психическим расстройством. Это более чем в два раза превышает соответствующий показатель среди населения в целом (21,4 процента), включая лиц, которые идентифицируют себя как геи, лесбиянки, бисексуалы или другие лица</w:t>
      </w:r>
      <w:r w:rsidRPr="00E0204C">
        <w:rPr>
          <w:rStyle w:val="aa"/>
        </w:rPr>
        <w:footnoteReference w:id="78"/>
      </w:r>
      <w:r>
        <w:t>.</w:t>
      </w:r>
    </w:p>
    <w:p w14:paraId="4F47F252" w14:textId="77777777" w:rsidR="00841C25" w:rsidRPr="008F3942" w:rsidRDefault="00841C25" w:rsidP="00841C25">
      <w:pPr>
        <w:pStyle w:val="SingleTxtG"/>
      </w:pPr>
      <w:r>
        <w:t>63.</w:t>
      </w:r>
      <w:r>
        <w:tab/>
        <w:t>Психические расстройства, самоповреждения и самоубийства являются одной из основных причин заболеваемости и смертности среди молодежи.</w:t>
      </w:r>
    </w:p>
    <w:p w14:paraId="16281772" w14:textId="2C8321B5" w:rsidR="00841C25" w:rsidRPr="008F3942" w:rsidRDefault="00841C25" w:rsidP="00841C25">
      <w:pPr>
        <w:pStyle w:val="Bullet1G"/>
        <w:numPr>
          <w:ilvl w:val="0"/>
          <w:numId w:val="22"/>
        </w:numPr>
      </w:pPr>
      <w:r>
        <w:t>В 2020</w:t>
      </w:r>
      <w:bookmarkStart w:id="15" w:name="_Hlk170715001"/>
      <w:r w:rsidR="003D78B6">
        <w:t>/</w:t>
      </w:r>
      <w:bookmarkEnd w:id="15"/>
      <w:r>
        <w:t xml:space="preserve">21 году 39,6 процента молодых людей в возрасте 16–24 лет имели то или иное психическое расстройство в течение 12 месяцев, включая почти половину (46,6 процента) женщин и почти треть (31,2 процента) мужчин в возрасте </w:t>
      </w:r>
      <w:r w:rsidR="000C491C">
        <w:br/>
      </w:r>
      <w:r>
        <w:t>16</w:t>
      </w:r>
      <w:r w:rsidRPr="00C776D0">
        <w:t>–</w:t>
      </w:r>
      <w:r>
        <w:t>24 лет</w:t>
      </w:r>
      <w:r w:rsidRPr="00E0204C">
        <w:rPr>
          <w:rStyle w:val="aa"/>
        </w:rPr>
        <w:footnoteReference w:id="79"/>
      </w:r>
      <w:r>
        <w:t>.</w:t>
      </w:r>
    </w:p>
    <w:p w14:paraId="1B183A39" w14:textId="3DB0D70C" w:rsidR="00841C25" w:rsidRPr="008F3942" w:rsidRDefault="00841C25" w:rsidP="00841C25">
      <w:pPr>
        <w:pStyle w:val="Bullet1G"/>
        <w:numPr>
          <w:ilvl w:val="0"/>
          <w:numId w:val="22"/>
        </w:numPr>
      </w:pPr>
      <w:r>
        <w:t>Самоубийства и самоповреждения, а также депрессивные расстройства были двумя основными причинами общего числа заболеваний среди людей в возрасте 15–24 лет. Тревожные расстройства и расстройства, связанные с употреблением алкоголя, также входили в число основных причин заболеваемости для женщин и мужчин соответственно. В совокупности эти основные причины лежали в основе 24,0 процента заболеваний у женщин и 25,7 процента у мужчин</w:t>
      </w:r>
      <w:r w:rsidRPr="00E0204C">
        <w:rPr>
          <w:rStyle w:val="aa"/>
        </w:rPr>
        <w:footnoteReference w:id="80"/>
      </w:r>
      <w:r>
        <w:t xml:space="preserve">. </w:t>
      </w:r>
    </w:p>
    <w:p w14:paraId="0B7E4CF7" w14:textId="2D9577D5" w:rsidR="00841C25" w:rsidRPr="008F3942" w:rsidRDefault="00841C25" w:rsidP="00841C25">
      <w:pPr>
        <w:pStyle w:val="Bullet1G"/>
        <w:numPr>
          <w:ilvl w:val="0"/>
          <w:numId w:val="22"/>
        </w:numPr>
      </w:pPr>
      <w:r>
        <w:t xml:space="preserve">В 2021 году 3144 человека умерли в результате преднамеренного самоповреждения (самоубийства), причем среди мужчин этот показатель был выше, чем среди женщин. Уровень самоубийств среди мужчин вырос с 2012 по 2021 год с 17,0 до 18,2 на 100 000 человек, а среди женщин </w:t>
      </w:r>
      <w:r w:rsidRPr="00C776D0">
        <w:t>—</w:t>
      </w:r>
      <w:r>
        <w:t xml:space="preserve"> с 5,6 до 6,1 на 100</w:t>
      </w:r>
      <w:r w:rsidR="0097373E">
        <w:t> </w:t>
      </w:r>
      <w:r>
        <w:t>000 человек</w:t>
      </w:r>
      <w:r w:rsidRPr="00E0204C">
        <w:rPr>
          <w:rStyle w:val="aa"/>
        </w:rPr>
        <w:footnoteReference w:id="81"/>
      </w:r>
      <w:r>
        <w:t>.</w:t>
      </w:r>
    </w:p>
    <w:p w14:paraId="075B5250" w14:textId="39FC62D4" w:rsidR="00841C25" w:rsidRPr="008F3942" w:rsidRDefault="00841C25" w:rsidP="00841C25">
      <w:pPr>
        <w:pStyle w:val="SingleTxtG"/>
      </w:pPr>
      <w:r>
        <w:t>64.</w:t>
      </w:r>
      <w:r>
        <w:tab/>
        <w:t>Австралийцы имеют доступ к различным услугам по охране психического здоровья, предоставляемым в различных учреждениях, включая услуги общей практики, службы охраны психического здоровья по месту жительства и больницы. В</w:t>
      </w:r>
      <w:r w:rsidR="0097373E">
        <w:t> </w:t>
      </w:r>
      <w:r>
        <w:t>2021</w:t>
      </w:r>
      <w:r w:rsidR="004F59E4">
        <w:t>/</w:t>
      </w:r>
      <w:r>
        <w:t>22 году, по оценкам, 2,8 млн человек получили услуги по охране психического здоровья, субсидируемые программой Medicare</w:t>
      </w:r>
      <w:r w:rsidRPr="00E0204C">
        <w:rPr>
          <w:rStyle w:val="aa"/>
        </w:rPr>
        <w:footnoteReference w:id="82"/>
      </w:r>
      <w:r>
        <w:t>. Опрос, проведенный в 2020</w:t>
      </w:r>
      <w:r w:rsidR="0097373E">
        <w:t>/</w:t>
      </w:r>
      <w:r>
        <w:t>21 году, показал, что значительная часть респондентов оценила обслуживание, полученное ими в специализированных учреждениях по охране психического здоровья и специализированных службах по охране психического здоровья по месту жительства, как хорошее, очень хорошее или отличное, при этом более 70 процентов и почти 90</w:t>
      </w:r>
      <w:r w:rsidR="0097373E">
        <w:t> </w:t>
      </w:r>
      <w:r>
        <w:t>процентов респондентов сообщили о положительном опыте обслуживания</w:t>
      </w:r>
      <w:r w:rsidRPr="00E0204C">
        <w:rPr>
          <w:rStyle w:val="aa"/>
        </w:rPr>
        <w:footnoteReference w:id="83"/>
      </w:r>
      <w:r>
        <w:t>.</w:t>
      </w:r>
    </w:p>
    <w:p w14:paraId="55716B7A" w14:textId="77777777" w:rsidR="00841C25" w:rsidRPr="008F3942" w:rsidRDefault="00841C25" w:rsidP="0097373E">
      <w:pPr>
        <w:pStyle w:val="SingleTxtG"/>
        <w:keepNext/>
        <w:keepLines/>
      </w:pPr>
      <w:r>
        <w:lastRenderedPageBreak/>
        <w:t>65.</w:t>
      </w:r>
      <w:r>
        <w:tab/>
        <w:t>Сообщества ЛГБТИК</w:t>
      </w:r>
      <w:r>
        <w:rPr>
          <w:lang w:val="en-US"/>
        </w:rPr>
        <w:t>A</w:t>
      </w:r>
      <w:r>
        <w:t>+ в Австралии разнообразны, часто имеют особые потребности, связанные с охраной здоровья, сталкиваются с отношенческими проблемами и другими препятствиями для доступа к медицинской помощи и подвергаются повышенному риску ухудшения состояния здоровья.</w:t>
      </w:r>
    </w:p>
    <w:p w14:paraId="7B350BCC" w14:textId="77777777" w:rsidR="00841C25" w:rsidRPr="008F3942" w:rsidRDefault="00841C25" w:rsidP="00841C25">
      <w:pPr>
        <w:pStyle w:val="Bullet1G"/>
        <w:numPr>
          <w:ilvl w:val="0"/>
          <w:numId w:val="22"/>
        </w:numPr>
      </w:pPr>
      <w:r>
        <w:t>Состояние здоровья ЛГБТИКА+, согласно их самооценкам, хуже, чем в среднем по Австралии</w:t>
      </w:r>
      <w:r w:rsidRPr="00E0204C">
        <w:rPr>
          <w:rStyle w:val="aa"/>
        </w:rPr>
        <w:footnoteReference w:id="84"/>
      </w:r>
      <w:r>
        <w:t>.</w:t>
      </w:r>
    </w:p>
    <w:p w14:paraId="3D128134" w14:textId="77777777" w:rsidR="00841C25" w:rsidRPr="008F3942" w:rsidRDefault="00841C25" w:rsidP="00841C25">
      <w:pPr>
        <w:pStyle w:val="Bullet1G"/>
        <w:numPr>
          <w:ilvl w:val="0"/>
          <w:numId w:val="22"/>
        </w:numPr>
      </w:pPr>
      <w:r>
        <w:t>ЛГБТИКА+ часто сталкиваются со значительным уровнем стигмы и дискриминации</w:t>
      </w:r>
      <w:r w:rsidRPr="00E0204C">
        <w:rPr>
          <w:rStyle w:val="aa"/>
        </w:rPr>
        <w:footnoteReference w:id="85"/>
      </w:r>
      <w:r>
        <w:t>. Стигма, предрассудки, дискриминация, изоляция и неправомерное обращение, с которыми сталкиваются представители сообщества ЛГБТИКА+, связаны с неблагоприятными последствиями для здоровья</w:t>
      </w:r>
      <w:r w:rsidRPr="00E0204C">
        <w:rPr>
          <w:rStyle w:val="aa"/>
        </w:rPr>
        <w:footnoteReference w:id="86"/>
      </w:r>
      <w:r>
        <w:t>.</w:t>
      </w:r>
    </w:p>
    <w:p w14:paraId="09F3778B" w14:textId="214BF906" w:rsidR="00841C25" w:rsidRPr="008F3942" w:rsidRDefault="00841C25" w:rsidP="00841C25">
      <w:pPr>
        <w:pStyle w:val="SingleTxtG"/>
      </w:pPr>
      <w:r>
        <w:t>66.</w:t>
      </w:r>
      <w:r>
        <w:tab/>
        <w:t xml:space="preserve">В 2023 году правительство Австралии объявило о разработке первого </w:t>
      </w:r>
      <w:r w:rsidR="00E60A05">
        <w:br/>
      </w:r>
      <w:r>
        <w:t>10-летнего национального плана действий по охране здоровья и благополучия ЛГБТИКА+ (план действий). План действий будет определять, как Австралия будет бороться с неравенством в области здравоохранения и улучшать систему здравоохранения для ЛГБТИКА+.</w:t>
      </w:r>
    </w:p>
    <w:p w14:paraId="5C3DC631" w14:textId="65508D65" w:rsidR="00841C25" w:rsidRPr="008F3942" w:rsidRDefault="0097373E" w:rsidP="00841C25">
      <w:pPr>
        <w:pStyle w:val="H1G"/>
      </w:pPr>
      <w:bookmarkStart w:id="16" w:name="_Toc147326776"/>
      <w:r>
        <w:tab/>
      </w:r>
      <w:r w:rsidR="00841C25">
        <w:t>B.</w:t>
      </w:r>
      <w:r w:rsidR="00841C25">
        <w:tab/>
        <w:t xml:space="preserve">Конституционная, политическая и правовая структура </w:t>
      </w:r>
      <w:bookmarkStart w:id="17" w:name="_Toc167980141"/>
      <w:bookmarkEnd w:id="16"/>
      <w:bookmarkEnd w:id="17"/>
    </w:p>
    <w:p w14:paraId="48E93691" w14:textId="5E4D4052" w:rsidR="00841C25" w:rsidRPr="008F3942" w:rsidRDefault="0097373E" w:rsidP="00841C25">
      <w:pPr>
        <w:pStyle w:val="H23G"/>
      </w:pPr>
      <w:r>
        <w:tab/>
      </w:r>
      <w:r w:rsidR="00841C25">
        <w:t>1.</w:t>
      </w:r>
      <w:r w:rsidR="00841C25">
        <w:tab/>
      </w:r>
      <w:r w:rsidR="00841C25">
        <w:rPr>
          <w:bCs/>
        </w:rPr>
        <w:t>Общая структура</w:t>
      </w:r>
    </w:p>
    <w:p w14:paraId="35DF40AD" w14:textId="77777777" w:rsidR="00841C25" w:rsidRPr="008F3942" w:rsidRDefault="00841C25" w:rsidP="00841C25">
      <w:pPr>
        <w:pStyle w:val="H4G"/>
      </w:pPr>
      <w:r>
        <w:tab/>
      </w:r>
      <w:r>
        <w:tab/>
      </w:r>
      <w:r>
        <w:rPr>
          <w:iCs/>
        </w:rPr>
        <w:t>Федеральная структура</w:t>
      </w:r>
    </w:p>
    <w:p w14:paraId="50C10B2F" w14:textId="77777777" w:rsidR="00841C25" w:rsidRPr="008F3942" w:rsidRDefault="00841C25" w:rsidP="00841C25">
      <w:pPr>
        <w:pStyle w:val="SingleTxtG"/>
      </w:pPr>
      <w:bookmarkStart w:id="18" w:name="_Ref64892362"/>
      <w:r>
        <w:t>67.</w:t>
      </w:r>
      <w:r>
        <w:tab/>
        <w:t>В Австралии существует федеральная конституционная система правления. Конституция Австралии устанавливает демократическую систему представительного и ответственного правления. В нашей федеральной системе власть разделена между правительством Австралии и правительствами шести штатов (НЮУ, КЛД, ЗА, ЮА и ТАС), а также двумя правительствами самоуправляемых территорий (ACT и СT).</w:t>
      </w:r>
      <w:bookmarkEnd w:id="18"/>
    </w:p>
    <w:p w14:paraId="18D6D7DA" w14:textId="77777777" w:rsidR="00841C25" w:rsidRPr="008F3942" w:rsidRDefault="00841C25" w:rsidP="00841C25">
      <w:pPr>
        <w:pStyle w:val="SingleTxtG"/>
      </w:pPr>
      <w:r>
        <w:t>68.</w:t>
      </w:r>
      <w:r>
        <w:tab/>
        <w:t>В каждой юрисдикции есть законодательная власть, избираемая народом, исполнительная власть, ответственная перед законодательной властью, и независимая судебная власть. В соответствии с принципом разделения властей Конституция Австралии устанавливает законодательную, исполнительную и судебную ветви власти Австралийского Союза, при этом судебная власть строго отделена от других ветвей. Конституция Австралии также распределяет полномочия между Австралийским Союзом и штатами. Широкий спектр институтов и гарантий, прежде всего демократические выборы, разделение полномочий между тремя ветвями власти на федеральном уровне и независимая судебная система, обеспечивают защиту от произвольного использования государственной власти и способствуют активному общественному обсуждению вопросов, имеющих отношение к правам человека.</w:t>
      </w:r>
    </w:p>
    <w:p w14:paraId="05238E81" w14:textId="77777777" w:rsidR="00841C25" w:rsidRPr="008F3942" w:rsidRDefault="00841C25" w:rsidP="00841C25">
      <w:pPr>
        <w:pStyle w:val="SingleTxtG"/>
      </w:pPr>
      <w:r>
        <w:t>69.</w:t>
      </w:r>
      <w:r>
        <w:tab/>
        <w:t>Парламент Австралийского Союза может принимать законы только в отношении конкретных вопросов, которые прямо или косвенно указаны в Конституции. Большинство из них перечислены в статье 51 Конституции. К сферам федеральной ответственности относятся оборона и внешние сношения; торговля и коммерция между штатами и государствами; иностранные, торговые и финансовые корпорации; валюта; иммиграция; почтовые, телекоммуникационные и вещательные услуги; и большинство социальных услуг и пенсий.</w:t>
      </w:r>
    </w:p>
    <w:p w14:paraId="401EA934" w14:textId="3D8B78C6" w:rsidR="00841C25" w:rsidRPr="008F3942" w:rsidRDefault="00841C25" w:rsidP="00841C25">
      <w:pPr>
        <w:pStyle w:val="SingleTxtG"/>
      </w:pPr>
      <w:r>
        <w:lastRenderedPageBreak/>
        <w:t>70.</w:t>
      </w:r>
      <w:r>
        <w:tab/>
        <w:t>Законодательные органы штатов обладают общими полномочиями издавать законы для обеспечения мира, порядка и благого управления в штате, соблюдая при этом положения Конституции Австралии. В сферу ответственности штата, хотя и не исключительной, входят вопросы, касающиеся здравоохранения, образования, уголовного правосудия и дорог.</w:t>
      </w:r>
      <w:r w:rsidR="00E0204C">
        <w:t xml:space="preserve"> </w:t>
      </w:r>
      <w:r>
        <w:t>В каждом штате есть своя конституция, определяющая систему правления. В каждом штате создана система местных органов власти, которые обычно занимаются такими вопросами, как решения по местному планированию и предоставление муниципальных услуг.</w:t>
      </w:r>
    </w:p>
    <w:p w14:paraId="734E0E86" w14:textId="77777777" w:rsidR="00841C25" w:rsidRPr="008F3942" w:rsidRDefault="00841C25" w:rsidP="00841C25">
      <w:pPr>
        <w:pStyle w:val="SingleTxtG"/>
      </w:pPr>
      <w:r>
        <w:t>71.</w:t>
      </w:r>
      <w:r>
        <w:tab/>
        <w:t>Статья 122 Конституции наделяет парламент Австралийского Союза полномочиями принимать законы в отношении территорий. Парламент Австралийского Союза наделил АСТ и СТ значительными полномочиями по самоуправлению.</w:t>
      </w:r>
    </w:p>
    <w:p w14:paraId="14901455" w14:textId="77777777" w:rsidR="00841C25" w:rsidRPr="008F3942" w:rsidRDefault="00841C25" w:rsidP="00841C25">
      <w:pPr>
        <w:pStyle w:val="SingleTxtG"/>
      </w:pPr>
      <w:bookmarkStart w:id="19" w:name="_Ref64892375"/>
      <w:r>
        <w:t>72.</w:t>
      </w:r>
      <w:r>
        <w:tab/>
        <w:t>Правительство Австралии и правительства штатов и территорий взаимодействуют между собой по нескольким направлениям.</w:t>
      </w:r>
      <w:bookmarkEnd w:id="19"/>
    </w:p>
    <w:p w14:paraId="7668B8D9" w14:textId="77777777" w:rsidR="00841C25" w:rsidRPr="008F3942" w:rsidRDefault="00841C25" w:rsidP="00841C25">
      <w:pPr>
        <w:pStyle w:val="Bullet1G"/>
        <w:numPr>
          <w:ilvl w:val="0"/>
          <w:numId w:val="22"/>
        </w:numPr>
      </w:pPr>
      <w:r>
        <w:t>Подоходный налог и таможенные и акцизные пошлины взимаются Австралийским Союзом. Правительство Австралии может предоставлять штатам финансовую помощь в виде субсидий для обеспечения поступлений, необходимых для выполнения их функций. Статья 96 Конституции позволяет Австралийскому Союзу предоставлять штатам обусловленные субсидии на любые цели. Право устанавливать условия расходования средств штатами позволяет Австралийскому Союзу влиять на принятие мер в областях, которые не входят в сферу его прямой ответственности. Штаты сохраняют за собой законодательные полномочия по установлению подоходного налога.</w:t>
      </w:r>
    </w:p>
    <w:p w14:paraId="2A8850F9" w14:textId="77777777" w:rsidR="00841C25" w:rsidRPr="008F3942" w:rsidRDefault="00841C25" w:rsidP="00841C25">
      <w:pPr>
        <w:pStyle w:val="Bullet1G"/>
        <w:numPr>
          <w:ilvl w:val="0"/>
          <w:numId w:val="22"/>
        </w:numPr>
      </w:pPr>
      <w:r>
        <w:t>Статья 109 Конституции определяет взаимосвязь между законодательством Австралийского Союза и штатов. Она предусматривает, что в тех случаях, когда какой-либо закон штата противоречит закону Австралийского Союза, применяется закон Австралийского Союза, а закон штата не действует в той мере, в какой это противоречит федеральному закону.</w:t>
      </w:r>
    </w:p>
    <w:p w14:paraId="4A9728EA" w14:textId="77777777" w:rsidR="00841C25" w:rsidRPr="008F3942" w:rsidRDefault="00841C25" w:rsidP="00841C25">
      <w:pPr>
        <w:pStyle w:val="H4G"/>
      </w:pPr>
      <w:r>
        <w:tab/>
      </w:r>
      <w:r>
        <w:tab/>
      </w:r>
      <w:r>
        <w:rPr>
          <w:iCs/>
        </w:rPr>
        <w:t>Законодательная основа</w:t>
      </w:r>
    </w:p>
    <w:p w14:paraId="24096549" w14:textId="77777777" w:rsidR="00841C25" w:rsidRPr="008F3942" w:rsidRDefault="00841C25" w:rsidP="00841C25">
      <w:pPr>
        <w:pStyle w:val="SingleTxtG"/>
      </w:pPr>
      <w:r>
        <w:t>73.</w:t>
      </w:r>
      <w:r>
        <w:tab/>
        <w:t>В Австралии законодательство включает в себя:</w:t>
      </w:r>
    </w:p>
    <w:p w14:paraId="177F77EA" w14:textId="77777777" w:rsidR="00841C25" w:rsidRPr="008F3942" w:rsidRDefault="00841C25" w:rsidP="00841C25">
      <w:pPr>
        <w:pStyle w:val="Bullet1G"/>
        <w:numPr>
          <w:ilvl w:val="0"/>
          <w:numId w:val="22"/>
        </w:numPr>
      </w:pPr>
      <w:r>
        <w:t>законы, принятые федеральным парламентом в рамках его полномочий, предусмотренных Конституцией Австралии, наряду с подзаконными актами, принятыми в соответствии с такими законами;</w:t>
      </w:r>
    </w:p>
    <w:p w14:paraId="1028100C" w14:textId="77777777" w:rsidR="00841C25" w:rsidRPr="008F3942" w:rsidRDefault="00841C25" w:rsidP="00841C25">
      <w:pPr>
        <w:pStyle w:val="Bullet1G"/>
        <w:numPr>
          <w:ilvl w:val="0"/>
          <w:numId w:val="22"/>
        </w:numPr>
      </w:pPr>
      <w:r>
        <w:t>законы, принятые парламентами штатов и законодательными собраниями СТ и АСТ, наряду с подзаконными актами, принятыми в соответствии с такими законами;</w:t>
      </w:r>
    </w:p>
    <w:p w14:paraId="6BFC4D23" w14:textId="77777777" w:rsidR="00841C25" w:rsidRPr="008F3942" w:rsidRDefault="00841C25" w:rsidP="00841C25">
      <w:pPr>
        <w:pStyle w:val="Bullet1G"/>
        <w:numPr>
          <w:ilvl w:val="0"/>
          <w:numId w:val="22"/>
        </w:numPr>
      </w:pPr>
      <w:r>
        <w:t>те правовые нормы общего или статутного права Англии, которые были распространены на Австралию и по-прежнему в ней применяются или остаются неотмененными;</w:t>
      </w:r>
    </w:p>
    <w:p w14:paraId="49281B12" w14:textId="77777777" w:rsidR="00841C25" w:rsidRPr="008F3942" w:rsidRDefault="00841C25" w:rsidP="00841C25">
      <w:pPr>
        <w:pStyle w:val="Bullet1G"/>
        <w:numPr>
          <w:ilvl w:val="0"/>
          <w:numId w:val="22"/>
        </w:numPr>
      </w:pPr>
      <w:r>
        <w:t>нормы австралийского общего права, которые были разработаны на основе норм английского общего права и которые толкуются и формулируются австралийскими судами.</w:t>
      </w:r>
    </w:p>
    <w:p w14:paraId="22A355FC" w14:textId="41BE0F8D" w:rsidR="00841C25" w:rsidRPr="008F3942" w:rsidRDefault="00841C25" w:rsidP="00841C25">
      <w:pPr>
        <w:pStyle w:val="SingleTxtG"/>
      </w:pPr>
      <w:r>
        <w:t>74.</w:t>
      </w:r>
      <w:r>
        <w:tab/>
        <w:t>Единственным способом внесения изменений в Конституцию Австралии является проведение референдума. Для успешного проведения референдума необходимо, чтобы изменения одобрило большинство избирателей в большинстве штатов, а также большинство избирателей в целом. За время существования федерации на референдум австралийским избирателям было вынесено 44</w:t>
      </w:r>
      <w:r w:rsidR="0097373E">
        <w:t> </w:t>
      </w:r>
      <w:r>
        <w:t>предложения по изменению Конституции, из которых 8 оказались успешными. Последний успешный референдум состоялся в 1977 году.</w:t>
      </w:r>
    </w:p>
    <w:p w14:paraId="6F267338" w14:textId="77777777" w:rsidR="00841C25" w:rsidRPr="008F3942" w:rsidRDefault="00841C25" w:rsidP="00841C25">
      <w:pPr>
        <w:pStyle w:val="SingleTxtG"/>
      </w:pPr>
      <w:r>
        <w:t>75.</w:t>
      </w:r>
      <w:r>
        <w:tab/>
        <w:t xml:space="preserve">Австралия является светским государством. Согласно статье 116 Конституции Австралии Австралийский Союз не должен издавать никаких законов, устанавливающих какую-либо религию, или обязывающих соблюдать какую-либо религию, или запрещающих свободное исповедание какой-либо религии, и никакой </w:t>
      </w:r>
      <w:r>
        <w:lastRenderedPageBreak/>
        <w:t>религиозный тест не должен требоваться для получения какой-либо должности или общественного доверия в Австралийском Союзе.</w:t>
      </w:r>
    </w:p>
    <w:p w14:paraId="311F20E8" w14:textId="77777777" w:rsidR="00841C25" w:rsidRPr="008F3942" w:rsidRDefault="00841C25" w:rsidP="00841C25">
      <w:pPr>
        <w:pStyle w:val="SingleTxtG"/>
      </w:pPr>
      <w:r>
        <w:t>76.</w:t>
      </w:r>
      <w:r>
        <w:tab/>
        <w:t>В конце 2023 года будет проведен референдум о внесении изменений в Конституцию Австралии с целью включения в нее новой главы IX. Глава IX предусматривает создание органа под названием «Голос аборигенов и жителей островов Торресова пролива». В компетенцию этого органа будет входить представление парламенту и органам исполнительной власти мнений по вопросам, касающимся аборигенов и жителей островов Торресова пролива.</w:t>
      </w:r>
    </w:p>
    <w:p w14:paraId="123E3DF9" w14:textId="77777777" w:rsidR="00841C25" w:rsidRPr="008F3942" w:rsidRDefault="00841C25" w:rsidP="00841C25">
      <w:pPr>
        <w:pStyle w:val="H4G"/>
      </w:pPr>
      <w:r>
        <w:tab/>
      </w:r>
      <w:r>
        <w:tab/>
      </w:r>
      <w:r>
        <w:rPr>
          <w:iCs/>
        </w:rPr>
        <w:t>Законодательная власть</w:t>
      </w:r>
    </w:p>
    <w:p w14:paraId="78DC3D30" w14:textId="77777777" w:rsidR="00841C25" w:rsidRPr="008F3942" w:rsidRDefault="00841C25" w:rsidP="00841C25">
      <w:pPr>
        <w:pStyle w:val="SingleTxtG"/>
      </w:pPr>
      <w:r>
        <w:t>77.</w:t>
      </w:r>
      <w:r>
        <w:tab/>
        <w:t>Согласно Конституции Австралии законодательная власть в Австралийском Союзе принадлежит парламенту Австралийского Союза, в состав которого формально входят Его Величество Король Карл III (которого обычно представляет генерал-губернатор), палата представителей и сенат. Однако король не играет повседневной роли в управлении Австралией. Кроме того, основополагающим принципом австралийской конституционной практики является то, что большинство функций, которые выполняет король или его представитель, осуществляются в соответствии с рекомендациями правительства Австралии.</w:t>
      </w:r>
    </w:p>
    <w:p w14:paraId="3424626F" w14:textId="77777777" w:rsidR="00841C25" w:rsidRPr="008F3942" w:rsidRDefault="00841C25" w:rsidP="00841C25">
      <w:pPr>
        <w:pStyle w:val="SingleTxtG"/>
      </w:pPr>
      <w:r>
        <w:t>78.</w:t>
      </w:r>
      <w:r>
        <w:tab/>
        <w:t>Нижняя палата, известная как палата представителей, состоит из 151 члена (число которых будет сокращено до 150 на следующих федеральных выборах в связи с изменением численности населения), избираемых на всенародной основе от одномандатных избирательных округов. Каждый избирательный округ, как правило, представляет одинаковое количество людей. Число избранных членов для представления каждого штата обычно пропорционально численности его населения.</w:t>
      </w:r>
    </w:p>
    <w:p w14:paraId="72E109DF" w14:textId="211E9730" w:rsidR="00841C25" w:rsidRPr="008F3942" w:rsidRDefault="00841C25" w:rsidP="00841C25">
      <w:pPr>
        <w:pStyle w:val="SingleTxtG"/>
      </w:pPr>
      <w:r>
        <w:t>79.</w:t>
      </w:r>
      <w:r>
        <w:tab/>
        <w:t>Верхняя палата, известная как сенат, была создана для представления интересов населения штатов как составной части федеральной системы. Сенат состоит из 76</w:t>
      </w:r>
      <w:r w:rsidR="0097373E">
        <w:t> </w:t>
      </w:r>
      <w:r>
        <w:t>сенаторов, по 12 от каждого штата и по два от АСТ и СТ. Согласно статье 7 Конституции сенаторы от каждого штата избираются непосредственно населением штата путем голосования (до тех пор, пока парламент не примет иного решения), выступающим как электорат одного избирательного округа.</w:t>
      </w:r>
    </w:p>
    <w:p w14:paraId="3E44B024" w14:textId="77777777" w:rsidR="00841C25" w:rsidRPr="008F3942" w:rsidRDefault="00841C25" w:rsidP="00841C25">
      <w:pPr>
        <w:pStyle w:val="SingleTxtG"/>
      </w:pPr>
      <w:r>
        <w:t>80.</w:t>
      </w:r>
      <w:r>
        <w:tab/>
        <w:t>Прежде чем какой-либо законопроект будет представлен генерал-губернатору для одобрения и станет законом, он должен быть принят обеими палатами.</w:t>
      </w:r>
    </w:p>
    <w:p w14:paraId="6C261FEE" w14:textId="77777777" w:rsidR="00841C25" w:rsidRPr="008F3942" w:rsidRDefault="00841C25" w:rsidP="00841C25">
      <w:pPr>
        <w:pStyle w:val="H4G"/>
      </w:pPr>
      <w:r>
        <w:tab/>
      </w:r>
      <w:r>
        <w:tab/>
      </w:r>
      <w:r>
        <w:rPr>
          <w:iCs/>
        </w:rPr>
        <w:t>Политическое участие</w:t>
      </w:r>
      <w:r>
        <w:t xml:space="preserve"> </w:t>
      </w:r>
    </w:p>
    <w:p w14:paraId="0DA3D8E9" w14:textId="77777777" w:rsidR="00841C25" w:rsidRPr="008F3942" w:rsidRDefault="00841C25" w:rsidP="00841C25">
      <w:pPr>
        <w:pStyle w:val="SingleTxtG"/>
      </w:pPr>
      <w:r>
        <w:t>81.</w:t>
      </w:r>
      <w:r>
        <w:tab/>
        <w:t>Избирательная система Австралии основана на демократическом принципе всеобщего избирательного права, которым пользуются все совершеннолетние граждане страны. Закон Австралийского Союза о выборах 1918 года (АС) (Закон о выборах) предусматривает, что граждане Австралии в возрасте 18 лет и старше должны быть зарегистрированы для участия в голосовании, а голосование на федеральных выборах является обязательным. Регистрация и голосование также являются обязательными на выборах в штатах и территориях.</w:t>
      </w:r>
    </w:p>
    <w:p w14:paraId="61C52867" w14:textId="77777777" w:rsidR="00841C25" w:rsidRPr="008F3942" w:rsidRDefault="00841C25" w:rsidP="00841C25">
      <w:pPr>
        <w:pStyle w:val="SingleTxtG"/>
      </w:pPr>
      <w:r>
        <w:t>82.</w:t>
      </w:r>
      <w:r>
        <w:tab/>
        <w:t>Для регистрации и участия в голосовании на федеральном уровне не допускаются следующие лица:</w:t>
      </w:r>
    </w:p>
    <w:p w14:paraId="63ABD560" w14:textId="77777777" w:rsidR="00841C25" w:rsidRPr="008F3942" w:rsidRDefault="00841C25" w:rsidP="00841C25">
      <w:pPr>
        <w:pStyle w:val="Bullet1G"/>
        <w:numPr>
          <w:ilvl w:val="0"/>
          <w:numId w:val="22"/>
        </w:numPr>
      </w:pPr>
      <w:r>
        <w:t>лица, не способные понять природу и значение регистрации и голосования. Закон о выборах требует предоставления справки от врача, подтверждающей такое заключение, до принятия мер по исключению того или иного лица из списка избирателей;</w:t>
      </w:r>
    </w:p>
    <w:p w14:paraId="5225BB89" w14:textId="77777777" w:rsidR="00841C25" w:rsidRPr="008F3942" w:rsidRDefault="00841C25" w:rsidP="00841C25">
      <w:pPr>
        <w:pStyle w:val="Bullet1G"/>
        <w:numPr>
          <w:ilvl w:val="0"/>
          <w:numId w:val="22"/>
        </w:numPr>
      </w:pPr>
      <w:r>
        <w:t>лица, осужденные за государственную измену или предательство и не получившие помилования.</w:t>
      </w:r>
    </w:p>
    <w:p w14:paraId="0C9853AF" w14:textId="77777777" w:rsidR="00841C25" w:rsidRPr="008F3942" w:rsidRDefault="00841C25" w:rsidP="00841C25">
      <w:pPr>
        <w:pStyle w:val="SingleTxtG"/>
      </w:pPr>
      <w:r>
        <w:t>83.</w:t>
      </w:r>
      <w:r>
        <w:tab/>
        <w:t>Заключенные, отбывающие наказание в виде лишения свободы сроком на три года и более, не имеют права голосовать на федеральных выборах, но остаются зарегистрированными.</w:t>
      </w:r>
    </w:p>
    <w:p w14:paraId="4ACF1D0B" w14:textId="250362B5" w:rsidR="00841C25" w:rsidRPr="008F3942" w:rsidRDefault="00841C25" w:rsidP="00841C25">
      <w:pPr>
        <w:pStyle w:val="SingleTxtG"/>
        <w:spacing w:after="240"/>
      </w:pPr>
      <w:r>
        <w:lastRenderedPageBreak/>
        <w:t>84.</w:t>
      </w:r>
      <w:r>
        <w:tab/>
        <w:t>По состоянию на 30 июня 2023 года 97,5 процента австралийцев, имеющих право голоса, зарегистрировались для участия в выборах</w:t>
      </w:r>
      <w:r w:rsidRPr="00E0204C">
        <w:rPr>
          <w:rStyle w:val="aa"/>
        </w:rPr>
        <w:footnoteReference w:id="87"/>
      </w:r>
      <w:r>
        <w:t>. Благодаря обязательности голосования уровень явки на федеральных выборах обычно является высоким (см.</w:t>
      </w:r>
      <w:r w:rsidR="0097373E">
        <w:t> </w:t>
      </w:r>
      <w:r>
        <w:t>рисунок ниже, касающийся выборов в палату представителей). Хотя явка избирателей в последние годы несколько снизилась, показатели реального участия (доля официальных голосов от общей численности населения, имеющего право голоса) оставались относительно стабильными. Дополнительные данные представлены в приложении 1, таблица B1, включая явку избирателей по штатам и территориям.</w:t>
      </w:r>
    </w:p>
    <w:p w14:paraId="0699F8E1" w14:textId="77777777" w:rsidR="00841C25" w:rsidRPr="00D62FAA" w:rsidRDefault="00841C25" w:rsidP="00841C25">
      <w:pPr>
        <w:pStyle w:val="SingleTxtG"/>
        <w:jc w:val="center"/>
      </w:pPr>
      <w:r w:rsidRPr="00D62FAA">
        <w:rPr>
          <w:noProof/>
          <w:lang w:eastAsia="en-GB"/>
        </w:rPr>
        <w:drawing>
          <wp:inline distT="0" distB="0" distL="0" distR="0" wp14:anchorId="2F787B7E" wp14:editId="3C265509">
            <wp:extent cx="4295775" cy="219478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24918"/>
                    <a:stretch/>
                  </pic:blipFill>
                  <pic:spPr bwMode="auto">
                    <a:xfrm>
                      <a:off x="0" y="0"/>
                      <a:ext cx="4305049" cy="2199524"/>
                    </a:xfrm>
                    <a:prstGeom prst="rect">
                      <a:avLst/>
                    </a:prstGeom>
                    <a:noFill/>
                    <a:ln>
                      <a:noFill/>
                    </a:ln>
                    <a:extLst>
                      <a:ext uri="{53640926-AAD7-44D8-BBD7-CCE9431645EC}">
                        <a14:shadowObscured xmlns:a14="http://schemas.microsoft.com/office/drawing/2010/main"/>
                      </a:ext>
                    </a:extLst>
                  </pic:spPr>
                </pic:pic>
              </a:graphicData>
            </a:graphic>
          </wp:inline>
        </w:drawing>
      </w:r>
    </w:p>
    <w:p w14:paraId="5BED86F6" w14:textId="77777777" w:rsidR="00841C25" w:rsidRPr="00D62FAA" w:rsidRDefault="00841C25" w:rsidP="00841C25">
      <w:pPr>
        <w:pStyle w:val="SingleTxtG"/>
        <w:jc w:val="center"/>
      </w:pPr>
      <w:r w:rsidRPr="00D62FAA">
        <w:rPr>
          <w:noProof/>
          <w:lang w:eastAsia="en-GB"/>
        </w:rPr>
        <w:drawing>
          <wp:inline distT="0" distB="0" distL="0" distR="0" wp14:anchorId="2598FFF4" wp14:editId="79A00AA1">
            <wp:extent cx="771525" cy="186522"/>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72091" cy="186659"/>
                    </a:xfrm>
                    <a:prstGeom prst="rect">
                      <a:avLst/>
                    </a:prstGeom>
                    <a:noFill/>
                    <a:ln>
                      <a:noFill/>
                    </a:ln>
                  </pic:spPr>
                </pic:pic>
              </a:graphicData>
            </a:graphic>
          </wp:inline>
        </w:drawing>
      </w:r>
      <w:r w:rsidRPr="00D62FAA">
        <w:rPr>
          <w:noProof/>
          <w:lang w:eastAsia="en-GB"/>
        </w:rPr>
        <w:drawing>
          <wp:inline distT="0" distB="0" distL="0" distR="0" wp14:anchorId="0BC4BE46" wp14:editId="15C4399B">
            <wp:extent cx="2790820" cy="2000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8054"/>
                    <a:stretch/>
                  </pic:blipFill>
                  <pic:spPr bwMode="auto">
                    <a:xfrm>
                      <a:off x="0" y="0"/>
                      <a:ext cx="2826803" cy="202604"/>
                    </a:xfrm>
                    <a:prstGeom prst="rect">
                      <a:avLst/>
                    </a:prstGeom>
                    <a:noFill/>
                    <a:ln>
                      <a:noFill/>
                    </a:ln>
                    <a:extLst>
                      <a:ext uri="{53640926-AAD7-44D8-BBD7-CCE9431645EC}">
                        <a14:shadowObscured xmlns:a14="http://schemas.microsoft.com/office/drawing/2010/main"/>
                      </a:ext>
                    </a:extLst>
                  </pic:spPr>
                </pic:pic>
              </a:graphicData>
            </a:graphic>
          </wp:inline>
        </w:drawing>
      </w:r>
      <w:r w:rsidRPr="00D62FAA">
        <w:rPr>
          <w:noProof/>
          <w:lang w:eastAsia="en-GB"/>
        </w:rPr>
        <w:drawing>
          <wp:inline distT="0" distB="0" distL="0" distR="0" wp14:anchorId="23E2AF4D" wp14:editId="4A6BD518">
            <wp:extent cx="3390900"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b="19944"/>
                    <a:stretch/>
                  </pic:blipFill>
                  <pic:spPr bwMode="auto">
                    <a:xfrm>
                      <a:off x="0" y="0"/>
                      <a:ext cx="3402668" cy="191161"/>
                    </a:xfrm>
                    <a:prstGeom prst="rect">
                      <a:avLst/>
                    </a:prstGeom>
                    <a:noFill/>
                    <a:ln>
                      <a:noFill/>
                    </a:ln>
                    <a:extLst>
                      <a:ext uri="{53640926-AAD7-44D8-BBD7-CCE9431645EC}">
                        <a14:shadowObscured xmlns:a14="http://schemas.microsoft.com/office/drawing/2010/main"/>
                      </a:ext>
                    </a:extLst>
                  </pic:spPr>
                </pic:pic>
              </a:graphicData>
            </a:graphic>
          </wp:inline>
        </w:drawing>
      </w:r>
    </w:p>
    <w:p w14:paraId="425F6030" w14:textId="77777777" w:rsidR="00841C25" w:rsidRPr="0097373E" w:rsidRDefault="00841C25" w:rsidP="0097373E">
      <w:pPr>
        <w:spacing w:before="120" w:after="240" w:line="220" w:lineRule="exact"/>
        <w:ind w:left="1134" w:right="1134" w:firstLine="170"/>
        <w:rPr>
          <w:sz w:val="18"/>
          <w:szCs w:val="18"/>
        </w:rPr>
      </w:pPr>
      <w:r w:rsidRPr="0097373E">
        <w:rPr>
          <w:i/>
          <w:iCs/>
          <w:sz w:val="18"/>
          <w:szCs w:val="18"/>
        </w:rPr>
        <w:t>Источник</w:t>
      </w:r>
      <w:r w:rsidRPr="0097373E">
        <w:rPr>
          <w:sz w:val="18"/>
          <w:szCs w:val="18"/>
        </w:rPr>
        <w:t>: Австралийская избирательная комиссия, 2022 год.</w:t>
      </w:r>
    </w:p>
    <w:p w14:paraId="5FF9DC97" w14:textId="77777777" w:rsidR="00841C25" w:rsidRPr="008F3942" w:rsidRDefault="00841C25" w:rsidP="00841C25">
      <w:pPr>
        <w:pStyle w:val="SingleTxtG"/>
      </w:pPr>
      <w:r>
        <w:t>85.</w:t>
      </w:r>
      <w:r>
        <w:tab/>
        <w:t>Правительство Австралии стремится к тому, чтобы процессы голосования способствовали участию всех избирателей во всех слоях общества.</w:t>
      </w:r>
    </w:p>
    <w:p w14:paraId="0F906DD1" w14:textId="52B2591C" w:rsidR="00841C25" w:rsidRPr="008F3942" w:rsidRDefault="00841C25" w:rsidP="00841C25">
      <w:pPr>
        <w:pStyle w:val="Bullet1G"/>
        <w:numPr>
          <w:ilvl w:val="0"/>
          <w:numId w:val="22"/>
        </w:numPr>
      </w:pPr>
      <w:r>
        <w:t>Австралийская избирательная комиссия (AИК) разработала стратегию интеграции людей с инвалидностью на 2012–</w:t>
      </w:r>
      <w:r w:rsidR="0097373E">
        <w:t>20</w:t>
      </w:r>
      <w:r>
        <w:t>20 годы, чтобы помочь людям с инвалидностью полноценно участвовать в избирательной системе. Она</w:t>
      </w:r>
      <w:r w:rsidR="0097373E">
        <w:t> </w:t>
      </w:r>
      <w:r>
        <w:t>включает меры по обеспечению доступности материалов для голосования и максимальной физической доступности избирательных участков и услуг по голосованию.</w:t>
      </w:r>
    </w:p>
    <w:p w14:paraId="32D1A00D" w14:textId="75B0F74D" w:rsidR="00841C25" w:rsidRPr="008F3942" w:rsidRDefault="00841C25" w:rsidP="00841C25">
      <w:pPr>
        <w:pStyle w:val="Bullet1G"/>
        <w:numPr>
          <w:ilvl w:val="0"/>
          <w:numId w:val="22"/>
        </w:numPr>
      </w:pPr>
      <w:r>
        <w:t xml:space="preserve">Правительство признает, что аборигены и жители островов Торресова пролива недостаточно представлены в избирательных списках и в процессе выборов, а также чаще голосуют в неофициальном порядке. Тем не менее </w:t>
      </w:r>
      <w:r w:rsidR="00A0321E">
        <w:t>коэффициент</w:t>
      </w:r>
      <w:r>
        <w:t xml:space="preserve"> регистрации граждан, относящихся к коренному населению, растет. Согласно оценкам, коэффициент регистрации аборигенов и жителей островов Торресова пролива на 30 июня 2023 года составлял 94,1 процента по сравнению с 74,7</w:t>
      </w:r>
      <w:r w:rsidR="00654C9D">
        <w:rPr>
          <w:lang w:val="en-US"/>
        </w:rPr>
        <w:t> </w:t>
      </w:r>
      <w:r>
        <w:t>процента в 2017 году</w:t>
      </w:r>
      <w:r w:rsidRPr="00E0204C">
        <w:rPr>
          <w:rStyle w:val="aa"/>
        </w:rPr>
        <w:footnoteReference w:id="88"/>
      </w:r>
      <w:r>
        <w:t xml:space="preserve">. В 2010 году была разработана программа участия в выборах граждан, относящихся к коренному населению, направленная на повышение уровня знаний о выборах и устранение барьеров, препятствующих регистрации и участию </w:t>
      </w:r>
      <w:r w:rsidR="00D51E97">
        <w:t xml:space="preserve">в </w:t>
      </w:r>
      <w:r>
        <w:t>голосовании. Сотрудники AИК по вопросам взаимодействия, устанавливая партнерские отношения с местными организациями на уровне общин и другими заинтересованными сторонами, предоставляют аборигенам и жителям островов Торресова пролива услуги и информацию, касающиеся выборов, отвечающие культурным и региональным потребностям.</w:t>
      </w:r>
    </w:p>
    <w:p w14:paraId="2EF5E43F" w14:textId="2EB655F4" w:rsidR="00841C25" w:rsidRPr="008F3942" w:rsidRDefault="00841C25" w:rsidP="00841C25">
      <w:pPr>
        <w:pStyle w:val="SingleTxtG"/>
      </w:pPr>
      <w:r>
        <w:lastRenderedPageBreak/>
        <w:t>86.</w:t>
      </w:r>
      <w:r>
        <w:tab/>
        <w:t>В 2019 году 87 процентов респондентов в целом отметили, что они очень или почти уверены в способности АИК предоставлять услуги, касающиеся выборов, а 85</w:t>
      </w:r>
      <w:r w:rsidR="00654C9D">
        <w:rPr>
          <w:lang w:val="en-US"/>
        </w:rPr>
        <w:t> </w:t>
      </w:r>
      <w:r>
        <w:t>процентов в целом выразили мнение о том, что АИК проведет или провела федеральные выборы 2019 года справедливо.</w:t>
      </w:r>
    </w:p>
    <w:p w14:paraId="2A421057" w14:textId="02D8CBFA" w:rsidR="00841C25" w:rsidRPr="008F3942" w:rsidRDefault="00841C25" w:rsidP="00841C25">
      <w:pPr>
        <w:pStyle w:val="SingleTxtG"/>
      </w:pPr>
      <w:r>
        <w:t>87.</w:t>
      </w:r>
      <w:r>
        <w:tab/>
        <w:t>По состоянию на 15 марта 2023 года в Австралии было зарегистрировано 57</w:t>
      </w:r>
      <w:r w:rsidR="00654C9D">
        <w:rPr>
          <w:lang w:val="en-US"/>
        </w:rPr>
        <w:t> </w:t>
      </w:r>
      <w:r>
        <w:t>политических партий, включая отделения национальных партий в штатах</w:t>
      </w:r>
      <w:r w:rsidRPr="00E0204C">
        <w:rPr>
          <w:rStyle w:val="aa"/>
        </w:rPr>
        <w:footnoteReference w:id="89"/>
      </w:r>
      <w:r>
        <w:t>. Из всех партий, представленных в настоящее время в австралийском парламенте, с 1943 года только лейбористская партия Австралии и либеральная партия в коалиции с национальной партией получали достаточно мест в палате представителей, чтобы сформировать правительство по итогам выборов.</w:t>
      </w:r>
    </w:p>
    <w:p w14:paraId="4379B013" w14:textId="2F72D638" w:rsidR="00841C25" w:rsidRPr="00654C9D" w:rsidRDefault="00841C25" w:rsidP="00841C25">
      <w:pPr>
        <w:pStyle w:val="SingleTxtG"/>
      </w:pPr>
      <w:r>
        <w:t>88.</w:t>
      </w:r>
      <w:r>
        <w:tab/>
        <w:t xml:space="preserve">Изменения в составе парламента происходят в связи с отставками, лишением полномочий и изменениями в составе партий. Текущее распределение мест в парламенте по партиям и полу можно найти на веб-сайте австралийского парламента по адресу </w:t>
      </w:r>
      <w:hyperlink r:id="rId19" w:history="1">
        <w:r w:rsidR="00654C9D" w:rsidRPr="005313E9">
          <w:rPr>
            <w:rStyle w:val="af1"/>
          </w:rPr>
          <w:t>www.aph.gov.au/Senators_and_Members</w:t>
        </w:r>
      </w:hyperlink>
      <w:r>
        <w:t>.</w:t>
      </w:r>
      <w:r w:rsidR="00654C9D" w:rsidRPr="00654C9D">
        <w:t xml:space="preserve"> </w:t>
      </w:r>
    </w:p>
    <w:p w14:paraId="2E6493E8" w14:textId="7156C93A" w:rsidR="00841C25" w:rsidRPr="008F3942" w:rsidRDefault="00841C25" w:rsidP="00841C25">
      <w:pPr>
        <w:pStyle w:val="SingleTxtG"/>
      </w:pPr>
      <w:r>
        <w:t>89.</w:t>
      </w:r>
      <w:r>
        <w:tab/>
        <w:t>По состоянию на 1 января 2022 года 39 процентов федеральных парламентариев и 39 процентов парламентариев штатов и территорий составляли женщины. За</w:t>
      </w:r>
      <w:r w:rsidR="00654C9D">
        <w:rPr>
          <w:lang w:val="en-US"/>
        </w:rPr>
        <w:t> </w:t>
      </w:r>
      <w:r>
        <w:t>последние два десятилетия доля женщин в парламентах штатов и территорий тесно коррелировала с долей женщин в федеральном парламенте. Общая представленность женщин в парламентах штатов и территорий увеличил</w:t>
      </w:r>
      <w:r w:rsidR="00D51E97">
        <w:t>а</w:t>
      </w:r>
      <w:r>
        <w:t>сь с 22 процентов в 2001 году</w:t>
      </w:r>
      <w:r w:rsidRPr="00E0204C">
        <w:rPr>
          <w:rStyle w:val="aa"/>
        </w:rPr>
        <w:footnoteReference w:id="90"/>
      </w:r>
      <w:r>
        <w:t xml:space="preserve">. Данные о культурном разнообразии в парламенте ограничены, но в предыдущем парламенте в 2018 году, по оценкам, 78 процентов членов федерального парламента имели англо-кельтское происхождение, 16 процентов </w:t>
      </w:r>
      <w:r w:rsidRPr="00383315">
        <w:t>—</w:t>
      </w:r>
      <w:r>
        <w:t xml:space="preserve"> европейское, 4 процента </w:t>
      </w:r>
      <w:r w:rsidRPr="00383315">
        <w:t>—</w:t>
      </w:r>
      <w:r>
        <w:t xml:space="preserve"> неевропейское и 2 процента были из числа аборигенов и/или жителей островов Торресова пролива</w:t>
      </w:r>
      <w:r w:rsidRPr="00E0204C">
        <w:rPr>
          <w:rStyle w:val="aa"/>
        </w:rPr>
        <w:footnoteReference w:id="91"/>
      </w:r>
      <w:r>
        <w:t>.</w:t>
      </w:r>
    </w:p>
    <w:p w14:paraId="638AFE4D" w14:textId="77777777" w:rsidR="00841C25" w:rsidRPr="008F3942" w:rsidRDefault="00841C25" w:rsidP="00841C25">
      <w:pPr>
        <w:pStyle w:val="H4G"/>
      </w:pPr>
      <w:r>
        <w:tab/>
      </w:r>
      <w:r>
        <w:tab/>
      </w:r>
      <w:r>
        <w:rPr>
          <w:iCs/>
        </w:rPr>
        <w:t>Исполнительная власть</w:t>
      </w:r>
    </w:p>
    <w:p w14:paraId="664AB3B3" w14:textId="77777777" w:rsidR="00841C25" w:rsidRPr="008F3942" w:rsidRDefault="00841C25" w:rsidP="00841C25">
      <w:pPr>
        <w:pStyle w:val="SingleTxtG"/>
      </w:pPr>
      <w:r>
        <w:t>90.</w:t>
      </w:r>
      <w:r>
        <w:tab/>
        <w:t>Конституция признает систему ответственности правительства, при которой министры несут прямую ответственность перед парламентом. Премьер-министр, а значит и правительство, являющееся частью исполнительной власти, могут оставаться на своем посту только до тех пор, пока они пользуются доверием нижней палаты. Министры должны быть выбраны из числа членов верхней или нижней палаты. Таким образом, обеспечивается прямая подотчетность перед гражданами, которые избирают членов парламента, некоторые из которых впоследствии осуществляют исполнительную власть.</w:t>
      </w:r>
    </w:p>
    <w:p w14:paraId="5ADCD129" w14:textId="77777777" w:rsidR="00841C25" w:rsidRPr="008F3942" w:rsidRDefault="00841C25" w:rsidP="00841C25">
      <w:pPr>
        <w:pStyle w:val="SingleTxtG"/>
      </w:pPr>
      <w:r>
        <w:t>91.</w:t>
      </w:r>
      <w:r>
        <w:tab/>
        <w:t>После проведения всеобщих выборов на федеральном уровне генерал-губернатор поручает одному из членов парламента осуществлять функции премьер-министра. Это лицо является лидером партии или коалиции партий, получивших большинство мест в палате представителей, или лицом, которое может получить общую поддержку большинства членов этой палаты. Другие министры австралийского правительства назначаются генерал-губернатором по рекомендации премьер-министра из числа членов парламента.</w:t>
      </w:r>
    </w:p>
    <w:p w14:paraId="64510AC1" w14:textId="77777777" w:rsidR="00841C25" w:rsidRPr="008F3942" w:rsidRDefault="00841C25" w:rsidP="00841C25">
      <w:pPr>
        <w:pStyle w:val="SingleTxtG"/>
      </w:pPr>
      <w:r>
        <w:t>92.</w:t>
      </w:r>
      <w:r>
        <w:tab/>
        <w:t>При буквальном прочтении Конституции полномочия генерал-губернатора представляются обширными. Однако на практике и в соответствии со сложившейся традицией исполнительные функции генерал-губернатора осуществляются почти исключительно по рекомендации министров правительства Австралии, и именно правительство Австралии берет на себя политическую ответственность за эти действия. Осуществляя предусмотренные законодательством полномочия и функции, а также многие полномочия и функции, предусмотренные Конституцией, генерал-</w:t>
      </w:r>
      <w:r>
        <w:lastRenderedPageBreak/>
        <w:t>губернатор действует по рекомендации федерального исполнительного совета, активными членами которого являются министры правительства Австралии.</w:t>
      </w:r>
    </w:p>
    <w:p w14:paraId="1416676E" w14:textId="77777777" w:rsidR="00841C25" w:rsidRPr="008F3942" w:rsidRDefault="00841C25" w:rsidP="00841C25">
      <w:pPr>
        <w:pStyle w:val="H4G"/>
      </w:pPr>
      <w:r>
        <w:tab/>
      </w:r>
      <w:r>
        <w:tab/>
      </w:r>
      <w:r>
        <w:rPr>
          <w:iCs/>
        </w:rPr>
        <w:t>Судебная власть</w:t>
      </w:r>
    </w:p>
    <w:p w14:paraId="3A8AAE38" w14:textId="77777777" w:rsidR="00841C25" w:rsidRPr="008F3942" w:rsidRDefault="00841C25" w:rsidP="00841C25">
      <w:pPr>
        <w:pStyle w:val="SingleTxtG"/>
      </w:pPr>
      <w:r>
        <w:t>93.</w:t>
      </w:r>
      <w:r>
        <w:tab/>
        <w:t>В Австралии придается важное значение обеспечению независимости судебных органов и их отделению от законодательных и исполнительных органов власти. Судьи в Австралии действуют независимо от правительства при толковании и применении законов. Гарантии пребывания в должности гарантируются Конституцией для федеральных судей и законодательством для судей штатов и территорий. Согласно Конституции федеральные судьи должны уходить в отставку в возрасте 70 лет.</w:t>
      </w:r>
    </w:p>
    <w:p w14:paraId="754A6A37" w14:textId="77777777" w:rsidR="00841C25" w:rsidRPr="008F3942" w:rsidRDefault="00841C25" w:rsidP="00654C9D">
      <w:pPr>
        <w:pStyle w:val="SingleTxtG"/>
        <w:spacing w:after="240"/>
      </w:pPr>
      <w:r>
        <w:t>94.</w:t>
      </w:r>
      <w:r>
        <w:tab/>
        <w:t>В Австралийском Союзе судебной властью облечены Высокий суд Австралии, другие федеральные суды, учрежденные парламентом Австралии, и суды штатов и территорий, наделенные федеральной юрисдикцией. Иерархия австралийских судов и взаимоотношения между ними показаны на следующей схеме.</w:t>
      </w:r>
    </w:p>
    <w:p w14:paraId="42D9B1F2" w14:textId="77777777" w:rsidR="00841C25" w:rsidRPr="00D62FAA" w:rsidRDefault="00841C25" w:rsidP="00841C25">
      <w:pPr>
        <w:jc w:val="center"/>
      </w:pPr>
      <w:r w:rsidRPr="00D62FAA">
        <w:rPr>
          <w:noProof/>
        </w:rPr>
        <w:drawing>
          <wp:inline distT="0" distB="0" distL="0" distR="0" wp14:anchorId="25DAD56F" wp14:editId="573AC363">
            <wp:extent cx="5414829" cy="4758414"/>
            <wp:effectExtent l="0" t="0" r="0" b="0"/>
            <wp:docPr id="5" name="Рисунок 5" descr="A diagram of a cou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ourt&#10;&#10;Description automatically generated"/>
                    <pic:cNvPicPr/>
                  </pic:nvPicPr>
                  <pic:blipFill>
                    <a:blip r:embed="rId20"/>
                    <a:stretch>
                      <a:fillRect/>
                    </a:stretch>
                  </pic:blipFill>
                  <pic:spPr>
                    <a:xfrm>
                      <a:off x="0" y="0"/>
                      <a:ext cx="5428182" cy="4770148"/>
                    </a:xfrm>
                    <a:prstGeom prst="rect">
                      <a:avLst/>
                    </a:prstGeom>
                  </pic:spPr>
                </pic:pic>
              </a:graphicData>
            </a:graphic>
          </wp:inline>
        </w:drawing>
      </w:r>
    </w:p>
    <w:p w14:paraId="348C7565" w14:textId="77777777" w:rsidR="00841C25" w:rsidRPr="00654C9D" w:rsidRDefault="00841C25" w:rsidP="00654C9D">
      <w:pPr>
        <w:spacing w:before="120" w:after="240" w:line="220" w:lineRule="exact"/>
        <w:ind w:left="1134" w:right="1134" w:firstLine="170"/>
        <w:rPr>
          <w:sz w:val="18"/>
          <w:szCs w:val="18"/>
        </w:rPr>
      </w:pPr>
      <w:r w:rsidRPr="00654C9D">
        <w:rPr>
          <w:i/>
          <w:iCs/>
          <w:sz w:val="18"/>
          <w:szCs w:val="18"/>
        </w:rPr>
        <w:t>Источник</w:t>
      </w:r>
      <w:r w:rsidRPr="00654C9D">
        <w:rPr>
          <w:sz w:val="18"/>
          <w:szCs w:val="18"/>
        </w:rPr>
        <w:t>: Комиссия по вопросам продуктивности, 2023 год.</w:t>
      </w:r>
    </w:p>
    <w:p w14:paraId="0B806D6D" w14:textId="77777777" w:rsidR="00841C25" w:rsidRPr="008F3942" w:rsidRDefault="00841C25" w:rsidP="00841C25">
      <w:pPr>
        <w:pStyle w:val="SingleTxtG"/>
      </w:pPr>
      <w:r>
        <w:t>95.</w:t>
      </w:r>
      <w:r>
        <w:tab/>
        <w:t>Конституция Австралии предоставляет Высокому суду два типа юрисдикции: юрисдикцию суда первой инстанции и суда апелляционной инстанции. Юрисдикция суда первой инстанции предоставляется в соответствии со статьей 75 Конституции и касается всех вопросов:</w:t>
      </w:r>
    </w:p>
    <w:p w14:paraId="58F297E2" w14:textId="77777777" w:rsidR="00841C25" w:rsidRPr="008F3942" w:rsidRDefault="00841C25" w:rsidP="00841C25">
      <w:pPr>
        <w:pStyle w:val="Bullet1G"/>
        <w:numPr>
          <w:ilvl w:val="0"/>
          <w:numId w:val="22"/>
        </w:numPr>
      </w:pPr>
      <w:r>
        <w:t>возникающих в связи с тем или иным договором;</w:t>
      </w:r>
    </w:p>
    <w:p w14:paraId="6DB99629" w14:textId="77777777" w:rsidR="00841C25" w:rsidRPr="008F3942" w:rsidRDefault="00841C25" w:rsidP="00841C25">
      <w:pPr>
        <w:pStyle w:val="Bullet1G"/>
        <w:numPr>
          <w:ilvl w:val="0"/>
          <w:numId w:val="22"/>
        </w:numPr>
      </w:pPr>
      <w:r>
        <w:t>затрагивающих консулов или иных представителей других стран;</w:t>
      </w:r>
    </w:p>
    <w:p w14:paraId="03C293AA" w14:textId="77777777" w:rsidR="00841C25" w:rsidRPr="008F3942" w:rsidRDefault="00841C25" w:rsidP="00841C25">
      <w:pPr>
        <w:pStyle w:val="Bullet1G"/>
        <w:numPr>
          <w:ilvl w:val="0"/>
          <w:numId w:val="22"/>
        </w:numPr>
      </w:pPr>
      <w:r>
        <w:t>касающихся исков, стороной которых является Австралийский Союз или лицо, предъявившее иск или преследуемое от имени Австралийского Союза;</w:t>
      </w:r>
    </w:p>
    <w:p w14:paraId="5AA7A278" w14:textId="77777777" w:rsidR="00841C25" w:rsidRPr="008F3942" w:rsidRDefault="00841C25" w:rsidP="00841C25">
      <w:pPr>
        <w:pStyle w:val="Bullet1G"/>
        <w:numPr>
          <w:ilvl w:val="0"/>
          <w:numId w:val="22"/>
        </w:numPr>
      </w:pPr>
      <w:r>
        <w:lastRenderedPageBreak/>
        <w:t>возникающих между штатами или между жителями различных штатов, или между штатом и жителем другого штата;</w:t>
      </w:r>
    </w:p>
    <w:p w14:paraId="6C10BAE5" w14:textId="77777777" w:rsidR="00841C25" w:rsidRPr="008F3942" w:rsidRDefault="00841C25" w:rsidP="00841C25">
      <w:pPr>
        <w:pStyle w:val="Bullet1G"/>
        <w:numPr>
          <w:ilvl w:val="0"/>
          <w:numId w:val="22"/>
        </w:numPr>
      </w:pPr>
      <w:r>
        <w:t>по которым в отношении должностного лица Австралийского Союза испрашивается судебное распоряжение, нормативное запрещение или судебный запрет.</w:t>
      </w:r>
    </w:p>
    <w:p w14:paraId="58DED335" w14:textId="77777777" w:rsidR="00841C25" w:rsidRPr="008F3942" w:rsidRDefault="00841C25" w:rsidP="00841C25">
      <w:pPr>
        <w:pStyle w:val="SingleTxtG"/>
      </w:pPr>
      <w:r>
        <w:t>96.</w:t>
      </w:r>
      <w:r>
        <w:tab/>
        <w:t xml:space="preserve">Согласно статье 76 Конституции федеральный парламент может также предоставлять Высокому суду юрисдикцию суда первой инстанции в отношении ряда других вопросов, включая вопросы, возникающие в соответствии с Конституцией или связанные с ее толкованием, и вопросы, возникающие в соответствии с законами, принятыми парламентом. В соответствии с этими статьями Высокий суд разделяет часть своей юрисдикции с Федеральным судом Австралии, а в некоторых вопросах </w:t>
      </w:r>
      <w:r w:rsidRPr="001F7CB2">
        <w:t>—</w:t>
      </w:r>
      <w:r>
        <w:t xml:space="preserve"> с Федеральным окружным и cемейным судом Австралии, а также с судами штатов и территорий. Высокий суд является последней апелляционной инстанцией в Австралии для федеральных судов и судов штатов.</w:t>
      </w:r>
    </w:p>
    <w:p w14:paraId="7759875F" w14:textId="77777777" w:rsidR="00841C25" w:rsidRPr="008F3942" w:rsidRDefault="00841C25" w:rsidP="00841C25">
      <w:pPr>
        <w:pStyle w:val="SingleTxtG"/>
      </w:pPr>
      <w:r>
        <w:t>97.</w:t>
      </w:r>
      <w:r>
        <w:tab/>
        <w:t>Федеральный суд, созданный в соответствии с Законом о Федеральном суде Австралии 1976 года (АС), обладает юрисдикцией суда как первой, так и апелляционной инстанции. Федеральный суд может рассматривать апелляции на решения других судов, включая Федеральный окружной и cемейный суд Австралии, а также, в некоторых случаях, суды штатов и территорий. К юрисдикции Федерального суда относятся все вопросы, возникающие в соответствии с законодательством, принятым федеральным парламентом, и вопросы, по которым в отношении должностного лица Австралийского Союза испрашивается судебное распоряжение, нормативное запрещение или судебный запрет.</w:t>
      </w:r>
    </w:p>
    <w:p w14:paraId="40AB2FAA" w14:textId="2424C5D5" w:rsidR="00841C25" w:rsidRPr="008F3942" w:rsidRDefault="00841C25" w:rsidP="00841C25">
      <w:pPr>
        <w:pStyle w:val="SingleTxtG"/>
      </w:pPr>
      <w:r>
        <w:t>98.</w:t>
      </w:r>
      <w:r>
        <w:tab/>
        <w:t>Федеральный окружной и семейный суд Австралии (ФОСС) был создан в соответствии с Законом о Федеральном окружном и семейном суде Австралии 2021</w:t>
      </w:r>
      <w:r w:rsidR="00654C9D">
        <w:rPr>
          <w:lang w:val="en-US"/>
        </w:rPr>
        <w:t> </w:t>
      </w:r>
      <w:r>
        <w:t>года (АС) (Закон о ФОСС). Закон о ФОСС вступил в силу 1 сентября 2021 года и объединил Семейный суд Австралии (учрежденный в соответствии с Законом о Семейном суде Австралии 1975 года) и Федеральный окружной суд (ФОС) (учрежденный в соответствии с Законом о Федеральном окружном суде Австралии 1999 года (АС)) в единую административную структуру.</w:t>
      </w:r>
    </w:p>
    <w:p w14:paraId="025052D2" w14:textId="204B3B00" w:rsidR="00841C25" w:rsidRPr="008F3942" w:rsidRDefault="00841C25" w:rsidP="00841C25">
      <w:pPr>
        <w:pStyle w:val="SingleTxtG"/>
      </w:pPr>
      <w:r>
        <w:t>99.</w:t>
      </w:r>
      <w:r>
        <w:tab/>
        <w:t>Федеральный суд, ранее известный как Семейный суд Австралии, продолжает существовать как ФОСС (коллегия 1) и обладает юрисдикцией суда первой инстанции в вопросах, относящихся к сфере семейного права или делам о выплате алиментов на ребенка, переданных из ФОСС (коллегия 2) или предусмотренных другим законом Австралийского Союза, а также обладает апелляционной юрисдикцией в вопросах, касающихся семейного права и выплаты алиментов на ребенка. Федеральный суд, ранее известный как ФОС, продолжает существовать как ФОСС (коллегия 2) и</w:t>
      </w:r>
      <w:r w:rsidR="00654C9D">
        <w:rPr>
          <w:lang w:val="en-US"/>
        </w:rPr>
        <w:t> </w:t>
      </w:r>
      <w:r>
        <w:t>обладает юрисдикцией суда первой инстанции в вопросах, касающихся общего федерального законодательства (включая административное законодательство, законодательство о банкротстве, защите прав потребителей, защите неприкосновенности частной жизни, миграции, авторском праве и справедливых трудовых отношениях). ФОСС (коллегия 2) также является единой инстанцией для рассмотрения всех вопросов семейного права. Все федеральные дела, относящиеся к семейному праву, подаются в ФОСС (коллегия 2).</w:t>
      </w:r>
    </w:p>
    <w:p w14:paraId="5E85EF65" w14:textId="77777777" w:rsidR="00841C25" w:rsidRPr="008F3942" w:rsidRDefault="00841C25" w:rsidP="00841C25">
      <w:pPr>
        <w:pStyle w:val="SingleTxtG"/>
      </w:pPr>
      <w:bookmarkStart w:id="20" w:name="_Ref64892434"/>
      <w:r>
        <w:t>100.</w:t>
      </w:r>
      <w:r>
        <w:tab/>
        <w:t>Суды штатов и территорий имеют юрисдикцию судов первой инстанции по всем вопросам, охватываемым законами штатов или территорий, а также вопросам, охватываемым федеральными законами, юрисдикция по которым была предоставлена судам федеральным парламентом. Как правило, уголовные дела, независимо от того, подпадают ли они под федеральное законодательство, законодательство штата или территории, рассматриваются судами штатов или территорий.</w:t>
      </w:r>
      <w:bookmarkEnd w:id="20"/>
    </w:p>
    <w:p w14:paraId="533DDCDF" w14:textId="77777777" w:rsidR="00841C25" w:rsidRPr="008F3942" w:rsidRDefault="00841C25" w:rsidP="00841C25">
      <w:pPr>
        <w:pStyle w:val="SingleTxtG"/>
      </w:pPr>
      <w:r>
        <w:t>101.</w:t>
      </w:r>
      <w:r>
        <w:tab/>
        <w:t xml:space="preserve">Верховные суды являются высшими судами штатов и территорий и рассматривают важные гражданские споры и серьезные уголовные дела. </w:t>
      </w:r>
    </w:p>
    <w:p w14:paraId="074F2611" w14:textId="77777777" w:rsidR="00841C25" w:rsidRPr="008F3942" w:rsidRDefault="00841C25" w:rsidP="00841C25">
      <w:pPr>
        <w:pStyle w:val="SingleTxtG"/>
      </w:pPr>
      <w:r>
        <w:t>102.</w:t>
      </w:r>
      <w:r>
        <w:tab/>
        <w:t xml:space="preserve">Суды промежуточной инстанции, в которых председательствует один судья, рассматривают большинство тяжких уголовных преступлений, в которых требуется участие присяжных заседателей для определения обстоятельств дела, а также </w:t>
      </w:r>
      <w:r>
        <w:lastRenderedPageBreak/>
        <w:t>гражданские судебные разбирательства, в которых иски, касающиеся материальных претензий, не превышают определенного предела. В АСТ и СТ нет судов промежуточной инстанции. Эта юрисдикция разделена между Верховными судами и магистратскими или местными судами.</w:t>
      </w:r>
    </w:p>
    <w:p w14:paraId="0273FF7F" w14:textId="77777777" w:rsidR="00841C25" w:rsidRPr="008F3942" w:rsidRDefault="00841C25" w:rsidP="00841C25">
      <w:pPr>
        <w:pStyle w:val="SingleTxtG"/>
      </w:pPr>
      <w:bookmarkStart w:id="21" w:name="_Ref64892468"/>
      <w:r>
        <w:t>103.</w:t>
      </w:r>
      <w:r>
        <w:tab/>
        <w:t>Суды, рассматривающие дела в порядке суммарного производства, возглавляются магистратами и рассматривают дела в упрощенном порядке (т. е. без участия присяжных заседателей). Они рассматривают такие правонарушения, как нарушение правил дорожного движения, гражданские иски о взыскании долгов и более мелкие претензии одних граждан к другим или к компаниям, а также некоторые споры об алиментах, опеке и имуществе. Магистраты также проводят слушания по делам, связанным с совершением более серьезных правонарушений, с целью принятия решения по вопросу о наличии достаточно серьезных доказательств, которые должны быть рассмотрены судьей и присяжными заседателями.</w:t>
      </w:r>
      <w:bookmarkEnd w:id="21"/>
    </w:p>
    <w:p w14:paraId="371D49C9" w14:textId="77777777" w:rsidR="00841C25" w:rsidRPr="008F3942" w:rsidRDefault="00841C25" w:rsidP="00841C25">
      <w:pPr>
        <w:pStyle w:val="SingleTxtG"/>
      </w:pPr>
      <w:r>
        <w:t>104.</w:t>
      </w:r>
      <w:r>
        <w:tab/>
        <w:t>Во всех штатах и территориях созданы суды и трибуналы по рассмотрению мелких тяжб, позволяющие быстро, дешево и неформально рассматривать незначительные юридические споры.</w:t>
      </w:r>
    </w:p>
    <w:p w14:paraId="79A462A9" w14:textId="012340C0" w:rsidR="00841C25" w:rsidRPr="008F3942" w:rsidRDefault="00654C9D" w:rsidP="00841C25">
      <w:pPr>
        <w:pStyle w:val="H23G"/>
      </w:pPr>
      <w:r>
        <w:tab/>
      </w:r>
      <w:r w:rsidR="00841C25">
        <w:t>2.</w:t>
      </w:r>
      <w:r w:rsidR="00841C25">
        <w:tab/>
      </w:r>
      <w:r w:rsidR="00841C25">
        <w:rPr>
          <w:bCs/>
        </w:rPr>
        <w:t>Неправительственные организации</w:t>
      </w:r>
      <w:r w:rsidR="00841C25">
        <w:t xml:space="preserve"> </w:t>
      </w:r>
    </w:p>
    <w:p w14:paraId="3269D88B" w14:textId="77777777" w:rsidR="00841C25" w:rsidRPr="008F3942" w:rsidRDefault="00841C25" w:rsidP="00841C25">
      <w:pPr>
        <w:pStyle w:val="SingleTxtG"/>
      </w:pPr>
      <w:r>
        <w:t>105.</w:t>
      </w:r>
      <w:r>
        <w:tab/>
        <w:t>Некоммерческий сектор в Австралии является большим и разнообразным и вносит важный вклад в целый ряд областей, включая гражданское общество, развитие на местном уровне, вопросы, касающиеся жилья и бездомности, а также борьбу с нищетой и улучшение неблагоприятных условий. В Австралии насчитывается более 200 000 некоммерческих организаций. В соответствии с нормативно-правовой базой правительства Австралии более 58 500 организаций зарегистрированы Австралийской комиссией по благотворительным и некоммерческим организациям в качестве благотворительных организаций, из которых почти две трети составляют небольшие благотворительные организации с годовым доходом менее 250 000 долл. Актуальную информацию можно найти на веб-сайте www.acnc.gov.au.</w:t>
      </w:r>
    </w:p>
    <w:p w14:paraId="21A51CBF" w14:textId="63B54EF5" w:rsidR="00841C25" w:rsidRPr="00E60A05" w:rsidRDefault="00841C25" w:rsidP="00841C25">
      <w:pPr>
        <w:pStyle w:val="SingleTxtG"/>
      </w:pPr>
      <w:r>
        <w:t>106.</w:t>
      </w:r>
      <w:r>
        <w:tab/>
        <w:t>В рамках предоставления помощи в целях развития Австралия поддерживает неправительственные организации (НПО) в осуществлении большого числа программ по обеспечению развития на местном уровне в других странах. Австралийские НПО должны быть аккредитованы Министерством иностранных дел и торговли (МИДТ) для получения финансирования по линии австралийской программы сотрудничества с НПО. По состоянию на март 2023 года 44 НПО имеют полную аккредитацию и 16</w:t>
      </w:r>
      <w:r w:rsidR="00D51E97">
        <w:t> </w:t>
      </w:r>
      <w:r>
        <w:t>НПО</w:t>
      </w:r>
      <w:r w:rsidR="00E60A05">
        <w:rPr>
          <w:lang w:val="en-US"/>
        </w:rPr>
        <w:t> </w:t>
      </w:r>
      <w:r w:rsidRPr="00234EC2">
        <w:t>—</w:t>
      </w:r>
      <w:r>
        <w:t xml:space="preserve"> базовую аккредитацию</w:t>
      </w:r>
      <w:r w:rsidRPr="00E0204C">
        <w:rPr>
          <w:rStyle w:val="aa"/>
        </w:rPr>
        <w:footnoteReference w:id="92"/>
      </w:r>
      <w:r>
        <w:t xml:space="preserve">. Актуальную информацию можно найти на </w:t>
      </w:r>
      <w:r w:rsidR="00D51E97">
        <w:br/>
      </w:r>
      <w:r>
        <w:t xml:space="preserve">веб-сайте </w:t>
      </w:r>
      <w:hyperlink r:id="rId21" w:history="1">
        <w:r w:rsidR="00E60A05" w:rsidRPr="00AC02E3">
          <w:rPr>
            <w:rStyle w:val="af1"/>
          </w:rPr>
          <w:t>https://www.dfat.gov.au/development/who-we-work-with/ngos/non-government-organisations-effective-development-partners-statement</w:t>
        </w:r>
      </w:hyperlink>
      <w:r>
        <w:t>.</w:t>
      </w:r>
      <w:r w:rsidR="00E60A05" w:rsidRPr="00E60A05">
        <w:t xml:space="preserve"> </w:t>
      </w:r>
    </w:p>
    <w:p w14:paraId="564C9377" w14:textId="4077BFBF" w:rsidR="00841C25" w:rsidRPr="008F3942" w:rsidRDefault="00654C9D" w:rsidP="00841C25">
      <w:pPr>
        <w:pStyle w:val="H23G"/>
      </w:pPr>
      <w:r>
        <w:tab/>
      </w:r>
      <w:r w:rsidR="00841C25">
        <w:t>3.</w:t>
      </w:r>
      <w:r w:rsidR="00841C25">
        <w:tab/>
      </w:r>
      <w:r w:rsidR="00841C25">
        <w:rPr>
          <w:bCs/>
        </w:rPr>
        <w:t>Средства массовой информации</w:t>
      </w:r>
    </w:p>
    <w:p w14:paraId="52C23264" w14:textId="77777777" w:rsidR="00841C25" w:rsidRPr="008F3942" w:rsidRDefault="00841C25" w:rsidP="00841C25">
      <w:pPr>
        <w:pStyle w:val="SingleTxtG"/>
      </w:pPr>
      <w:r>
        <w:t>107.</w:t>
      </w:r>
      <w:r>
        <w:tab/>
        <w:t xml:space="preserve">Австралия имеет свободную и независимую прессу и признает ту важную роль, которую независимая пресса играет в содействии свободному обмену идеями и информацией, а также в поощрении общественных дискуссий. </w:t>
      </w:r>
    </w:p>
    <w:p w14:paraId="7F141152" w14:textId="77777777" w:rsidR="00841C25" w:rsidRPr="008F3942" w:rsidRDefault="00841C25" w:rsidP="00841C25">
      <w:pPr>
        <w:pStyle w:val="SingleTxtG"/>
      </w:pPr>
      <w:r>
        <w:t>108.</w:t>
      </w:r>
      <w:r>
        <w:tab/>
        <w:t xml:space="preserve">В Австралии есть две общественные вещательные компании, которые производят независимый телевизионный, радио- и онлайн-контент, </w:t>
      </w:r>
      <w:r w:rsidRPr="00234EC2">
        <w:t>—</w:t>
      </w:r>
      <w:r>
        <w:t xml:space="preserve"> Австралийская корпорация телерадиовещания (АКТ) и Специальная служба телерадиовещания (ССТ). ССТ уделяет особое внимание многоязычным и многокультурным программам и имеет канал «Национальное телевидение для коренных народов» (НТКН), созданный аборигенами и жителями островов Торресова пролива, для них и о них.</w:t>
      </w:r>
    </w:p>
    <w:p w14:paraId="3FE985AD" w14:textId="6D4588B1" w:rsidR="00841C25" w:rsidRPr="008F3942" w:rsidRDefault="00841C25" w:rsidP="00D51E97">
      <w:pPr>
        <w:pStyle w:val="SingleTxtG"/>
        <w:keepNext/>
        <w:keepLines/>
      </w:pPr>
      <w:r>
        <w:lastRenderedPageBreak/>
        <w:t>109.</w:t>
      </w:r>
      <w:r>
        <w:tab/>
        <w:t>Уровень владения средствами массовой информации в Австралии один из самых сконцентрированных в мире; на этом рынке доминирует небольшое число корпораций и семей, имеющих взаимосвязанные интересы</w:t>
      </w:r>
      <w:r w:rsidRPr="00E0204C">
        <w:rPr>
          <w:rStyle w:val="aa"/>
        </w:rPr>
        <w:footnoteReference w:id="93"/>
      </w:r>
      <w:r>
        <w:t xml:space="preserve">. Из </w:t>
      </w:r>
      <w:r w:rsidR="00D51E97">
        <w:t>десяти</w:t>
      </w:r>
      <w:r>
        <w:t xml:space="preserve"> столичных газет или газет, выходящих на территории штата, девять принадлежат двум компаниям, которые также владеют большинством ведущих новостных веб-сайтов. Большая часть доходов в сфере телевидения и радио приходится на четыре компании. Однако в последние годы на рынке появились новые веб-сайты, и многие австралийцы стали использовать социальные сети и другие цифровые платформы для доступа к медиаконтенту.</w:t>
      </w:r>
    </w:p>
    <w:p w14:paraId="7CBA26AB" w14:textId="77777777" w:rsidR="00841C25" w:rsidRPr="008F3942" w:rsidRDefault="00841C25" w:rsidP="00841C25">
      <w:pPr>
        <w:pStyle w:val="SingleTxtG"/>
      </w:pPr>
      <w:r>
        <w:t>110.</w:t>
      </w:r>
      <w:r>
        <w:tab/>
        <w:t>Отражая важность независимых новостных средств массовой информации, каждый австралийский медиа-сектор имеет свою собственную форму совместного регулирования или саморегулирования. Правительство не вмешивается в редакционные решения коммерческих или государственных СМИ. Однако некоторые виды медиаконтента в Австралии подлежат регулированию или классификации.</w:t>
      </w:r>
    </w:p>
    <w:p w14:paraId="0C6A72BF" w14:textId="77777777" w:rsidR="00841C25" w:rsidRPr="008F3942" w:rsidRDefault="00841C25" w:rsidP="00841C25">
      <w:pPr>
        <w:pStyle w:val="SingleTxtG"/>
      </w:pPr>
      <w:r>
        <w:t>111.</w:t>
      </w:r>
      <w:r>
        <w:tab/>
        <w:t>Австралийские СМИ могут свободно освещать все парламентские заседания. Решения суда открыты для освещения в СМИ, за исключением определенных и ограниченных обстоятельств, например, для защиты личности ребенка или жертвы сексуального преступления.</w:t>
      </w:r>
    </w:p>
    <w:p w14:paraId="6AC0D057" w14:textId="77777777" w:rsidR="00841C25" w:rsidRPr="008F3942" w:rsidRDefault="00841C25" w:rsidP="00841C25">
      <w:pPr>
        <w:pStyle w:val="SingleTxtG"/>
      </w:pPr>
      <w:r>
        <w:t>112.</w:t>
      </w:r>
      <w:r>
        <w:tab/>
        <w:t>В Австралии медийным организациям и журналистам предоставляются определенные привилегии, включая меры защиты, закрепленные в законодательстве, такие как:</w:t>
      </w:r>
    </w:p>
    <w:p w14:paraId="02059A56" w14:textId="77777777" w:rsidR="00841C25" w:rsidRPr="008F3942" w:rsidRDefault="00841C25" w:rsidP="00841C25">
      <w:pPr>
        <w:pStyle w:val="Bullet1G"/>
        <w:numPr>
          <w:ilvl w:val="0"/>
          <w:numId w:val="22"/>
        </w:numPr>
      </w:pPr>
      <w:r>
        <w:t>защита журналистов от раскрытия источников информации;</w:t>
      </w:r>
    </w:p>
    <w:p w14:paraId="2BFE8AF8" w14:textId="77777777" w:rsidR="00841C25" w:rsidRPr="008F3942" w:rsidRDefault="00841C25" w:rsidP="00841C25">
      <w:pPr>
        <w:pStyle w:val="Bullet1G"/>
        <w:numPr>
          <w:ilvl w:val="0"/>
          <w:numId w:val="22"/>
        </w:numPr>
      </w:pPr>
      <w:r>
        <w:t>исключения из применения Закона о защите неприкосновенности частной жизни 1988 года (АС), если действие было совершено в ходе журналистской деятельности и если организация публично обязуется соблюдать опубликованные стандарты защиты неприкосновенности частной жизни.</w:t>
      </w:r>
    </w:p>
    <w:p w14:paraId="5F2608A3" w14:textId="77777777" w:rsidR="00841C25" w:rsidRPr="008F3942" w:rsidRDefault="00841C25" w:rsidP="00841C25">
      <w:pPr>
        <w:pStyle w:val="SingleTxtG"/>
      </w:pPr>
      <w:r>
        <w:t>113.</w:t>
      </w:r>
      <w:r>
        <w:tab/>
        <w:t>При разработке политики и законодательства правительство уравновешивает конкурирующие права и обязанности, влияющие на доступ к информации и свободу выражения мнений, включая достижение надлежащего баланса между общественными интересами и требованиями, касающимися обеспечения национальной безопасности Австралии.</w:t>
      </w:r>
    </w:p>
    <w:p w14:paraId="51263D11" w14:textId="6388C412" w:rsidR="00841C25" w:rsidRPr="008F3942" w:rsidRDefault="00654C9D" w:rsidP="00841C25">
      <w:pPr>
        <w:pStyle w:val="H23G"/>
      </w:pPr>
      <w:r>
        <w:tab/>
      </w:r>
      <w:r w:rsidR="00841C25">
        <w:t>4.</w:t>
      </w:r>
      <w:r w:rsidR="00841C25">
        <w:tab/>
      </w:r>
      <w:r w:rsidR="00841C25">
        <w:rPr>
          <w:bCs/>
        </w:rPr>
        <w:t>Преступность и правосудие</w:t>
      </w:r>
    </w:p>
    <w:p w14:paraId="43018593" w14:textId="77777777" w:rsidR="00841C25" w:rsidRPr="008F3942" w:rsidRDefault="00841C25" w:rsidP="00841C25">
      <w:pPr>
        <w:pStyle w:val="SingleTxtG"/>
      </w:pPr>
      <w:r>
        <w:t>114.</w:t>
      </w:r>
      <w:r>
        <w:tab/>
        <w:t>Штаты и территории несут основную ответственность за вопросы уголовного права и правосудия. Положения, касающиеся федеральных преступлений, содержатся в Законе о преступлениях 1914 года (АС) и Законе об Уголовном кодексе 1995 года (АС).</w:t>
      </w:r>
    </w:p>
    <w:p w14:paraId="2C6E2E6C" w14:textId="77777777" w:rsidR="00841C25" w:rsidRPr="008F3942" w:rsidRDefault="00841C25" w:rsidP="00841C25">
      <w:pPr>
        <w:pStyle w:val="SingleTxtG"/>
      </w:pPr>
      <w:r>
        <w:t>115.</w:t>
      </w:r>
      <w:r>
        <w:tab/>
        <w:t>Смертная казнь была отменена в соответствии с федеральным законодательством и законодательством территорий в 1973 году в результате принятия Закона об отмене смертной казни 1973 года (АС). В 2010 году Закон о законодательстве о преступлениях (запрет пыток и отмена смертной казни) распространил этот запрет на все штаты.</w:t>
      </w:r>
    </w:p>
    <w:p w14:paraId="19F7ACCB" w14:textId="77777777" w:rsidR="00841C25" w:rsidRPr="008F3942" w:rsidRDefault="00841C25" w:rsidP="00841C25">
      <w:pPr>
        <w:pStyle w:val="H4G"/>
      </w:pPr>
      <w:r>
        <w:tab/>
      </w:r>
      <w:r>
        <w:tab/>
      </w:r>
      <w:r>
        <w:rPr>
          <w:iCs/>
        </w:rPr>
        <w:t>Жертвы преступлений</w:t>
      </w:r>
    </w:p>
    <w:p w14:paraId="4DACAD21" w14:textId="0B7D3143" w:rsidR="00841C25" w:rsidRPr="008F3942" w:rsidRDefault="00841C25" w:rsidP="00841C25">
      <w:pPr>
        <w:pStyle w:val="SingleTxtG"/>
      </w:pPr>
      <w:r>
        <w:t>116.</w:t>
      </w:r>
      <w:r>
        <w:tab/>
        <w:t>В 2021 году уровень виктимизации составлял 121 на 100 000 человек в результате сексуальных посягательств и 1,4 на 100 000 человек в результате убийств и связанных с ними преступлений</w:t>
      </w:r>
      <w:r w:rsidRPr="00E0204C">
        <w:rPr>
          <w:rStyle w:val="aa"/>
        </w:rPr>
        <w:footnoteReference w:id="94"/>
      </w:r>
      <w:r>
        <w:t>. Жертвами похищений стали 153 человека. Эти</w:t>
      </w:r>
      <w:r w:rsidR="00654C9D">
        <w:rPr>
          <w:lang w:val="en-US"/>
        </w:rPr>
        <w:t> </w:t>
      </w:r>
      <w:r>
        <w:t xml:space="preserve">данные свидетельствуют о снижении числа похищений и убийств по сравнению с 2013 годом. С 1993 года уровень виктимизации в результате сексуальных </w:t>
      </w:r>
      <w:r>
        <w:lastRenderedPageBreak/>
        <w:t>посягательств увеличился с 69 до 121 жертвы на 100 000 человек в 2021 году</w:t>
      </w:r>
      <w:r w:rsidRPr="00E0204C">
        <w:rPr>
          <w:rStyle w:val="aa"/>
        </w:rPr>
        <w:footnoteReference w:id="95"/>
      </w:r>
      <w:r>
        <w:t>. Это</w:t>
      </w:r>
      <w:r w:rsidR="00654C9D">
        <w:rPr>
          <w:lang w:val="en-US"/>
        </w:rPr>
        <w:t> </w:t>
      </w:r>
      <w:r>
        <w:t>самый высокий показатель виктимизации в результате сексуальных посягательств, зафиксированный полицией за 29 лет</w:t>
      </w:r>
      <w:r w:rsidRPr="00E0204C">
        <w:rPr>
          <w:rStyle w:val="aa"/>
        </w:rPr>
        <w:footnoteReference w:id="96"/>
      </w:r>
      <w:r>
        <w:t>.</w:t>
      </w:r>
    </w:p>
    <w:p w14:paraId="747AAC78" w14:textId="23A70693" w:rsidR="00841C25" w:rsidRPr="008F3942" w:rsidRDefault="00841C25" w:rsidP="00841C25">
      <w:pPr>
        <w:pStyle w:val="SingleTxtG"/>
      </w:pPr>
      <w:r>
        <w:t>117.</w:t>
      </w:r>
      <w:r>
        <w:tab/>
        <w:t>Последние национальные данные о компенсациях жертвам преступлений отсутствуют, однако в 2011</w:t>
      </w:r>
      <w:r w:rsidR="004F59E4">
        <w:t>/</w:t>
      </w:r>
      <w:r>
        <w:t>12 году, по оценкам, было выплачено около 177 млн долл. в виде компенсаций жертвам преступлений</w:t>
      </w:r>
      <w:r w:rsidRPr="00E0204C">
        <w:rPr>
          <w:rStyle w:val="aa"/>
        </w:rPr>
        <w:footnoteReference w:id="97"/>
      </w:r>
      <w:r>
        <w:t xml:space="preserve">. Правительства некоторых штатов и территорий имеют собственные программы выплаты компенсаций жертвам преступлений, как, например, Программа помощи жертвам (ППЖ) в штате Виктория, которая предусматривает выплату компенсации в зависимости от категории жертв и преступлений. </w:t>
      </w:r>
    </w:p>
    <w:p w14:paraId="21375D80" w14:textId="77777777" w:rsidR="00841C25" w:rsidRPr="008F3942" w:rsidRDefault="00841C25" w:rsidP="00841C25">
      <w:pPr>
        <w:pStyle w:val="H4G"/>
      </w:pPr>
      <w:r>
        <w:tab/>
      </w:r>
      <w:r>
        <w:tab/>
      </w:r>
      <w:r>
        <w:rPr>
          <w:iCs/>
        </w:rPr>
        <w:t>Преступность</w:t>
      </w:r>
    </w:p>
    <w:p w14:paraId="640AAC2C" w14:textId="77777777" w:rsidR="00841C25" w:rsidRPr="008F3942" w:rsidRDefault="00841C25" w:rsidP="00841C25">
      <w:pPr>
        <w:pStyle w:val="SingleTxtG"/>
      </w:pPr>
      <w:bookmarkStart w:id="22" w:name="_Ref64892545"/>
      <w:r>
        <w:t>118.</w:t>
      </w:r>
      <w:r>
        <w:tab/>
        <w:t>Минимальный возраст уголовной ответственности в большинстве австралийских юрисдикций составляет 10 лет, за исключением Северной территории, где минимальный возраст уголовной ответственности составляет 12 лет. Дети, не достигшие минимального возраста, не могут быть обвинены в совершении преступления и формально не подпадают под действие системы уголовного правосудия. Что касается детей в возрасте от 10 до 14 лет (или от 12 до 14 лет в Северной территории), то опровержимая презумпция doli incapax означает, что ребенок может быть привлечен к уголовной ответственности только в том случае, если вне всяких разумных сомнений может быть доказано, что ребенок знал о том, что его поведение было неправомерным или серьезно неправомерным. Это является тем фактом, который обвинение должно доказать.</w:t>
      </w:r>
      <w:bookmarkEnd w:id="22"/>
    </w:p>
    <w:p w14:paraId="087C086D" w14:textId="67A03786" w:rsidR="00841C25" w:rsidRPr="008F3942" w:rsidRDefault="00841C25" w:rsidP="00841C25">
      <w:pPr>
        <w:pStyle w:val="SingleTxtG"/>
      </w:pPr>
      <w:r>
        <w:t>119.</w:t>
      </w:r>
      <w:r>
        <w:tab/>
        <w:t xml:space="preserve">АСБ собирает статистику о процедурах, применяемых в отношении предполагаемых правонарушителей полицией, включая предъявление обвинений, по которым правонарушитель должен предстать перед судом, и внесудебные </w:t>
      </w:r>
      <w:r w:rsidR="00D51E97">
        <w:br/>
      </w:r>
      <w:r>
        <w:t>действия, такие как предупреждения или вынесение уведомлений о наказаниях. В</w:t>
      </w:r>
      <w:r w:rsidR="00D51E97">
        <w:t> </w:t>
      </w:r>
      <w:r>
        <w:t>2021</w:t>
      </w:r>
      <w:r w:rsidR="00654C9D" w:rsidRPr="00654C9D">
        <w:t>/</w:t>
      </w:r>
      <w:r>
        <w:t xml:space="preserve">22 году полиция применила соответствующие процедуры в отношении </w:t>
      </w:r>
      <w:r w:rsidR="00654C9D">
        <w:br/>
      </w:r>
      <w:r>
        <w:t>369 488 правонарушителей в возрасте 10 лет и старше, что на 3 процента больше, чем в предыдущем году. Число правонарушителей увеличилось с 1599 на 100 000 человек в 2020</w:t>
      </w:r>
      <w:r w:rsidR="004F59E4">
        <w:t>/</w:t>
      </w:r>
      <w:r>
        <w:t>21 году до 1632 в 2021</w:t>
      </w:r>
      <w:r w:rsidR="004F59E4">
        <w:t>/</w:t>
      </w:r>
      <w:r>
        <w:t>22 году. К трем наиболее распространенным основным преступлениям относились действия, направленные на причинение вреда здоровью (23 процента правонарушителей), преступления, связанные с незаконным оборотом наркотиков (14 процентов), и прочие правонарушения (17 процентов)</w:t>
      </w:r>
      <w:r w:rsidRPr="00E0204C">
        <w:rPr>
          <w:rStyle w:val="aa"/>
        </w:rPr>
        <w:footnoteReference w:id="98"/>
      </w:r>
      <w:r>
        <w:t>. В 2021</w:t>
      </w:r>
      <w:r w:rsidR="00654C9D" w:rsidRPr="00654C9D">
        <w:t>/</w:t>
      </w:r>
      <w:r>
        <w:t>22 году было совершено 635 убийств и других связанных с ними преступлений, что в случае лиц в возрасте 10 лет и старше составляет 2,8 на 100 000 человек</w:t>
      </w:r>
      <w:r w:rsidRPr="00E0204C">
        <w:rPr>
          <w:rStyle w:val="aa"/>
        </w:rPr>
        <w:footnoteReference w:id="99"/>
      </w:r>
      <w:r>
        <w:t>.</w:t>
      </w:r>
    </w:p>
    <w:p w14:paraId="195BFB6B" w14:textId="77777777" w:rsidR="00841C25" w:rsidRPr="008F3942" w:rsidRDefault="00841C25" w:rsidP="00841C25">
      <w:pPr>
        <w:pStyle w:val="H4G"/>
      </w:pPr>
      <w:r>
        <w:tab/>
      </w:r>
      <w:r>
        <w:tab/>
      </w:r>
      <w:r>
        <w:rPr>
          <w:iCs/>
        </w:rPr>
        <w:t>Лишение свободы</w:t>
      </w:r>
    </w:p>
    <w:p w14:paraId="78C8E5B9" w14:textId="5A782653" w:rsidR="00841C25" w:rsidRPr="008F3942" w:rsidRDefault="00841C25" w:rsidP="00841C25">
      <w:pPr>
        <w:pStyle w:val="SingleTxtG"/>
      </w:pPr>
      <w:r>
        <w:t>120.</w:t>
      </w:r>
      <w:r>
        <w:tab/>
        <w:t>В 2022 году в тюрьмах Австралии находилось 14 864 неосужденных заключенных, что составляло 37 процентов от общего числа заключенных</w:t>
      </w:r>
      <w:r w:rsidRPr="00E0204C">
        <w:rPr>
          <w:rStyle w:val="aa"/>
        </w:rPr>
        <w:footnoteReference w:id="100"/>
      </w:r>
      <w:r>
        <w:t>. Как</w:t>
      </w:r>
      <w:r w:rsidR="00654C9D">
        <w:rPr>
          <w:lang w:val="en-US"/>
        </w:rPr>
        <w:t> </w:t>
      </w:r>
      <w:r>
        <w:t>правило, подследственные содержатся отдельно от осужденных. По состоянию на 30 июня 2020 года среднее время, проведенное в предварительном заключении, составляло 3,4 месяца.</w:t>
      </w:r>
    </w:p>
    <w:p w14:paraId="4E21F0B4" w14:textId="46B824BE" w:rsidR="00841C25" w:rsidRPr="008F3942" w:rsidRDefault="00841C25" w:rsidP="00D51E97">
      <w:pPr>
        <w:pStyle w:val="SingleTxtG"/>
        <w:keepNext/>
        <w:keepLines/>
      </w:pPr>
      <w:r>
        <w:lastRenderedPageBreak/>
        <w:t>121.</w:t>
      </w:r>
      <w:r>
        <w:tab/>
        <w:t xml:space="preserve">В 2022 году число взрослых заключенных в Австралии составило </w:t>
      </w:r>
      <w:r w:rsidR="00E60A05">
        <w:br/>
      </w:r>
      <w:r>
        <w:t xml:space="preserve">40 591 человек, при этом с 2021 года общенациональный коэффициент лиц, лишенных свободы, снизился на 6 процентов </w:t>
      </w:r>
      <w:r w:rsidRPr="00234EC2">
        <w:t>—</w:t>
      </w:r>
      <w:r>
        <w:t xml:space="preserve"> с 214 до 201 заключенного на 100 000 взрослых</w:t>
      </w:r>
      <w:r w:rsidRPr="00E0204C">
        <w:rPr>
          <w:rStyle w:val="aa"/>
        </w:rPr>
        <w:footnoteReference w:id="101"/>
      </w:r>
      <w:r>
        <w:t>. Наиболее распространенными правонарушениями/обвинениями для заключенных были действия, направленные на причинение вреда здоровью, преступления, связанные с незаконным оборотом наркотиков, а также сексуальные посягательства и связанные с ними преступления. Средний срок наказания за эти категории преступлений составил 1,8 года, 4,2 года и 7,5 года соответственно</w:t>
      </w:r>
      <w:r w:rsidRPr="00E0204C">
        <w:rPr>
          <w:rStyle w:val="aa"/>
        </w:rPr>
        <w:footnoteReference w:id="102"/>
      </w:r>
      <w:r>
        <w:t>.</w:t>
      </w:r>
    </w:p>
    <w:p w14:paraId="071C0508" w14:textId="17F8F0F7" w:rsidR="00841C25" w:rsidRPr="008F3942" w:rsidRDefault="00841C25" w:rsidP="00841C25">
      <w:pPr>
        <w:pStyle w:val="SingleTxtG"/>
      </w:pPr>
      <w:r>
        <w:t>122.</w:t>
      </w:r>
      <w:r>
        <w:tab/>
        <w:t>В 2022 году 31,8 процента заключенных были аборигенами и жителями островов Торресова пролива (при этом доля лиц, не относящихся к коренному населению, составила 67,6 процента)</w:t>
      </w:r>
      <w:r w:rsidRPr="00E0204C">
        <w:rPr>
          <w:rStyle w:val="aa"/>
        </w:rPr>
        <w:footnoteReference w:id="103"/>
      </w:r>
      <w:r>
        <w:t>. Коэффициент лиц, лишенных свободы, среди коренных австралийцев составляет 2330 заключенных на 100 000 аборигенов и жителей островов Торресова пролива.</w:t>
      </w:r>
    </w:p>
    <w:p w14:paraId="58F9BD00" w14:textId="3194DDB8" w:rsidR="00841C25" w:rsidRPr="008F3942" w:rsidRDefault="00841C25" w:rsidP="00841C25">
      <w:pPr>
        <w:pStyle w:val="SingleTxtG"/>
      </w:pPr>
      <w:r>
        <w:t>123.</w:t>
      </w:r>
      <w:r>
        <w:tab/>
        <w:t>С января 2023 года в местах содержания под стражей зарегистрировано 43</w:t>
      </w:r>
      <w:r w:rsidR="00E60A05">
        <w:rPr>
          <w:lang w:val="en-US"/>
        </w:rPr>
        <w:t> </w:t>
      </w:r>
      <w:r>
        <w:t>случая смерти</w:t>
      </w:r>
      <w:r w:rsidRPr="00E0204C">
        <w:rPr>
          <w:rStyle w:val="aa"/>
        </w:rPr>
        <w:footnoteReference w:id="104"/>
      </w:r>
      <w:r>
        <w:t>. Уровень смертности в местах лишения свободы оставался стабильным на протяжении последнего десятилетия и в 2022 году составил 0,21 случая на 100 заключенных</w:t>
      </w:r>
      <w:r w:rsidRPr="00E0204C">
        <w:rPr>
          <w:rStyle w:val="aa"/>
        </w:rPr>
        <w:footnoteReference w:id="105"/>
      </w:r>
      <w:r>
        <w:t xml:space="preserve">. На аборигенов и жителей островов Торресова пролива приходится одна из пяти смертей в местах лишения свободы. Заключенные в возрасте 55 лет и старше составляли большинство случаев смерти от естественных причин, а заключенные в возрасте до 55 лет </w:t>
      </w:r>
      <w:r w:rsidRPr="006E5E1A">
        <w:t>—</w:t>
      </w:r>
      <w:r>
        <w:t xml:space="preserve"> почти все случаи смерти от повешения. В</w:t>
      </w:r>
      <w:r w:rsidR="00E60A05">
        <w:rPr>
          <w:lang w:val="en-US"/>
        </w:rPr>
        <w:t> </w:t>
      </w:r>
      <w:r>
        <w:t>2021</w:t>
      </w:r>
      <w:r w:rsidR="00E60A05" w:rsidRPr="00E60A05">
        <w:t>/</w:t>
      </w:r>
      <w:r>
        <w:t>22</w:t>
      </w:r>
      <w:r w:rsidR="00E60A05">
        <w:rPr>
          <w:lang w:val="en-US"/>
        </w:rPr>
        <w:t> </w:t>
      </w:r>
      <w:r>
        <w:t>году 17 смертей произошли при содержании под стражей в полиции и в результате действий полиции, связанных с содержанием под стражей, 9 из которых случились, когда полиция задерживала или пыталась задержать человека</w:t>
      </w:r>
      <w:r w:rsidRPr="00E0204C">
        <w:rPr>
          <w:rStyle w:val="aa"/>
        </w:rPr>
        <w:footnoteReference w:id="106"/>
      </w:r>
      <w:r>
        <w:t>.</w:t>
      </w:r>
    </w:p>
    <w:p w14:paraId="7FD49292" w14:textId="77777777" w:rsidR="00841C25" w:rsidRPr="008F3942" w:rsidRDefault="00841C25" w:rsidP="00841C25">
      <w:pPr>
        <w:pStyle w:val="H4G"/>
      </w:pPr>
      <w:r>
        <w:tab/>
      </w:r>
      <w:r>
        <w:tab/>
      </w:r>
      <w:r>
        <w:rPr>
          <w:iCs/>
        </w:rPr>
        <w:t>Ювенальная юстиция</w:t>
      </w:r>
    </w:p>
    <w:p w14:paraId="1907E89F" w14:textId="77777777" w:rsidR="00841C25" w:rsidRPr="008F3942" w:rsidRDefault="00841C25" w:rsidP="00841C25">
      <w:pPr>
        <w:pStyle w:val="SingleTxtG"/>
      </w:pPr>
      <w:r>
        <w:t>124.</w:t>
      </w:r>
      <w:r>
        <w:tab/>
        <w:t>Система ювенальной юстиции работает в основном с молодыми людьми в возрасте 10–17 лет на момент совершения преступления, хотя в разных штатах и территориях существуют некоторые различия. Основной особенностью системы является надзор за молодыми людьми в обществе, а не в местах лишения свободы.</w:t>
      </w:r>
    </w:p>
    <w:p w14:paraId="5F73DFB8" w14:textId="4440FB96" w:rsidR="00841C25" w:rsidRPr="008F3942" w:rsidRDefault="00841C25" w:rsidP="00841C25">
      <w:pPr>
        <w:pStyle w:val="SingleTxtG"/>
      </w:pPr>
      <w:r>
        <w:t>125.</w:t>
      </w:r>
      <w:r>
        <w:tab/>
        <w:t>В 2021</w:t>
      </w:r>
      <w:r w:rsidR="004F59E4">
        <w:t>/</w:t>
      </w:r>
      <w:r>
        <w:t>22 году в Австралии в среднем каждый день под надзором органов юстиции находилось 4536 молодых людей, из которых 82 процента проживали в своих общинах, а 18 процентов находились в местах лишения свободы. 76 процентов молодых людей, содержащихся под стражей, не были осуждены. 96 процентов молодых людей, находящихся под надзором, были в возрасте 14 лет и старше, а 71</w:t>
      </w:r>
      <w:r w:rsidR="00E60A05">
        <w:rPr>
          <w:lang w:val="en-US"/>
        </w:rPr>
        <w:t> </w:t>
      </w:r>
      <w:r>
        <w:t>процент молодых людей были в возрасте 14</w:t>
      </w:r>
      <w:r w:rsidRPr="006E5E1A">
        <w:t>–</w:t>
      </w:r>
      <w:r>
        <w:t>17 лет, когда они впервые попали под надзор. Индивидуальные периоды надзора, завершенные в 2021</w:t>
      </w:r>
      <w:r w:rsidR="004F59E4">
        <w:t>/</w:t>
      </w:r>
      <w:r>
        <w:t>22 году, длились в среднем 14 недель</w:t>
      </w:r>
      <w:r w:rsidRPr="00E0204C">
        <w:rPr>
          <w:rStyle w:val="aa"/>
        </w:rPr>
        <w:footnoteReference w:id="107"/>
      </w:r>
      <w:r>
        <w:t xml:space="preserve">. </w:t>
      </w:r>
    </w:p>
    <w:p w14:paraId="7B5A8C61" w14:textId="329CB661" w:rsidR="00841C25" w:rsidRPr="008F3942" w:rsidRDefault="00841C25" w:rsidP="00841C25">
      <w:pPr>
        <w:pStyle w:val="SingleTxtG"/>
      </w:pPr>
      <w:r>
        <w:t>126.</w:t>
      </w:r>
      <w:r>
        <w:tab/>
        <w:t>Как и взрослые из числа аборигенов и жителей островов Торресова пролива, молодые люди, относящиеся к этой категории, составляют несоразмерно большую долю в системе уголовного правосудия. В 2021</w:t>
      </w:r>
      <w:r w:rsidR="004F59E4">
        <w:t>/</w:t>
      </w:r>
      <w:r>
        <w:t>22 году коэффициент находящихся под надзором молодых людей из числа аборигенов и жителей островов Торресова пролива составлял 121,1 на 10 000 человек по сравнению с 6,5 на 10 000 человек среди молодежи, не принадлежащей к коренному населению (т</w:t>
      </w:r>
      <w:r w:rsidR="005D6745">
        <w:t>.</w:t>
      </w:r>
      <w:r>
        <w:t xml:space="preserve"> е</w:t>
      </w:r>
      <w:r w:rsidR="005D6745">
        <w:t>.</w:t>
      </w:r>
      <w:r>
        <w:t xml:space="preserve"> в 19 раз больше)</w:t>
      </w:r>
      <w:r w:rsidRPr="00E0204C">
        <w:rPr>
          <w:rStyle w:val="aa"/>
        </w:rPr>
        <w:footnoteReference w:id="108"/>
      </w:r>
      <w:r>
        <w:t xml:space="preserve">. </w:t>
      </w:r>
    </w:p>
    <w:p w14:paraId="5BC84CB6" w14:textId="77777777" w:rsidR="00841C25" w:rsidRPr="008F3942" w:rsidRDefault="00841C25" w:rsidP="00841C25">
      <w:pPr>
        <w:pStyle w:val="H4G"/>
      </w:pPr>
      <w:r>
        <w:lastRenderedPageBreak/>
        <w:tab/>
      </w:r>
      <w:r>
        <w:tab/>
      </w:r>
      <w:r>
        <w:rPr>
          <w:iCs/>
        </w:rPr>
        <w:t>Система правосудия</w:t>
      </w:r>
    </w:p>
    <w:p w14:paraId="2E33DC7A" w14:textId="16C71A86" w:rsidR="00841C25" w:rsidRPr="00E60A05" w:rsidRDefault="00841C25" w:rsidP="00841C25">
      <w:pPr>
        <w:pStyle w:val="SingleTxtG"/>
      </w:pPr>
      <w:r>
        <w:t>127.</w:t>
      </w:r>
      <w:r>
        <w:tab/>
        <w:t>В 2020</w:t>
      </w:r>
      <w:r w:rsidR="004F59E4">
        <w:t>/</w:t>
      </w:r>
      <w:r>
        <w:t>21 году расходы на систему правосудия в стране, согласно оценке, составили 20,9 млрд долл., из которых 65 процентов приходилось на полицию, 26</w:t>
      </w:r>
      <w:r w:rsidR="00E60A05">
        <w:rPr>
          <w:lang w:val="en-US"/>
        </w:rPr>
        <w:t> </w:t>
      </w:r>
      <w:r>
        <w:t xml:space="preserve">процентов </w:t>
      </w:r>
      <w:r w:rsidRPr="006E5E1A">
        <w:t>—</w:t>
      </w:r>
      <w:r>
        <w:t xml:space="preserve"> на исправительные учреждения и 9 процентов </w:t>
      </w:r>
      <w:r w:rsidRPr="006E5E1A">
        <w:t>—</w:t>
      </w:r>
      <w:r>
        <w:t xml:space="preserve"> на суды</w:t>
      </w:r>
      <w:r w:rsidRPr="00E0204C">
        <w:rPr>
          <w:rStyle w:val="aa"/>
        </w:rPr>
        <w:footnoteReference w:id="109"/>
      </w:r>
      <w:r>
        <w:t xml:space="preserve">. </w:t>
      </w:r>
      <w:r w:rsidR="00E60A05">
        <w:br/>
      </w:r>
      <w:r>
        <w:t>В 2020</w:t>
      </w:r>
      <w:r w:rsidR="005D6745">
        <w:t>/</w:t>
      </w:r>
      <w:r>
        <w:t>21 году в органах полиции работало 284 оперативных сотрудника на 100</w:t>
      </w:r>
      <w:r w:rsidR="00E60A05">
        <w:rPr>
          <w:lang w:val="en-US"/>
        </w:rPr>
        <w:t> </w:t>
      </w:r>
      <w:r>
        <w:t>000</w:t>
      </w:r>
      <w:r w:rsidR="00E60A05">
        <w:rPr>
          <w:lang w:val="en-US"/>
        </w:rPr>
        <w:t> </w:t>
      </w:r>
      <w:r>
        <w:t>человек, и, по оценкам, на это же число человек приходилось 4,6 специалиста по судопроизводству (2,4 в уголовных судах и 2,2 в гражданских судах)</w:t>
      </w:r>
      <w:r w:rsidRPr="00E0204C">
        <w:rPr>
          <w:rStyle w:val="aa"/>
        </w:rPr>
        <w:footnoteReference w:id="110"/>
      </w:r>
      <w:r w:rsidR="00E60A05">
        <w:t>.</w:t>
      </w:r>
    </w:p>
    <w:p w14:paraId="169DFF8D" w14:textId="15A70136" w:rsidR="00841C25" w:rsidRPr="008F3942" w:rsidRDefault="00841C25" w:rsidP="00841C25">
      <w:pPr>
        <w:pStyle w:val="SingleTxtG"/>
      </w:pPr>
      <w:r>
        <w:t>128.</w:t>
      </w:r>
      <w:r>
        <w:tab/>
      </w:r>
      <w:r w:rsidRPr="004F59E4">
        <w:t>В 2021</w:t>
      </w:r>
      <w:r w:rsidR="004F59E4">
        <w:t>/</w:t>
      </w:r>
      <w:r w:rsidRPr="004F59E4">
        <w:t>22 году уголовные суды штатов и территорий завершили рассмотрение дел 506 212 подсудимых. Что касается подсудимых, чьи дела были окончательно рассмотрены в суде более высокой инстанции, то соответствующие судебные решения были приняты в отношении 87 процентов дел, 9 процентов дел были отозваны обвинением и 3 процента дел были переданы в суды вышестоящих инстанций. Средняя продолжительность процесса рассмотрения дел, от возбуждения дела до завершения его рассмотрения, во всех уголовных судах составила 9,1 недели, что</w:t>
      </w:r>
      <w:r w:rsidR="00064F52" w:rsidRPr="004F59E4">
        <w:t> </w:t>
      </w:r>
      <w:r w:rsidRPr="004F59E4">
        <w:t>несколько больше, чем в предыдущие годы (2020</w:t>
      </w:r>
      <w:r w:rsidR="004F59E4">
        <w:t>/</w:t>
      </w:r>
      <w:r w:rsidRPr="004F59E4">
        <w:t>21 год — 10,3 недели, 2019</w:t>
      </w:r>
      <w:r w:rsidR="004F59E4">
        <w:t>/</w:t>
      </w:r>
      <w:r w:rsidRPr="004F59E4">
        <w:t>20</w:t>
      </w:r>
      <w:r w:rsidR="004F59E4">
        <w:t> </w:t>
      </w:r>
      <w:r w:rsidRPr="004F59E4">
        <w:t>год — 7,9 недели, 2018</w:t>
      </w:r>
      <w:r w:rsidR="004F59E4">
        <w:t>/</w:t>
      </w:r>
      <w:r w:rsidRPr="004F59E4">
        <w:t>19 год — 7,0 недели, 2017</w:t>
      </w:r>
      <w:r w:rsidR="004F59E4">
        <w:t>/</w:t>
      </w:r>
      <w:r w:rsidRPr="004F59E4">
        <w:t>18 год — 6,7 недели, 2016</w:t>
      </w:r>
      <w:r w:rsidR="004F59E4">
        <w:t>/</w:t>
      </w:r>
      <w:r w:rsidRPr="004F59E4">
        <w:t>17</w:t>
      </w:r>
      <w:r w:rsidR="004F59E4">
        <w:t> </w:t>
      </w:r>
      <w:r w:rsidRPr="004F59E4">
        <w:t>год</w:t>
      </w:r>
      <w:r w:rsidR="00064F52" w:rsidRPr="004F59E4">
        <w:t> </w:t>
      </w:r>
      <w:r w:rsidRPr="004F59E4">
        <w:t>— 6,9 недели). Эффективность</w:t>
      </w:r>
      <w:r>
        <w:t xml:space="preserve"> работы судов различна; среднее время до завершения рассмотрения дела составило 36,4 недели для судов более высокой инстанции, 11,4</w:t>
      </w:r>
      <w:r w:rsidR="00064F52">
        <w:t> </w:t>
      </w:r>
      <w:r>
        <w:t>недели для судов по делам несовершеннолетних и 8,3 недели для магистратских судов</w:t>
      </w:r>
      <w:r w:rsidRPr="00E0204C">
        <w:rPr>
          <w:rStyle w:val="aa"/>
        </w:rPr>
        <w:footnoteReference w:id="111"/>
      </w:r>
      <w:r>
        <w:t>.</w:t>
      </w:r>
    </w:p>
    <w:p w14:paraId="466185C9" w14:textId="77777777" w:rsidR="00841C25" w:rsidRPr="008F3942" w:rsidRDefault="00841C25" w:rsidP="00841C25">
      <w:pPr>
        <w:pStyle w:val="SingleTxtG"/>
        <w:spacing w:after="240"/>
      </w:pPr>
      <w:r>
        <w:t>129.</w:t>
      </w:r>
      <w:r>
        <w:tab/>
        <w:t>Среднее отставание в рассмотрении дел варьируется в зависимости от типа суда и юрисдикции, но в целом отставание в рассмотрении гражданских дел в верховном, окружных и магистратских судах было, как правило, больше, чем в рассмотрении уголовных дел во всех штатах и территориях (см. ниже). Задержка в рассмотрении дел определяется как число дел, касающихся лиц определенной возрастной категории, в процентах от общего числа дел, находящихся на рассмотрении, при этом критерии оценки различаются в зависимости от типа судов</w:t>
      </w:r>
      <w:r w:rsidRPr="00E0204C">
        <w:rPr>
          <w:rStyle w:val="aa"/>
        </w:rPr>
        <w:footnoteReference w:id="112"/>
      </w:r>
      <w:r>
        <w:t>.</w:t>
      </w:r>
    </w:p>
    <w:p w14:paraId="26564763" w14:textId="77777777" w:rsidR="00841C25" w:rsidRPr="00D62FAA" w:rsidRDefault="00841C25" w:rsidP="00841C25">
      <w:pPr>
        <w:jc w:val="center"/>
        <w:rPr>
          <w:sz w:val="18"/>
        </w:rPr>
      </w:pPr>
      <w:r w:rsidRPr="00D62FAA">
        <w:rPr>
          <w:noProof/>
        </w:rPr>
        <w:lastRenderedPageBreak/>
        <w:drawing>
          <wp:inline distT="0" distB="0" distL="0" distR="0" wp14:anchorId="0466926C" wp14:editId="6E0BEA76">
            <wp:extent cx="5562600" cy="396574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72459" cy="3972773"/>
                    </a:xfrm>
                    <a:prstGeom prst="rect">
                      <a:avLst/>
                    </a:prstGeom>
                    <a:noFill/>
                    <a:ln>
                      <a:noFill/>
                    </a:ln>
                  </pic:spPr>
                </pic:pic>
              </a:graphicData>
            </a:graphic>
          </wp:inline>
        </w:drawing>
      </w:r>
    </w:p>
    <w:p w14:paraId="56FD72DC" w14:textId="77777777" w:rsidR="00841C25" w:rsidRPr="005D6745" w:rsidRDefault="00841C25" w:rsidP="00841C25">
      <w:pPr>
        <w:pStyle w:val="SingleTxtG"/>
        <w:spacing w:before="120" w:after="240"/>
        <w:ind w:firstLine="170"/>
        <w:jc w:val="left"/>
        <w:rPr>
          <w:sz w:val="18"/>
          <w:szCs w:val="18"/>
        </w:rPr>
      </w:pPr>
      <w:r w:rsidRPr="005D6745">
        <w:rPr>
          <w:i/>
          <w:iCs/>
          <w:sz w:val="18"/>
          <w:szCs w:val="18"/>
        </w:rPr>
        <w:t>Источник</w:t>
      </w:r>
      <w:r w:rsidRPr="005D6745">
        <w:rPr>
          <w:sz w:val="18"/>
          <w:szCs w:val="18"/>
        </w:rPr>
        <w:t>: Комиссия по вопросам продуктивности, 2016 год.</w:t>
      </w:r>
    </w:p>
    <w:p w14:paraId="542C5037" w14:textId="121B9837" w:rsidR="00841C25" w:rsidRPr="008F3942" w:rsidRDefault="00841C25" w:rsidP="00841C25">
      <w:pPr>
        <w:pStyle w:val="SingleTxtG"/>
      </w:pPr>
      <w:r>
        <w:t>130.</w:t>
      </w:r>
      <w:r>
        <w:tab/>
        <w:t xml:space="preserve">Предоставление юридической помощи является одним из ключевых механизмов обеспечения равенства перед законом (см. пункты 189 и 229). </w:t>
      </w:r>
      <w:r w:rsidR="00064F52">
        <w:br/>
      </w:r>
      <w:r>
        <w:t>В 2022</w:t>
      </w:r>
      <w:r w:rsidR="004F59E4">
        <w:t>/</w:t>
      </w:r>
      <w:r>
        <w:t>23 году из 96 773 заявлений на получение бесплатной юридической помощи были удовлетворены 79 процентов</w:t>
      </w:r>
      <w:r w:rsidRPr="00E0204C">
        <w:rPr>
          <w:rStyle w:val="aa"/>
        </w:rPr>
        <w:footnoteReference w:id="113"/>
      </w:r>
      <w:r>
        <w:t>.</w:t>
      </w:r>
    </w:p>
    <w:p w14:paraId="13425C22" w14:textId="41909694" w:rsidR="00841C25" w:rsidRPr="008F3942" w:rsidRDefault="00064F52" w:rsidP="00841C25">
      <w:pPr>
        <w:pStyle w:val="HChG"/>
      </w:pPr>
      <w:bookmarkStart w:id="23" w:name="_Toc147326777"/>
      <w:r>
        <w:tab/>
      </w:r>
      <w:r w:rsidR="00841C25">
        <w:t>II.</w:t>
      </w:r>
      <w:r w:rsidR="00841C25">
        <w:tab/>
        <w:t>Общая правовая основа для защиты и поощрения прав человека</w:t>
      </w:r>
      <w:bookmarkStart w:id="24" w:name="_Toc167980142"/>
      <w:bookmarkEnd w:id="23"/>
      <w:bookmarkEnd w:id="24"/>
    </w:p>
    <w:p w14:paraId="73D545C3" w14:textId="62ED957D" w:rsidR="00841C25" w:rsidRPr="008F3942" w:rsidRDefault="00064F52" w:rsidP="00841C25">
      <w:pPr>
        <w:pStyle w:val="H1G"/>
      </w:pPr>
      <w:bookmarkStart w:id="25" w:name="_Toc147326778"/>
      <w:r>
        <w:tab/>
      </w:r>
      <w:r w:rsidR="00841C25">
        <w:t>A.</w:t>
      </w:r>
      <w:r w:rsidR="00841C25">
        <w:tab/>
        <w:t>Принятие международных норм в области прав человека</w:t>
      </w:r>
      <w:bookmarkStart w:id="26" w:name="_Toc167980143"/>
      <w:bookmarkEnd w:id="25"/>
      <w:bookmarkEnd w:id="26"/>
    </w:p>
    <w:p w14:paraId="57E239A2" w14:textId="77777777" w:rsidR="00841C25" w:rsidRPr="008F3942" w:rsidRDefault="00841C25" w:rsidP="00841C25">
      <w:pPr>
        <w:pStyle w:val="SingleTxtG"/>
        <w:spacing w:after="240"/>
      </w:pPr>
      <w:r>
        <w:t>131.</w:t>
      </w:r>
      <w:r>
        <w:tab/>
        <w:t>Австралия имеет давние традиции поощрения прав человека. Австралия ратифицировала семь основных договоров по правам человека и семь связанных с ними факультативных протоколов (см. таблицу ниже). Дополнительная информация о принятии Австралией международных договоров по правам человека представлена в приложении 2, таблицы A1</w:t>
      </w:r>
      <w:r w:rsidRPr="006E5E1A">
        <w:t>–</w:t>
      </w:r>
      <w:r>
        <w:t>A2.</w:t>
      </w:r>
    </w:p>
    <w:tbl>
      <w:tblPr>
        <w:tblW w:w="8502" w:type="dxa"/>
        <w:tblInd w:w="1134" w:type="dxa"/>
        <w:tblLayout w:type="fixed"/>
        <w:tblCellMar>
          <w:left w:w="0" w:type="dxa"/>
          <w:right w:w="0" w:type="dxa"/>
        </w:tblCellMar>
        <w:tblLook w:val="04A0" w:firstRow="1" w:lastRow="0" w:firstColumn="1" w:lastColumn="0" w:noHBand="0" w:noVBand="1"/>
      </w:tblPr>
      <w:tblGrid>
        <w:gridCol w:w="1560"/>
        <w:gridCol w:w="1417"/>
        <w:gridCol w:w="1699"/>
        <w:gridCol w:w="1842"/>
        <w:gridCol w:w="992"/>
        <w:gridCol w:w="992"/>
      </w:tblGrid>
      <w:tr w:rsidR="00064F52" w:rsidRPr="00064F52" w14:paraId="7670B725" w14:textId="77777777" w:rsidTr="00064F52">
        <w:trPr>
          <w:tblHeader/>
        </w:trPr>
        <w:tc>
          <w:tcPr>
            <w:tcW w:w="1560" w:type="dxa"/>
            <w:tcBorders>
              <w:top w:val="single" w:sz="4" w:space="0" w:color="auto"/>
              <w:bottom w:val="single" w:sz="12" w:space="0" w:color="auto"/>
            </w:tcBorders>
            <w:shd w:val="clear" w:color="auto" w:fill="auto"/>
            <w:vAlign w:val="bottom"/>
          </w:tcPr>
          <w:p w14:paraId="1CC9D5FE"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Договор</w:t>
            </w:r>
          </w:p>
        </w:tc>
        <w:tc>
          <w:tcPr>
            <w:tcW w:w="1417" w:type="dxa"/>
            <w:tcBorders>
              <w:top w:val="single" w:sz="4" w:space="0" w:color="auto"/>
              <w:bottom w:val="single" w:sz="12" w:space="0" w:color="auto"/>
            </w:tcBorders>
            <w:shd w:val="clear" w:color="auto" w:fill="auto"/>
            <w:vAlign w:val="bottom"/>
          </w:tcPr>
          <w:p w14:paraId="06233876"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Ратифицирован</w:t>
            </w:r>
          </w:p>
        </w:tc>
        <w:tc>
          <w:tcPr>
            <w:tcW w:w="1699" w:type="dxa"/>
            <w:tcBorders>
              <w:top w:val="single" w:sz="4" w:space="0" w:color="auto"/>
              <w:bottom w:val="single" w:sz="12" w:space="0" w:color="auto"/>
            </w:tcBorders>
            <w:shd w:val="clear" w:color="auto" w:fill="auto"/>
            <w:vAlign w:val="bottom"/>
          </w:tcPr>
          <w:p w14:paraId="1039A96A"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Вступил в силу</w:t>
            </w:r>
          </w:p>
        </w:tc>
        <w:tc>
          <w:tcPr>
            <w:tcW w:w="1842" w:type="dxa"/>
            <w:tcBorders>
              <w:top w:val="single" w:sz="4" w:space="0" w:color="auto"/>
              <w:bottom w:val="single" w:sz="12" w:space="0" w:color="auto"/>
            </w:tcBorders>
            <w:shd w:val="clear" w:color="auto" w:fill="auto"/>
            <w:vAlign w:val="bottom"/>
          </w:tcPr>
          <w:p w14:paraId="0F24F0DF"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Оговорки</w:t>
            </w:r>
          </w:p>
        </w:tc>
        <w:tc>
          <w:tcPr>
            <w:tcW w:w="992" w:type="dxa"/>
            <w:tcBorders>
              <w:top w:val="single" w:sz="4" w:space="0" w:color="auto"/>
              <w:bottom w:val="single" w:sz="12" w:space="0" w:color="auto"/>
            </w:tcBorders>
            <w:shd w:val="clear" w:color="auto" w:fill="auto"/>
            <w:vAlign w:val="bottom"/>
          </w:tcPr>
          <w:p w14:paraId="173958AE"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Заявления</w:t>
            </w:r>
          </w:p>
        </w:tc>
        <w:tc>
          <w:tcPr>
            <w:tcW w:w="992" w:type="dxa"/>
            <w:tcBorders>
              <w:top w:val="single" w:sz="4" w:space="0" w:color="auto"/>
              <w:bottom w:val="single" w:sz="12" w:space="0" w:color="auto"/>
            </w:tcBorders>
            <w:shd w:val="clear" w:color="auto" w:fill="auto"/>
            <w:vAlign w:val="bottom"/>
          </w:tcPr>
          <w:p w14:paraId="0E0BD17F" w14:textId="77777777" w:rsidR="00841C25" w:rsidRPr="00064F52" w:rsidRDefault="00841C25" w:rsidP="00064F52">
            <w:pPr>
              <w:spacing w:before="80" w:after="80" w:line="200" w:lineRule="exact"/>
              <w:ind w:left="28" w:right="113"/>
              <w:rPr>
                <w:rFonts w:cs="Times New Roman"/>
                <w:i/>
                <w:sz w:val="16"/>
              </w:rPr>
            </w:pPr>
            <w:r w:rsidRPr="00064F52">
              <w:rPr>
                <w:rFonts w:cs="Times New Roman"/>
                <w:i/>
                <w:sz w:val="16"/>
              </w:rPr>
              <w:t>Поправки</w:t>
            </w:r>
          </w:p>
        </w:tc>
      </w:tr>
      <w:tr w:rsidR="00064F52" w:rsidRPr="00064F52" w14:paraId="6314797A" w14:textId="77777777" w:rsidTr="00064F52">
        <w:trPr>
          <w:trHeight w:hRule="exact" w:val="113"/>
          <w:tblHeader/>
        </w:trPr>
        <w:tc>
          <w:tcPr>
            <w:tcW w:w="1560" w:type="dxa"/>
            <w:tcBorders>
              <w:top w:val="single" w:sz="12" w:space="0" w:color="auto"/>
            </w:tcBorders>
            <w:shd w:val="clear" w:color="auto" w:fill="auto"/>
          </w:tcPr>
          <w:p w14:paraId="7B6B7594" w14:textId="77777777" w:rsidR="00064F52" w:rsidRPr="00064F52" w:rsidRDefault="00064F52" w:rsidP="00064F52">
            <w:pPr>
              <w:spacing w:before="40" w:after="120"/>
              <w:ind w:left="28" w:right="113"/>
              <w:rPr>
                <w:rFonts w:cs="Times New Roman"/>
              </w:rPr>
            </w:pPr>
          </w:p>
        </w:tc>
        <w:tc>
          <w:tcPr>
            <w:tcW w:w="1417" w:type="dxa"/>
            <w:tcBorders>
              <w:top w:val="single" w:sz="12" w:space="0" w:color="auto"/>
            </w:tcBorders>
            <w:shd w:val="clear" w:color="auto" w:fill="auto"/>
          </w:tcPr>
          <w:p w14:paraId="648AA886" w14:textId="77777777" w:rsidR="00064F52" w:rsidRPr="00064F52" w:rsidRDefault="00064F52" w:rsidP="00064F52">
            <w:pPr>
              <w:spacing w:before="40" w:after="120"/>
              <w:ind w:left="28" w:right="113"/>
              <w:rPr>
                <w:rFonts w:cs="Times New Roman"/>
              </w:rPr>
            </w:pPr>
          </w:p>
        </w:tc>
        <w:tc>
          <w:tcPr>
            <w:tcW w:w="1699" w:type="dxa"/>
            <w:tcBorders>
              <w:top w:val="single" w:sz="12" w:space="0" w:color="auto"/>
            </w:tcBorders>
            <w:shd w:val="clear" w:color="auto" w:fill="auto"/>
          </w:tcPr>
          <w:p w14:paraId="366FFCF7" w14:textId="77777777" w:rsidR="00064F52" w:rsidRPr="00064F52" w:rsidRDefault="00064F52" w:rsidP="00064F52">
            <w:pPr>
              <w:spacing w:before="40" w:after="120"/>
              <w:ind w:left="28" w:right="113"/>
              <w:rPr>
                <w:rFonts w:cs="Times New Roman"/>
              </w:rPr>
            </w:pPr>
          </w:p>
        </w:tc>
        <w:tc>
          <w:tcPr>
            <w:tcW w:w="1842" w:type="dxa"/>
            <w:tcBorders>
              <w:top w:val="single" w:sz="12" w:space="0" w:color="auto"/>
            </w:tcBorders>
            <w:shd w:val="clear" w:color="auto" w:fill="auto"/>
          </w:tcPr>
          <w:p w14:paraId="014852DF" w14:textId="77777777" w:rsidR="00064F52" w:rsidRPr="00064F52" w:rsidRDefault="00064F52" w:rsidP="00064F52">
            <w:pPr>
              <w:spacing w:before="40" w:after="120"/>
              <w:ind w:left="28" w:right="113"/>
              <w:rPr>
                <w:rFonts w:cs="Times New Roman"/>
              </w:rPr>
            </w:pPr>
          </w:p>
        </w:tc>
        <w:tc>
          <w:tcPr>
            <w:tcW w:w="992" w:type="dxa"/>
            <w:tcBorders>
              <w:top w:val="single" w:sz="12" w:space="0" w:color="auto"/>
            </w:tcBorders>
            <w:shd w:val="clear" w:color="auto" w:fill="auto"/>
          </w:tcPr>
          <w:p w14:paraId="4E9FDEE5" w14:textId="77777777" w:rsidR="00064F52" w:rsidRPr="00064F52" w:rsidRDefault="00064F52" w:rsidP="00064F52">
            <w:pPr>
              <w:spacing w:before="40" w:after="120"/>
              <w:ind w:left="28" w:right="113"/>
              <w:rPr>
                <w:rFonts w:cs="Times New Roman"/>
              </w:rPr>
            </w:pPr>
          </w:p>
        </w:tc>
        <w:tc>
          <w:tcPr>
            <w:tcW w:w="992" w:type="dxa"/>
            <w:tcBorders>
              <w:top w:val="single" w:sz="12" w:space="0" w:color="auto"/>
            </w:tcBorders>
            <w:shd w:val="clear" w:color="auto" w:fill="auto"/>
          </w:tcPr>
          <w:p w14:paraId="6636E5A3" w14:textId="77777777" w:rsidR="00064F52" w:rsidRPr="00064F52" w:rsidRDefault="00064F52" w:rsidP="00064F52">
            <w:pPr>
              <w:spacing w:before="40" w:after="120"/>
              <w:ind w:left="28" w:right="113"/>
              <w:rPr>
                <w:rFonts w:cs="Times New Roman"/>
              </w:rPr>
            </w:pPr>
          </w:p>
        </w:tc>
      </w:tr>
      <w:tr w:rsidR="00841C25" w:rsidRPr="00064F52" w14:paraId="6737AA31" w14:textId="77777777" w:rsidTr="00064F52">
        <w:tc>
          <w:tcPr>
            <w:tcW w:w="1560" w:type="dxa"/>
            <w:shd w:val="clear" w:color="auto" w:fill="auto"/>
          </w:tcPr>
          <w:p w14:paraId="21B26AE2" w14:textId="77777777" w:rsidR="00841C25" w:rsidRPr="00064F52" w:rsidRDefault="00841C25" w:rsidP="00064F52">
            <w:pPr>
              <w:spacing w:before="40" w:after="120"/>
              <w:ind w:left="28" w:right="113"/>
              <w:rPr>
                <w:rFonts w:cs="Times New Roman"/>
              </w:rPr>
            </w:pPr>
            <w:r w:rsidRPr="00064F52">
              <w:rPr>
                <w:rFonts w:cs="Times New Roman"/>
              </w:rPr>
              <w:t>МПГПП</w:t>
            </w:r>
          </w:p>
        </w:tc>
        <w:tc>
          <w:tcPr>
            <w:tcW w:w="1417" w:type="dxa"/>
            <w:shd w:val="clear" w:color="auto" w:fill="auto"/>
          </w:tcPr>
          <w:p w14:paraId="54BB32BF" w14:textId="77777777" w:rsidR="00841C25" w:rsidRPr="00064F52" w:rsidRDefault="00841C25" w:rsidP="00064F52">
            <w:pPr>
              <w:spacing w:before="40" w:after="120"/>
              <w:ind w:left="28" w:right="113"/>
              <w:rPr>
                <w:rFonts w:cs="Times New Roman"/>
              </w:rPr>
            </w:pPr>
            <w:r w:rsidRPr="00064F52">
              <w:rPr>
                <w:rFonts w:cs="Times New Roman"/>
              </w:rPr>
              <w:t>13 августа 1980 года</w:t>
            </w:r>
          </w:p>
        </w:tc>
        <w:tc>
          <w:tcPr>
            <w:tcW w:w="1699" w:type="dxa"/>
            <w:shd w:val="clear" w:color="auto" w:fill="auto"/>
          </w:tcPr>
          <w:p w14:paraId="2C96B0A4" w14:textId="30CF708C" w:rsidR="00841C25" w:rsidRPr="00064F52" w:rsidRDefault="00841C25" w:rsidP="00064F52">
            <w:pPr>
              <w:spacing w:before="40" w:after="120"/>
              <w:ind w:left="28" w:right="113"/>
              <w:rPr>
                <w:rFonts w:cs="Times New Roman"/>
              </w:rPr>
            </w:pPr>
            <w:r w:rsidRPr="00064F52">
              <w:rPr>
                <w:rFonts w:cs="Times New Roman"/>
              </w:rPr>
              <w:t xml:space="preserve">13 ноября </w:t>
            </w:r>
            <w:r w:rsidR="00064F52">
              <w:rPr>
                <w:rFonts w:cs="Times New Roman"/>
              </w:rPr>
              <w:br/>
            </w:r>
            <w:r w:rsidRPr="00064F52">
              <w:rPr>
                <w:rFonts w:cs="Times New Roman"/>
              </w:rPr>
              <w:t>1980 года</w:t>
            </w:r>
          </w:p>
          <w:p w14:paraId="141E91D8" w14:textId="06E2D2A9" w:rsidR="00841C25" w:rsidRPr="00064F52" w:rsidRDefault="00841C25" w:rsidP="00064F52">
            <w:pPr>
              <w:spacing w:before="40" w:after="120"/>
              <w:ind w:left="28" w:right="113"/>
              <w:rPr>
                <w:rFonts w:cs="Times New Roman"/>
              </w:rPr>
            </w:pPr>
            <w:r w:rsidRPr="00064F52">
              <w:rPr>
                <w:rFonts w:cs="Times New Roman"/>
              </w:rPr>
              <w:t xml:space="preserve">(кроме ст. 41 </w:t>
            </w:r>
            <w:r w:rsidR="00064F52">
              <w:rPr>
                <w:rFonts w:cs="Times New Roman"/>
              </w:rPr>
              <w:t>—</w:t>
            </w:r>
            <w:r w:rsidR="00064F52">
              <w:rPr>
                <w:rFonts w:cs="Times New Roman"/>
              </w:rPr>
              <w:br/>
            </w:r>
            <w:r w:rsidRPr="00064F52">
              <w:rPr>
                <w:rFonts w:cs="Times New Roman"/>
              </w:rPr>
              <w:t xml:space="preserve">28 января </w:t>
            </w:r>
            <w:r w:rsidR="00064F52">
              <w:rPr>
                <w:rFonts w:cs="Times New Roman"/>
              </w:rPr>
              <w:br/>
            </w:r>
            <w:r w:rsidRPr="00064F52">
              <w:rPr>
                <w:rFonts w:cs="Times New Roman"/>
              </w:rPr>
              <w:t>1993 года)</w:t>
            </w:r>
          </w:p>
        </w:tc>
        <w:tc>
          <w:tcPr>
            <w:tcW w:w="1842" w:type="dxa"/>
            <w:shd w:val="clear" w:color="auto" w:fill="auto"/>
          </w:tcPr>
          <w:p w14:paraId="73CDD006" w14:textId="77777777" w:rsidR="00841C25" w:rsidRPr="00064F52" w:rsidRDefault="00841C25" w:rsidP="00064F52">
            <w:pPr>
              <w:spacing w:before="40" w:after="120"/>
              <w:ind w:left="28" w:right="113"/>
              <w:rPr>
                <w:rFonts w:cs="Times New Roman"/>
              </w:rPr>
            </w:pPr>
            <w:r w:rsidRPr="00064F52">
              <w:rPr>
                <w:rFonts w:cs="Times New Roman"/>
              </w:rPr>
              <w:t xml:space="preserve">Ст. 10, п. 2 a), 2 b), 3 </w:t>
            </w:r>
          </w:p>
          <w:p w14:paraId="39B27E1A" w14:textId="77777777" w:rsidR="00841C25" w:rsidRPr="00064F52" w:rsidRDefault="00841C25" w:rsidP="00064F52">
            <w:pPr>
              <w:spacing w:before="40" w:after="120"/>
              <w:ind w:left="28" w:right="113"/>
              <w:rPr>
                <w:rFonts w:cs="Times New Roman"/>
              </w:rPr>
            </w:pPr>
            <w:r w:rsidRPr="00064F52">
              <w:rPr>
                <w:rFonts w:cs="Times New Roman"/>
              </w:rPr>
              <w:t xml:space="preserve">Ст. 14, п. 6 </w:t>
            </w:r>
          </w:p>
          <w:p w14:paraId="0F9C721B" w14:textId="77777777" w:rsidR="00841C25" w:rsidRPr="00064F52" w:rsidRDefault="00841C25" w:rsidP="00064F52">
            <w:pPr>
              <w:spacing w:before="40" w:after="120"/>
              <w:ind w:left="28" w:right="113"/>
              <w:rPr>
                <w:rFonts w:cs="Times New Roman"/>
              </w:rPr>
            </w:pPr>
            <w:r w:rsidRPr="00064F52">
              <w:rPr>
                <w:rFonts w:cs="Times New Roman"/>
              </w:rPr>
              <w:t>Ст. 20</w:t>
            </w:r>
          </w:p>
        </w:tc>
        <w:tc>
          <w:tcPr>
            <w:tcW w:w="992" w:type="dxa"/>
            <w:shd w:val="clear" w:color="auto" w:fill="auto"/>
          </w:tcPr>
          <w:p w14:paraId="7FD2344C"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3E2D342E" w14:textId="37866486" w:rsidR="00841C25" w:rsidRPr="00064F52" w:rsidRDefault="00064F52" w:rsidP="00064F52">
            <w:pPr>
              <w:spacing w:before="40" w:after="120"/>
              <w:ind w:left="28" w:right="113"/>
              <w:rPr>
                <w:rFonts w:cs="Times New Roman"/>
              </w:rPr>
            </w:pPr>
            <w:r>
              <w:rPr>
                <w:rFonts w:cs="Times New Roman"/>
              </w:rPr>
              <w:t>–</w:t>
            </w:r>
          </w:p>
        </w:tc>
      </w:tr>
      <w:tr w:rsidR="00841C25" w:rsidRPr="00064F52" w14:paraId="47018C89" w14:textId="77777777" w:rsidTr="00064F52">
        <w:tc>
          <w:tcPr>
            <w:tcW w:w="1560" w:type="dxa"/>
            <w:shd w:val="clear" w:color="auto" w:fill="auto"/>
          </w:tcPr>
          <w:p w14:paraId="5D88FFB4" w14:textId="77777777" w:rsidR="00841C25" w:rsidRPr="00064F52" w:rsidRDefault="00841C25" w:rsidP="00064F52">
            <w:pPr>
              <w:spacing w:before="40" w:after="120"/>
              <w:ind w:left="28" w:right="113"/>
              <w:rPr>
                <w:rFonts w:cs="Times New Roman"/>
              </w:rPr>
            </w:pPr>
            <w:r w:rsidRPr="00064F52">
              <w:rPr>
                <w:rFonts w:cs="Times New Roman"/>
              </w:rPr>
              <w:lastRenderedPageBreak/>
              <w:t>ФП1-МПГПП</w:t>
            </w:r>
          </w:p>
        </w:tc>
        <w:tc>
          <w:tcPr>
            <w:tcW w:w="1417" w:type="dxa"/>
            <w:shd w:val="clear" w:color="auto" w:fill="auto"/>
          </w:tcPr>
          <w:p w14:paraId="6BC6776D" w14:textId="092011CD" w:rsidR="00841C25" w:rsidRPr="00064F52" w:rsidRDefault="00064F52" w:rsidP="00064F52">
            <w:pPr>
              <w:spacing w:before="40" w:after="120"/>
              <w:ind w:left="28" w:right="113"/>
              <w:rPr>
                <w:rFonts w:cs="Times New Roman"/>
              </w:rPr>
            </w:pPr>
            <w:r>
              <w:rPr>
                <w:rFonts w:cs="Times New Roman"/>
              </w:rPr>
              <w:t>–</w:t>
            </w:r>
          </w:p>
        </w:tc>
        <w:tc>
          <w:tcPr>
            <w:tcW w:w="1699" w:type="dxa"/>
            <w:shd w:val="clear" w:color="auto" w:fill="auto"/>
          </w:tcPr>
          <w:p w14:paraId="37E08509" w14:textId="46B84794" w:rsidR="00841C25" w:rsidRPr="00064F52" w:rsidRDefault="00841C25" w:rsidP="00064F52">
            <w:pPr>
              <w:spacing w:before="40" w:after="120"/>
              <w:ind w:left="28" w:right="113"/>
              <w:rPr>
                <w:rFonts w:cs="Times New Roman"/>
              </w:rPr>
            </w:pPr>
            <w:r w:rsidRPr="00064F52">
              <w:rPr>
                <w:rFonts w:cs="Times New Roman"/>
              </w:rPr>
              <w:t xml:space="preserve">25 сентября </w:t>
            </w:r>
            <w:r w:rsidR="00064F52">
              <w:rPr>
                <w:rFonts w:cs="Times New Roman"/>
              </w:rPr>
              <w:br/>
            </w:r>
            <w:r w:rsidRPr="00064F52">
              <w:rPr>
                <w:rFonts w:cs="Times New Roman"/>
              </w:rPr>
              <w:t>1991 года (принят)</w:t>
            </w:r>
          </w:p>
        </w:tc>
        <w:tc>
          <w:tcPr>
            <w:tcW w:w="1842" w:type="dxa"/>
            <w:shd w:val="clear" w:color="auto" w:fill="auto"/>
          </w:tcPr>
          <w:p w14:paraId="3B5C8E99" w14:textId="42CFBC00"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68D765BC" w14:textId="6F560ADE"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2A66DB8D" w14:textId="3DB979BD" w:rsidR="00841C25" w:rsidRPr="00064F52" w:rsidRDefault="00064F52" w:rsidP="00064F52">
            <w:pPr>
              <w:spacing w:before="40" w:after="120"/>
              <w:ind w:left="28" w:right="113"/>
              <w:rPr>
                <w:rFonts w:cs="Times New Roman"/>
              </w:rPr>
            </w:pPr>
            <w:r>
              <w:rPr>
                <w:rFonts w:cs="Times New Roman"/>
              </w:rPr>
              <w:t>–</w:t>
            </w:r>
          </w:p>
        </w:tc>
      </w:tr>
      <w:tr w:rsidR="00841C25" w:rsidRPr="00064F52" w14:paraId="6BB0BB54" w14:textId="77777777" w:rsidTr="00064F52">
        <w:tc>
          <w:tcPr>
            <w:tcW w:w="1560" w:type="dxa"/>
            <w:shd w:val="clear" w:color="auto" w:fill="auto"/>
          </w:tcPr>
          <w:p w14:paraId="21793538" w14:textId="77777777" w:rsidR="00841C25" w:rsidRPr="00064F52" w:rsidRDefault="00841C25" w:rsidP="00064F52">
            <w:pPr>
              <w:spacing w:before="40" w:after="120"/>
              <w:ind w:left="28" w:right="113"/>
              <w:rPr>
                <w:rFonts w:cs="Times New Roman"/>
              </w:rPr>
            </w:pPr>
            <w:r w:rsidRPr="00064F52">
              <w:rPr>
                <w:rFonts w:cs="Times New Roman"/>
              </w:rPr>
              <w:t>ФП2-МПГПП</w:t>
            </w:r>
          </w:p>
        </w:tc>
        <w:tc>
          <w:tcPr>
            <w:tcW w:w="1417" w:type="dxa"/>
            <w:shd w:val="clear" w:color="auto" w:fill="auto"/>
          </w:tcPr>
          <w:p w14:paraId="41FB69D4" w14:textId="2E579158" w:rsidR="00841C25" w:rsidRPr="00064F52" w:rsidRDefault="00841C25" w:rsidP="00064F52">
            <w:pPr>
              <w:spacing w:before="40" w:after="120"/>
              <w:ind w:left="28" w:right="113"/>
              <w:rPr>
                <w:rFonts w:cs="Times New Roman"/>
              </w:rPr>
            </w:pPr>
            <w:r w:rsidRPr="00064F52">
              <w:rPr>
                <w:rFonts w:cs="Times New Roman"/>
              </w:rPr>
              <w:t xml:space="preserve">2 октября </w:t>
            </w:r>
            <w:r w:rsidR="00064F52">
              <w:rPr>
                <w:rFonts w:cs="Times New Roman"/>
              </w:rPr>
              <w:br/>
            </w:r>
            <w:r w:rsidRPr="00064F52">
              <w:rPr>
                <w:rFonts w:cs="Times New Roman"/>
              </w:rPr>
              <w:t>1990 года</w:t>
            </w:r>
          </w:p>
        </w:tc>
        <w:tc>
          <w:tcPr>
            <w:tcW w:w="1699" w:type="dxa"/>
            <w:shd w:val="clear" w:color="auto" w:fill="auto"/>
          </w:tcPr>
          <w:p w14:paraId="6517C49A" w14:textId="52D21324" w:rsidR="00841C25" w:rsidRPr="00064F52" w:rsidRDefault="00841C25" w:rsidP="00064F52">
            <w:pPr>
              <w:spacing w:before="40" w:after="120"/>
              <w:ind w:left="28" w:right="113"/>
              <w:rPr>
                <w:rFonts w:cs="Times New Roman"/>
              </w:rPr>
            </w:pPr>
            <w:r w:rsidRPr="00064F52">
              <w:rPr>
                <w:rFonts w:cs="Times New Roman"/>
              </w:rPr>
              <w:t xml:space="preserve">11 июля </w:t>
            </w:r>
            <w:r w:rsidR="00064F52">
              <w:rPr>
                <w:rFonts w:cs="Times New Roman"/>
              </w:rPr>
              <w:br/>
            </w:r>
            <w:r w:rsidRPr="00064F52">
              <w:rPr>
                <w:rFonts w:cs="Times New Roman"/>
              </w:rPr>
              <w:t>1991 года</w:t>
            </w:r>
          </w:p>
        </w:tc>
        <w:tc>
          <w:tcPr>
            <w:tcW w:w="1842" w:type="dxa"/>
            <w:shd w:val="clear" w:color="auto" w:fill="auto"/>
          </w:tcPr>
          <w:p w14:paraId="5BDE38F0" w14:textId="4389068A"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773B25BA" w14:textId="1B84B696"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332348E8" w14:textId="127F9501" w:rsidR="00841C25" w:rsidRPr="00064F52" w:rsidRDefault="00064F52" w:rsidP="00064F52">
            <w:pPr>
              <w:spacing w:before="40" w:after="120"/>
              <w:ind w:left="28" w:right="113"/>
              <w:rPr>
                <w:rFonts w:cs="Times New Roman"/>
              </w:rPr>
            </w:pPr>
            <w:r>
              <w:rPr>
                <w:rFonts w:cs="Times New Roman"/>
              </w:rPr>
              <w:t>–</w:t>
            </w:r>
          </w:p>
        </w:tc>
      </w:tr>
      <w:tr w:rsidR="00841C25" w:rsidRPr="00064F52" w14:paraId="7E3CEAFB" w14:textId="77777777" w:rsidTr="00064F52">
        <w:tc>
          <w:tcPr>
            <w:tcW w:w="1560" w:type="dxa"/>
            <w:shd w:val="clear" w:color="auto" w:fill="auto"/>
          </w:tcPr>
          <w:p w14:paraId="760F778E" w14:textId="77777777" w:rsidR="00841C25" w:rsidRPr="00064F52" w:rsidRDefault="00841C25" w:rsidP="00064F52">
            <w:pPr>
              <w:spacing w:before="40" w:after="120"/>
              <w:ind w:left="28" w:right="113"/>
              <w:rPr>
                <w:rFonts w:cs="Times New Roman"/>
              </w:rPr>
            </w:pPr>
            <w:r w:rsidRPr="00064F52">
              <w:rPr>
                <w:rFonts w:cs="Times New Roman"/>
              </w:rPr>
              <w:t>МПЭСКП</w:t>
            </w:r>
          </w:p>
        </w:tc>
        <w:tc>
          <w:tcPr>
            <w:tcW w:w="1417" w:type="dxa"/>
            <w:shd w:val="clear" w:color="auto" w:fill="auto"/>
          </w:tcPr>
          <w:p w14:paraId="4A6A6E1C" w14:textId="77777777" w:rsidR="00841C25" w:rsidRPr="00064F52" w:rsidRDefault="00841C25" w:rsidP="00064F52">
            <w:pPr>
              <w:spacing w:before="40" w:after="120"/>
              <w:ind w:left="28" w:right="113"/>
              <w:rPr>
                <w:rFonts w:cs="Times New Roman"/>
              </w:rPr>
            </w:pPr>
            <w:r w:rsidRPr="00064F52">
              <w:rPr>
                <w:rFonts w:cs="Times New Roman"/>
              </w:rPr>
              <w:t>10 декабря 1975 года</w:t>
            </w:r>
          </w:p>
        </w:tc>
        <w:tc>
          <w:tcPr>
            <w:tcW w:w="1699" w:type="dxa"/>
            <w:shd w:val="clear" w:color="auto" w:fill="auto"/>
          </w:tcPr>
          <w:p w14:paraId="700EF4D2" w14:textId="60352F82" w:rsidR="00841C25" w:rsidRPr="00064F52" w:rsidRDefault="00841C25" w:rsidP="00064F52">
            <w:pPr>
              <w:spacing w:before="40" w:after="120"/>
              <w:ind w:left="28" w:right="113"/>
              <w:rPr>
                <w:rFonts w:cs="Times New Roman"/>
              </w:rPr>
            </w:pPr>
            <w:r w:rsidRPr="00064F52">
              <w:rPr>
                <w:rFonts w:cs="Times New Roman"/>
              </w:rPr>
              <w:t xml:space="preserve">10 марта </w:t>
            </w:r>
            <w:r w:rsidR="00064F52">
              <w:rPr>
                <w:rFonts w:cs="Times New Roman"/>
              </w:rPr>
              <w:br/>
            </w:r>
            <w:r w:rsidRPr="00064F52">
              <w:rPr>
                <w:rFonts w:cs="Times New Roman"/>
              </w:rPr>
              <w:t>1976 года</w:t>
            </w:r>
          </w:p>
        </w:tc>
        <w:tc>
          <w:tcPr>
            <w:tcW w:w="1842" w:type="dxa"/>
            <w:shd w:val="clear" w:color="auto" w:fill="auto"/>
          </w:tcPr>
          <w:p w14:paraId="08D31587" w14:textId="3CCCF2A7"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24ED8BA0" w14:textId="2FB9BA48"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481239B7" w14:textId="4EEA2E4C" w:rsidR="00841C25" w:rsidRPr="00064F52" w:rsidRDefault="00064F52" w:rsidP="00064F52">
            <w:pPr>
              <w:spacing w:before="40" w:after="120"/>
              <w:ind w:left="28" w:right="113"/>
              <w:rPr>
                <w:rFonts w:cs="Times New Roman"/>
              </w:rPr>
            </w:pPr>
            <w:r>
              <w:rPr>
                <w:rFonts w:cs="Times New Roman"/>
              </w:rPr>
              <w:t>–</w:t>
            </w:r>
          </w:p>
        </w:tc>
      </w:tr>
      <w:tr w:rsidR="00841C25" w:rsidRPr="00064F52" w14:paraId="5AAA0625" w14:textId="77777777" w:rsidTr="00064F52">
        <w:tc>
          <w:tcPr>
            <w:tcW w:w="1560" w:type="dxa"/>
            <w:shd w:val="clear" w:color="auto" w:fill="auto"/>
          </w:tcPr>
          <w:p w14:paraId="020FA6A8" w14:textId="77777777" w:rsidR="00841C25" w:rsidRPr="00064F52" w:rsidRDefault="00841C25" w:rsidP="00064F52">
            <w:pPr>
              <w:spacing w:before="40" w:after="120"/>
              <w:ind w:left="28" w:right="113"/>
              <w:rPr>
                <w:rFonts w:cs="Times New Roman"/>
              </w:rPr>
            </w:pPr>
            <w:r w:rsidRPr="00064F52">
              <w:rPr>
                <w:rFonts w:cs="Times New Roman"/>
              </w:rPr>
              <w:t>КПП</w:t>
            </w:r>
          </w:p>
        </w:tc>
        <w:tc>
          <w:tcPr>
            <w:tcW w:w="1417" w:type="dxa"/>
            <w:shd w:val="clear" w:color="auto" w:fill="auto"/>
          </w:tcPr>
          <w:p w14:paraId="2D793E18" w14:textId="706FB113" w:rsidR="00841C25" w:rsidRPr="00064F52" w:rsidRDefault="00841C25" w:rsidP="00064F52">
            <w:pPr>
              <w:spacing w:before="40" w:after="120"/>
              <w:ind w:left="28" w:right="113"/>
              <w:rPr>
                <w:rFonts w:cs="Times New Roman"/>
              </w:rPr>
            </w:pPr>
            <w:r w:rsidRPr="00064F52">
              <w:rPr>
                <w:rFonts w:cs="Times New Roman"/>
              </w:rPr>
              <w:t xml:space="preserve">8 августа </w:t>
            </w:r>
            <w:r w:rsidR="00064F52">
              <w:rPr>
                <w:rFonts w:cs="Times New Roman"/>
              </w:rPr>
              <w:br/>
            </w:r>
            <w:r w:rsidRPr="00064F52">
              <w:rPr>
                <w:rFonts w:cs="Times New Roman"/>
              </w:rPr>
              <w:t>1989 года</w:t>
            </w:r>
          </w:p>
        </w:tc>
        <w:tc>
          <w:tcPr>
            <w:tcW w:w="1699" w:type="dxa"/>
            <w:shd w:val="clear" w:color="auto" w:fill="auto"/>
          </w:tcPr>
          <w:p w14:paraId="1F4FE801" w14:textId="736C697D" w:rsidR="00841C25" w:rsidRPr="00064F52" w:rsidRDefault="00841C25" w:rsidP="00064F52">
            <w:pPr>
              <w:spacing w:before="40" w:after="120"/>
              <w:ind w:left="28" w:right="113"/>
              <w:rPr>
                <w:rFonts w:cs="Times New Roman"/>
              </w:rPr>
            </w:pPr>
            <w:r w:rsidRPr="00064F52">
              <w:rPr>
                <w:rFonts w:cs="Times New Roman"/>
              </w:rPr>
              <w:t xml:space="preserve">26 июня </w:t>
            </w:r>
            <w:r w:rsidR="00064F52">
              <w:rPr>
                <w:rFonts w:cs="Times New Roman"/>
              </w:rPr>
              <w:br/>
            </w:r>
            <w:r w:rsidRPr="00064F52">
              <w:rPr>
                <w:rFonts w:cs="Times New Roman"/>
              </w:rPr>
              <w:t>1987 года</w:t>
            </w:r>
          </w:p>
        </w:tc>
        <w:tc>
          <w:tcPr>
            <w:tcW w:w="1842" w:type="dxa"/>
            <w:shd w:val="clear" w:color="auto" w:fill="auto"/>
          </w:tcPr>
          <w:p w14:paraId="57842B34" w14:textId="3624FE98"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047A569E"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64598E03" w14:textId="77777777" w:rsidR="00841C25" w:rsidRPr="00064F52" w:rsidRDefault="00841C25" w:rsidP="00064F52">
            <w:pPr>
              <w:spacing w:before="40" w:after="120"/>
              <w:ind w:left="28" w:right="113"/>
              <w:rPr>
                <w:rFonts w:cs="Times New Roman"/>
              </w:rPr>
            </w:pPr>
            <w:r w:rsidRPr="00064F52">
              <w:rPr>
                <w:rFonts w:cs="Times New Roman"/>
              </w:rPr>
              <w:t>Да</w:t>
            </w:r>
          </w:p>
        </w:tc>
      </w:tr>
      <w:tr w:rsidR="00841C25" w:rsidRPr="00064F52" w14:paraId="1AAEB6CA" w14:textId="77777777" w:rsidTr="00064F52">
        <w:tc>
          <w:tcPr>
            <w:tcW w:w="1560" w:type="dxa"/>
            <w:shd w:val="clear" w:color="auto" w:fill="auto"/>
          </w:tcPr>
          <w:p w14:paraId="47BA9959" w14:textId="77777777" w:rsidR="00841C25" w:rsidRPr="00064F52" w:rsidRDefault="00841C25" w:rsidP="00064F52">
            <w:pPr>
              <w:spacing w:before="40" w:after="120"/>
              <w:ind w:left="28" w:right="113"/>
              <w:rPr>
                <w:rFonts w:cs="Times New Roman"/>
              </w:rPr>
            </w:pPr>
            <w:r w:rsidRPr="00064F52">
              <w:rPr>
                <w:rFonts w:cs="Times New Roman"/>
              </w:rPr>
              <w:t>ФП-КПП</w:t>
            </w:r>
          </w:p>
        </w:tc>
        <w:tc>
          <w:tcPr>
            <w:tcW w:w="1417" w:type="dxa"/>
            <w:shd w:val="clear" w:color="auto" w:fill="auto"/>
          </w:tcPr>
          <w:p w14:paraId="5C99D85A" w14:textId="77777777" w:rsidR="00841C25" w:rsidRPr="00064F52" w:rsidRDefault="00841C25" w:rsidP="00064F52">
            <w:pPr>
              <w:spacing w:before="40" w:after="120"/>
              <w:ind w:left="28" w:right="113"/>
              <w:rPr>
                <w:rFonts w:cs="Times New Roman"/>
              </w:rPr>
            </w:pPr>
            <w:r w:rsidRPr="00064F52">
              <w:rPr>
                <w:rFonts w:cs="Times New Roman"/>
              </w:rPr>
              <w:t>21 декабря 2017 года</w:t>
            </w:r>
          </w:p>
        </w:tc>
        <w:tc>
          <w:tcPr>
            <w:tcW w:w="1699" w:type="dxa"/>
            <w:shd w:val="clear" w:color="auto" w:fill="auto"/>
          </w:tcPr>
          <w:p w14:paraId="150DD98D" w14:textId="2117C365" w:rsidR="00841C25" w:rsidRPr="00064F52" w:rsidRDefault="00841C25" w:rsidP="00064F52">
            <w:pPr>
              <w:spacing w:before="40" w:after="120"/>
              <w:ind w:left="28" w:right="113"/>
              <w:rPr>
                <w:rFonts w:cs="Times New Roman"/>
              </w:rPr>
            </w:pPr>
            <w:r w:rsidRPr="00064F52">
              <w:rPr>
                <w:rFonts w:cs="Times New Roman"/>
              </w:rPr>
              <w:t xml:space="preserve">20 января </w:t>
            </w:r>
            <w:r w:rsidR="00064F52">
              <w:rPr>
                <w:rFonts w:cs="Times New Roman"/>
              </w:rPr>
              <w:br/>
            </w:r>
            <w:r w:rsidRPr="00064F52">
              <w:rPr>
                <w:rFonts w:cs="Times New Roman"/>
              </w:rPr>
              <w:t>2018 года</w:t>
            </w:r>
          </w:p>
        </w:tc>
        <w:tc>
          <w:tcPr>
            <w:tcW w:w="1842" w:type="dxa"/>
            <w:shd w:val="clear" w:color="auto" w:fill="auto"/>
          </w:tcPr>
          <w:p w14:paraId="4F5FBC6E" w14:textId="13757346"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26CCA95F"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148A5A16" w14:textId="2F196299" w:rsidR="00841C25" w:rsidRPr="00064F52" w:rsidRDefault="00064F52" w:rsidP="00064F52">
            <w:pPr>
              <w:spacing w:before="40" w:after="120"/>
              <w:ind w:left="28" w:right="113"/>
              <w:rPr>
                <w:rFonts w:cs="Times New Roman"/>
              </w:rPr>
            </w:pPr>
            <w:r>
              <w:rPr>
                <w:rFonts w:cs="Times New Roman"/>
              </w:rPr>
              <w:t>–</w:t>
            </w:r>
          </w:p>
        </w:tc>
      </w:tr>
      <w:tr w:rsidR="00841C25" w:rsidRPr="00064F52" w14:paraId="3861B9CA" w14:textId="77777777" w:rsidTr="00064F52">
        <w:tc>
          <w:tcPr>
            <w:tcW w:w="1560" w:type="dxa"/>
            <w:shd w:val="clear" w:color="auto" w:fill="auto"/>
          </w:tcPr>
          <w:p w14:paraId="3BA73116" w14:textId="77777777" w:rsidR="00841C25" w:rsidRPr="00064F52" w:rsidRDefault="00841C25" w:rsidP="00064F52">
            <w:pPr>
              <w:spacing w:before="40" w:after="120"/>
              <w:ind w:left="28" w:right="113"/>
              <w:rPr>
                <w:rFonts w:cs="Times New Roman"/>
              </w:rPr>
            </w:pPr>
            <w:r w:rsidRPr="00064F52">
              <w:rPr>
                <w:rFonts w:cs="Times New Roman"/>
              </w:rPr>
              <w:t>КЛДОЖ</w:t>
            </w:r>
          </w:p>
        </w:tc>
        <w:tc>
          <w:tcPr>
            <w:tcW w:w="1417" w:type="dxa"/>
            <w:shd w:val="clear" w:color="auto" w:fill="auto"/>
          </w:tcPr>
          <w:p w14:paraId="1812DA55" w14:textId="07E90EC5" w:rsidR="00841C25" w:rsidRPr="00064F52" w:rsidRDefault="00841C25" w:rsidP="00064F52">
            <w:pPr>
              <w:spacing w:before="40" w:after="120"/>
              <w:ind w:left="28" w:right="113"/>
              <w:rPr>
                <w:rFonts w:cs="Times New Roman"/>
              </w:rPr>
            </w:pPr>
            <w:r w:rsidRPr="00064F52">
              <w:rPr>
                <w:rFonts w:cs="Times New Roman"/>
              </w:rPr>
              <w:t xml:space="preserve">28 июля </w:t>
            </w:r>
            <w:r w:rsidR="00064F52">
              <w:rPr>
                <w:rFonts w:cs="Times New Roman"/>
              </w:rPr>
              <w:br/>
            </w:r>
            <w:r w:rsidRPr="00064F52">
              <w:rPr>
                <w:rFonts w:cs="Times New Roman"/>
              </w:rPr>
              <w:t>1983 года</w:t>
            </w:r>
          </w:p>
        </w:tc>
        <w:tc>
          <w:tcPr>
            <w:tcW w:w="1699" w:type="dxa"/>
            <w:shd w:val="clear" w:color="auto" w:fill="auto"/>
          </w:tcPr>
          <w:p w14:paraId="264EB158" w14:textId="27AFAB39" w:rsidR="00841C25" w:rsidRPr="00064F52" w:rsidRDefault="00841C25" w:rsidP="00064F52">
            <w:pPr>
              <w:spacing w:before="40" w:after="120"/>
              <w:ind w:left="28" w:right="113"/>
              <w:rPr>
                <w:rFonts w:cs="Times New Roman"/>
              </w:rPr>
            </w:pPr>
            <w:r w:rsidRPr="00064F52">
              <w:rPr>
                <w:rFonts w:cs="Times New Roman"/>
              </w:rPr>
              <w:t xml:space="preserve">27 августа </w:t>
            </w:r>
            <w:r w:rsidR="00064F52">
              <w:rPr>
                <w:rFonts w:cs="Times New Roman"/>
              </w:rPr>
              <w:br/>
            </w:r>
            <w:r w:rsidRPr="00064F52">
              <w:rPr>
                <w:rFonts w:cs="Times New Roman"/>
              </w:rPr>
              <w:t>1983 года</w:t>
            </w:r>
          </w:p>
        </w:tc>
        <w:tc>
          <w:tcPr>
            <w:tcW w:w="1842" w:type="dxa"/>
            <w:shd w:val="clear" w:color="auto" w:fill="auto"/>
          </w:tcPr>
          <w:p w14:paraId="33F634DE" w14:textId="77777777" w:rsidR="00841C25" w:rsidRPr="00064F52" w:rsidRDefault="00841C25" w:rsidP="00064F52">
            <w:pPr>
              <w:spacing w:before="40" w:after="120"/>
              <w:ind w:left="28" w:right="113"/>
              <w:rPr>
                <w:rFonts w:cs="Times New Roman"/>
              </w:rPr>
            </w:pPr>
            <w:r w:rsidRPr="00064F52">
              <w:rPr>
                <w:rFonts w:cs="Times New Roman"/>
              </w:rPr>
              <w:t>Ст. 11(2)</w:t>
            </w:r>
          </w:p>
        </w:tc>
        <w:tc>
          <w:tcPr>
            <w:tcW w:w="992" w:type="dxa"/>
            <w:shd w:val="clear" w:color="auto" w:fill="auto"/>
          </w:tcPr>
          <w:p w14:paraId="0756EF76"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2D2D27EF" w14:textId="1D4D19A4" w:rsidR="00841C25" w:rsidRPr="00064F52" w:rsidRDefault="00064F52" w:rsidP="00064F52">
            <w:pPr>
              <w:spacing w:before="40" w:after="120"/>
              <w:ind w:left="28" w:right="113"/>
              <w:rPr>
                <w:rFonts w:cs="Times New Roman"/>
              </w:rPr>
            </w:pPr>
            <w:r>
              <w:rPr>
                <w:rFonts w:cs="Times New Roman"/>
              </w:rPr>
              <w:t>–</w:t>
            </w:r>
          </w:p>
        </w:tc>
      </w:tr>
      <w:tr w:rsidR="00841C25" w:rsidRPr="00064F52" w14:paraId="271EE2F5" w14:textId="77777777" w:rsidTr="00064F52">
        <w:tc>
          <w:tcPr>
            <w:tcW w:w="1560" w:type="dxa"/>
            <w:shd w:val="clear" w:color="auto" w:fill="auto"/>
          </w:tcPr>
          <w:p w14:paraId="18215C8B" w14:textId="77777777" w:rsidR="00841C25" w:rsidRPr="00064F52" w:rsidRDefault="00841C25" w:rsidP="00064F52">
            <w:pPr>
              <w:spacing w:before="40" w:after="120"/>
              <w:ind w:left="28" w:right="113"/>
              <w:rPr>
                <w:rFonts w:cs="Times New Roman"/>
              </w:rPr>
            </w:pPr>
            <w:r w:rsidRPr="00064F52">
              <w:rPr>
                <w:rFonts w:cs="Times New Roman"/>
              </w:rPr>
              <w:t>ФП-КЛДОЖ</w:t>
            </w:r>
          </w:p>
        </w:tc>
        <w:tc>
          <w:tcPr>
            <w:tcW w:w="1417" w:type="dxa"/>
            <w:shd w:val="clear" w:color="auto" w:fill="auto"/>
          </w:tcPr>
          <w:p w14:paraId="52E7F206" w14:textId="737DFE10" w:rsidR="00841C25" w:rsidRPr="00064F52" w:rsidRDefault="00064F52" w:rsidP="00064F52">
            <w:pPr>
              <w:spacing w:before="40" w:after="120"/>
              <w:ind w:left="28" w:right="113"/>
              <w:rPr>
                <w:rFonts w:cs="Times New Roman"/>
              </w:rPr>
            </w:pPr>
            <w:r>
              <w:rPr>
                <w:rFonts w:cs="Times New Roman"/>
              </w:rPr>
              <w:t>–</w:t>
            </w:r>
          </w:p>
        </w:tc>
        <w:tc>
          <w:tcPr>
            <w:tcW w:w="1699" w:type="dxa"/>
            <w:shd w:val="clear" w:color="auto" w:fill="auto"/>
          </w:tcPr>
          <w:p w14:paraId="273CAC7E" w14:textId="19485FA8" w:rsidR="00841C25" w:rsidRPr="00064F52" w:rsidRDefault="00841C25" w:rsidP="00064F52">
            <w:pPr>
              <w:spacing w:before="40" w:after="120"/>
              <w:ind w:left="28" w:right="113"/>
              <w:rPr>
                <w:rFonts w:cs="Times New Roman"/>
              </w:rPr>
            </w:pPr>
            <w:r w:rsidRPr="00064F52">
              <w:rPr>
                <w:rFonts w:cs="Times New Roman"/>
              </w:rPr>
              <w:t xml:space="preserve">4 декабря </w:t>
            </w:r>
            <w:r w:rsidR="00064F52">
              <w:rPr>
                <w:rFonts w:cs="Times New Roman"/>
              </w:rPr>
              <w:br/>
            </w:r>
            <w:r w:rsidRPr="00064F52">
              <w:rPr>
                <w:rFonts w:cs="Times New Roman"/>
              </w:rPr>
              <w:t>2008 года (принят)</w:t>
            </w:r>
          </w:p>
        </w:tc>
        <w:tc>
          <w:tcPr>
            <w:tcW w:w="1842" w:type="dxa"/>
            <w:shd w:val="clear" w:color="auto" w:fill="auto"/>
          </w:tcPr>
          <w:p w14:paraId="5DB22F38" w14:textId="16B0B946"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17CA6232" w14:textId="36EC661B"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4A25CC64" w14:textId="317C0CA3" w:rsidR="00841C25" w:rsidRPr="00064F52" w:rsidRDefault="00064F52" w:rsidP="00064F52">
            <w:pPr>
              <w:spacing w:before="40" w:after="120"/>
              <w:ind w:left="28" w:right="113"/>
              <w:rPr>
                <w:rFonts w:cs="Times New Roman"/>
              </w:rPr>
            </w:pPr>
            <w:r>
              <w:rPr>
                <w:rFonts w:cs="Times New Roman"/>
              </w:rPr>
              <w:t>–</w:t>
            </w:r>
          </w:p>
        </w:tc>
      </w:tr>
      <w:tr w:rsidR="00841C25" w:rsidRPr="00064F52" w14:paraId="129380C0" w14:textId="77777777" w:rsidTr="00064F52">
        <w:tc>
          <w:tcPr>
            <w:tcW w:w="1560" w:type="dxa"/>
            <w:shd w:val="clear" w:color="auto" w:fill="auto"/>
          </w:tcPr>
          <w:p w14:paraId="66F5A78B" w14:textId="77777777" w:rsidR="00841C25" w:rsidRPr="00064F52" w:rsidRDefault="00841C25" w:rsidP="00064F52">
            <w:pPr>
              <w:spacing w:before="40" w:after="120"/>
              <w:ind w:left="28" w:right="113"/>
              <w:rPr>
                <w:rFonts w:cs="Times New Roman"/>
              </w:rPr>
            </w:pPr>
            <w:r w:rsidRPr="00064F52">
              <w:rPr>
                <w:rFonts w:cs="Times New Roman"/>
              </w:rPr>
              <w:t>КЛРД</w:t>
            </w:r>
          </w:p>
        </w:tc>
        <w:tc>
          <w:tcPr>
            <w:tcW w:w="1417" w:type="dxa"/>
            <w:shd w:val="clear" w:color="auto" w:fill="auto"/>
          </w:tcPr>
          <w:p w14:paraId="792977D4" w14:textId="77777777" w:rsidR="00841C25" w:rsidRPr="00064F52" w:rsidRDefault="00841C25" w:rsidP="00064F52">
            <w:pPr>
              <w:spacing w:before="40" w:after="120"/>
              <w:ind w:left="28" w:right="113"/>
              <w:rPr>
                <w:rFonts w:cs="Times New Roman"/>
              </w:rPr>
            </w:pPr>
            <w:r w:rsidRPr="00064F52">
              <w:rPr>
                <w:rFonts w:cs="Times New Roman"/>
              </w:rPr>
              <w:t>30 сентября 1975 года</w:t>
            </w:r>
          </w:p>
        </w:tc>
        <w:tc>
          <w:tcPr>
            <w:tcW w:w="1699" w:type="dxa"/>
            <w:shd w:val="clear" w:color="auto" w:fill="auto"/>
          </w:tcPr>
          <w:p w14:paraId="46E6F547" w14:textId="088A817B" w:rsidR="00841C25" w:rsidRPr="00064F52" w:rsidRDefault="00841C25" w:rsidP="00064F52">
            <w:pPr>
              <w:spacing w:before="40" w:after="120"/>
              <w:ind w:left="28" w:right="113"/>
              <w:rPr>
                <w:rFonts w:cs="Times New Roman"/>
              </w:rPr>
            </w:pPr>
            <w:r w:rsidRPr="00064F52">
              <w:rPr>
                <w:rFonts w:cs="Times New Roman"/>
              </w:rPr>
              <w:t xml:space="preserve">30 октября </w:t>
            </w:r>
            <w:r w:rsidR="00064F52">
              <w:rPr>
                <w:rFonts w:cs="Times New Roman"/>
              </w:rPr>
              <w:br/>
            </w:r>
            <w:r w:rsidRPr="00064F52">
              <w:rPr>
                <w:rFonts w:cs="Times New Roman"/>
              </w:rPr>
              <w:t>1975 года</w:t>
            </w:r>
          </w:p>
        </w:tc>
        <w:tc>
          <w:tcPr>
            <w:tcW w:w="1842" w:type="dxa"/>
            <w:shd w:val="clear" w:color="auto" w:fill="auto"/>
          </w:tcPr>
          <w:p w14:paraId="255C88F9" w14:textId="77777777" w:rsidR="00841C25" w:rsidRPr="00064F52" w:rsidRDefault="00841C25" w:rsidP="00064F52">
            <w:pPr>
              <w:spacing w:before="40" w:after="120"/>
              <w:ind w:left="28" w:right="113"/>
              <w:rPr>
                <w:rFonts w:cs="Times New Roman"/>
              </w:rPr>
            </w:pPr>
            <w:r w:rsidRPr="00064F52">
              <w:rPr>
                <w:rFonts w:cs="Times New Roman"/>
              </w:rPr>
              <w:t>Ст. 4 a)</w:t>
            </w:r>
          </w:p>
        </w:tc>
        <w:tc>
          <w:tcPr>
            <w:tcW w:w="992" w:type="dxa"/>
            <w:shd w:val="clear" w:color="auto" w:fill="auto"/>
          </w:tcPr>
          <w:p w14:paraId="69FF8CAD"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0BC4A8FC" w14:textId="5F770F05" w:rsidR="00841C25" w:rsidRPr="00064F52" w:rsidRDefault="00064F52" w:rsidP="00064F52">
            <w:pPr>
              <w:spacing w:before="40" w:after="120"/>
              <w:ind w:left="28" w:right="113"/>
              <w:rPr>
                <w:rFonts w:cs="Times New Roman"/>
              </w:rPr>
            </w:pPr>
            <w:r>
              <w:rPr>
                <w:rFonts w:cs="Times New Roman"/>
              </w:rPr>
              <w:t>–</w:t>
            </w:r>
          </w:p>
        </w:tc>
      </w:tr>
      <w:tr w:rsidR="00841C25" w:rsidRPr="00064F52" w14:paraId="1BA4FC22" w14:textId="77777777" w:rsidTr="00064F52">
        <w:tc>
          <w:tcPr>
            <w:tcW w:w="1560" w:type="dxa"/>
            <w:shd w:val="clear" w:color="auto" w:fill="auto"/>
          </w:tcPr>
          <w:p w14:paraId="3FBEF7E1" w14:textId="77777777" w:rsidR="00841C25" w:rsidRPr="00064F52" w:rsidRDefault="00841C25" w:rsidP="00064F52">
            <w:pPr>
              <w:spacing w:before="40" w:after="120"/>
              <w:ind w:left="28" w:right="113"/>
              <w:rPr>
                <w:rFonts w:cs="Times New Roman"/>
              </w:rPr>
            </w:pPr>
            <w:r w:rsidRPr="00064F52">
              <w:rPr>
                <w:rFonts w:cs="Times New Roman"/>
              </w:rPr>
              <w:t>КПР</w:t>
            </w:r>
          </w:p>
        </w:tc>
        <w:tc>
          <w:tcPr>
            <w:tcW w:w="1417" w:type="dxa"/>
            <w:shd w:val="clear" w:color="auto" w:fill="auto"/>
          </w:tcPr>
          <w:p w14:paraId="1C383A13" w14:textId="77777777" w:rsidR="00841C25" w:rsidRPr="00064F52" w:rsidRDefault="00841C25" w:rsidP="00064F52">
            <w:pPr>
              <w:spacing w:before="40" w:after="120"/>
              <w:ind w:left="28" w:right="113"/>
              <w:rPr>
                <w:rFonts w:cs="Times New Roman"/>
              </w:rPr>
            </w:pPr>
            <w:r w:rsidRPr="00064F52">
              <w:rPr>
                <w:rFonts w:cs="Times New Roman"/>
              </w:rPr>
              <w:t>17 декабря 1990 года</w:t>
            </w:r>
          </w:p>
        </w:tc>
        <w:tc>
          <w:tcPr>
            <w:tcW w:w="1699" w:type="dxa"/>
            <w:shd w:val="clear" w:color="auto" w:fill="auto"/>
          </w:tcPr>
          <w:p w14:paraId="34189B62" w14:textId="4496102B" w:rsidR="00841C25" w:rsidRPr="00064F52" w:rsidRDefault="00841C25" w:rsidP="00064F52">
            <w:pPr>
              <w:spacing w:before="40" w:after="120"/>
              <w:ind w:left="28" w:right="113"/>
              <w:rPr>
                <w:rFonts w:cs="Times New Roman"/>
              </w:rPr>
            </w:pPr>
            <w:r w:rsidRPr="00064F52">
              <w:rPr>
                <w:rFonts w:cs="Times New Roman"/>
              </w:rPr>
              <w:t xml:space="preserve">16 января </w:t>
            </w:r>
            <w:r w:rsidR="00064F52">
              <w:rPr>
                <w:rFonts w:cs="Times New Roman"/>
              </w:rPr>
              <w:br/>
            </w:r>
            <w:r w:rsidRPr="00064F52">
              <w:rPr>
                <w:rFonts w:cs="Times New Roman"/>
              </w:rPr>
              <w:t>1991 года</w:t>
            </w:r>
          </w:p>
        </w:tc>
        <w:tc>
          <w:tcPr>
            <w:tcW w:w="1842" w:type="dxa"/>
            <w:shd w:val="clear" w:color="auto" w:fill="auto"/>
          </w:tcPr>
          <w:p w14:paraId="2F0DC616" w14:textId="77777777" w:rsidR="00841C25" w:rsidRPr="00064F52" w:rsidRDefault="00841C25" w:rsidP="00064F52">
            <w:pPr>
              <w:spacing w:before="40" w:after="120"/>
              <w:ind w:left="28" w:right="113"/>
              <w:rPr>
                <w:rFonts w:cs="Times New Roman"/>
              </w:rPr>
            </w:pPr>
            <w:r w:rsidRPr="00064F52">
              <w:rPr>
                <w:rFonts w:cs="Times New Roman"/>
              </w:rPr>
              <w:t>Ст. 37 c)</w:t>
            </w:r>
          </w:p>
        </w:tc>
        <w:tc>
          <w:tcPr>
            <w:tcW w:w="992" w:type="dxa"/>
            <w:shd w:val="clear" w:color="auto" w:fill="auto"/>
          </w:tcPr>
          <w:p w14:paraId="3E74F868" w14:textId="02B8B3E9"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286A9363" w14:textId="77777777" w:rsidR="00841C25" w:rsidRPr="00064F52" w:rsidRDefault="00841C25" w:rsidP="00064F52">
            <w:pPr>
              <w:spacing w:before="40" w:after="120"/>
              <w:ind w:left="28" w:right="113"/>
              <w:rPr>
                <w:rFonts w:cs="Times New Roman"/>
              </w:rPr>
            </w:pPr>
            <w:r w:rsidRPr="00064F52">
              <w:rPr>
                <w:rFonts w:cs="Times New Roman"/>
              </w:rPr>
              <w:t>Да</w:t>
            </w:r>
          </w:p>
        </w:tc>
      </w:tr>
      <w:tr w:rsidR="00841C25" w:rsidRPr="00064F52" w14:paraId="13BDE56D" w14:textId="77777777" w:rsidTr="00064F52">
        <w:tc>
          <w:tcPr>
            <w:tcW w:w="1560" w:type="dxa"/>
            <w:shd w:val="clear" w:color="auto" w:fill="auto"/>
          </w:tcPr>
          <w:p w14:paraId="23695C8D" w14:textId="77777777" w:rsidR="00841C25" w:rsidRPr="00064F52" w:rsidRDefault="00841C25" w:rsidP="00064F52">
            <w:pPr>
              <w:spacing w:before="40" w:after="120"/>
              <w:ind w:left="28" w:right="113"/>
              <w:rPr>
                <w:rFonts w:cs="Times New Roman"/>
              </w:rPr>
            </w:pPr>
            <w:r w:rsidRPr="00064F52">
              <w:rPr>
                <w:rFonts w:cs="Times New Roman"/>
              </w:rPr>
              <w:t>ФП-КПР-ВК</w:t>
            </w:r>
          </w:p>
        </w:tc>
        <w:tc>
          <w:tcPr>
            <w:tcW w:w="1417" w:type="dxa"/>
            <w:shd w:val="clear" w:color="auto" w:fill="auto"/>
          </w:tcPr>
          <w:p w14:paraId="1C10498B" w14:textId="77777777" w:rsidR="00841C25" w:rsidRPr="00064F52" w:rsidRDefault="00841C25" w:rsidP="00064F52">
            <w:pPr>
              <w:spacing w:before="40" w:after="120"/>
              <w:ind w:left="28" w:right="113"/>
              <w:rPr>
                <w:rFonts w:cs="Times New Roman"/>
              </w:rPr>
            </w:pPr>
            <w:r w:rsidRPr="00064F52">
              <w:rPr>
                <w:rFonts w:cs="Times New Roman"/>
              </w:rPr>
              <w:t>26 сентября 2006 года</w:t>
            </w:r>
          </w:p>
        </w:tc>
        <w:tc>
          <w:tcPr>
            <w:tcW w:w="1699" w:type="dxa"/>
            <w:shd w:val="clear" w:color="auto" w:fill="auto"/>
          </w:tcPr>
          <w:p w14:paraId="37E21571" w14:textId="4BF71C36" w:rsidR="00841C25" w:rsidRPr="00064F52" w:rsidRDefault="00841C25" w:rsidP="00064F52">
            <w:pPr>
              <w:spacing w:before="40" w:after="120"/>
              <w:ind w:left="28" w:right="113"/>
              <w:rPr>
                <w:rFonts w:cs="Times New Roman"/>
              </w:rPr>
            </w:pPr>
            <w:r w:rsidRPr="00064F52">
              <w:rPr>
                <w:rFonts w:cs="Times New Roman"/>
              </w:rPr>
              <w:t xml:space="preserve">26 октября </w:t>
            </w:r>
            <w:r w:rsidR="00064F52">
              <w:rPr>
                <w:rFonts w:cs="Times New Roman"/>
              </w:rPr>
              <w:br/>
            </w:r>
            <w:r w:rsidRPr="00064F52">
              <w:rPr>
                <w:rFonts w:cs="Times New Roman"/>
              </w:rPr>
              <w:t>2006 года</w:t>
            </w:r>
          </w:p>
        </w:tc>
        <w:tc>
          <w:tcPr>
            <w:tcW w:w="1842" w:type="dxa"/>
            <w:shd w:val="clear" w:color="auto" w:fill="auto"/>
          </w:tcPr>
          <w:p w14:paraId="775D4F83" w14:textId="17A47775"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51C04F06" w14:textId="77777777" w:rsidR="00841C25" w:rsidRPr="00064F52" w:rsidRDefault="00841C25" w:rsidP="00064F52">
            <w:pPr>
              <w:spacing w:before="40" w:after="120"/>
              <w:ind w:left="28" w:right="113"/>
              <w:rPr>
                <w:rFonts w:cs="Times New Roman"/>
              </w:rPr>
            </w:pPr>
            <w:r w:rsidRPr="00064F52">
              <w:rPr>
                <w:rFonts w:cs="Times New Roman"/>
              </w:rPr>
              <w:t>Да</w:t>
            </w:r>
          </w:p>
        </w:tc>
        <w:tc>
          <w:tcPr>
            <w:tcW w:w="992" w:type="dxa"/>
            <w:shd w:val="clear" w:color="auto" w:fill="auto"/>
          </w:tcPr>
          <w:p w14:paraId="59A46B86" w14:textId="39AC5F2F" w:rsidR="00841C25" w:rsidRPr="00064F52" w:rsidRDefault="00064F52" w:rsidP="00064F52">
            <w:pPr>
              <w:spacing w:before="40" w:after="120"/>
              <w:ind w:left="28" w:right="113"/>
              <w:rPr>
                <w:rFonts w:cs="Times New Roman"/>
              </w:rPr>
            </w:pPr>
            <w:r>
              <w:rPr>
                <w:rFonts w:cs="Times New Roman"/>
              </w:rPr>
              <w:t>–</w:t>
            </w:r>
          </w:p>
        </w:tc>
      </w:tr>
      <w:tr w:rsidR="00841C25" w:rsidRPr="00064F52" w14:paraId="22F68ECA" w14:textId="77777777" w:rsidTr="00064F52">
        <w:tc>
          <w:tcPr>
            <w:tcW w:w="1560" w:type="dxa"/>
            <w:shd w:val="clear" w:color="auto" w:fill="auto"/>
          </w:tcPr>
          <w:p w14:paraId="77172FBB" w14:textId="77777777" w:rsidR="00841C25" w:rsidRPr="00064F52" w:rsidRDefault="00841C25" w:rsidP="00064F52">
            <w:pPr>
              <w:spacing w:before="40" w:after="120"/>
              <w:ind w:left="28" w:right="113"/>
              <w:rPr>
                <w:rFonts w:cs="Times New Roman"/>
              </w:rPr>
            </w:pPr>
            <w:r w:rsidRPr="00064F52">
              <w:rPr>
                <w:rFonts w:cs="Times New Roman"/>
              </w:rPr>
              <w:t>ФП-КПР-ТД</w:t>
            </w:r>
          </w:p>
        </w:tc>
        <w:tc>
          <w:tcPr>
            <w:tcW w:w="1417" w:type="dxa"/>
            <w:shd w:val="clear" w:color="auto" w:fill="auto"/>
          </w:tcPr>
          <w:p w14:paraId="4F8F0E6C" w14:textId="4388AFE9" w:rsidR="00841C25" w:rsidRPr="00064F52" w:rsidRDefault="00841C25" w:rsidP="00064F52">
            <w:pPr>
              <w:spacing w:before="40" w:after="120"/>
              <w:ind w:left="28" w:right="113"/>
              <w:rPr>
                <w:rFonts w:cs="Times New Roman"/>
              </w:rPr>
            </w:pPr>
            <w:r w:rsidRPr="00064F52">
              <w:rPr>
                <w:rFonts w:cs="Times New Roman"/>
              </w:rPr>
              <w:t xml:space="preserve">8 января </w:t>
            </w:r>
            <w:r w:rsidR="00064F52">
              <w:rPr>
                <w:rFonts w:cs="Times New Roman"/>
              </w:rPr>
              <w:br/>
            </w:r>
            <w:r w:rsidRPr="00064F52">
              <w:rPr>
                <w:rFonts w:cs="Times New Roman"/>
              </w:rPr>
              <w:t>2007 года</w:t>
            </w:r>
          </w:p>
        </w:tc>
        <w:tc>
          <w:tcPr>
            <w:tcW w:w="1699" w:type="dxa"/>
            <w:shd w:val="clear" w:color="auto" w:fill="auto"/>
          </w:tcPr>
          <w:p w14:paraId="3E2917E1" w14:textId="62020E3E" w:rsidR="00841C25" w:rsidRPr="00064F52" w:rsidRDefault="00841C25" w:rsidP="00064F52">
            <w:pPr>
              <w:spacing w:before="40" w:after="120"/>
              <w:ind w:left="28" w:right="113"/>
              <w:rPr>
                <w:rFonts w:cs="Times New Roman"/>
              </w:rPr>
            </w:pPr>
            <w:r w:rsidRPr="00064F52">
              <w:rPr>
                <w:rFonts w:cs="Times New Roman"/>
              </w:rPr>
              <w:t xml:space="preserve">8 февраля </w:t>
            </w:r>
            <w:r w:rsidR="00064F52">
              <w:rPr>
                <w:rFonts w:cs="Times New Roman"/>
              </w:rPr>
              <w:br/>
            </w:r>
            <w:r w:rsidRPr="00064F52">
              <w:rPr>
                <w:rFonts w:cs="Times New Roman"/>
              </w:rPr>
              <w:t>2007 года</w:t>
            </w:r>
          </w:p>
        </w:tc>
        <w:tc>
          <w:tcPr>
            <w:tcW w:w="1842" w:type="dxa"/>
            <w:shd w:val="clear" w:color="auto" w:fill="auto"/>
          </w:tcPr>
          <w:p w14:paraId="4985F9FD" w14:textId="505F51D1"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33D4444A" w14:textId="73AE0CAE"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714C9B81" w14:textId="092BA3B6" w:rsidR="00841C25" w:rsidRPr="00064F52" w:rsidRDefault="00064F52" w:rsidP="00064F52">
            <w:pPr>
              <w:spacing w:before="40" w:after="120"/>
              <w:ind w:left="28" w:right="113"/>
              <w:rPr>
                <w:rFonts w:cs="Times New Roman"/>
              </w:rPr>
            </w:pPr>
            <w:r>
              <w:rPr>
                <w:rFonts w:cs="Times New Roman"/>
              </w:rPr>
              <w:t>–</w:t>
            </w:r>
          </w:p>
        </w:tc>
      </w:tr>
      <w:tr w:rsidR="00841C25" w:rsidRPr="00064F52" w14:paraId="4DB707E7" w14:textId="77777777" w:rsidTr="00064F52">
        <w:tc>
          <w:tcPr>
            <w:tcW w:w="1560" w:type="dxa"/>
            <w:shd w:val="clear" w:color="auto" w:fill="auto"/>
          </w:tcPr>
          <w:p w14:paraId="67D096A6" w14:textId="77777777" w:rsidR="00841C25" w:rsidRPr="00064F52" w:rsidRDefault="00841C25" w:rsidP="00064F52">
            <w:pPr>
              <w:spacing w:before="40" w:after="120"/>
              <w:ind w:left="28" w:right="113"/>
              <w:rPr>
                <w:rFonts w:cs="Times New Roman"/>
              </w:rPr>
            </w:pPr>
            <w:r w:rsidRPr="00064F52">
              <w:rPr>
                <w:rFonts w:cs="Times New Roman"/>
              </w:rPr>
              <w:t>КПИ</w:t>
            </w:r>
          </w:p>
        </w:tc>
        <w:tc>
          <w:tcPr>
            <w:tcW w:w="1417" w:type="dxa"/>
            <w:shd w:val="clear" w:color="auto" w:fill="auto"/>
          </w:tcPr>
          <w:p w14:paraId="48305225" w14:textId="6DD16079" w:rsidR="00841C25" w:rsidRPr="00064F52" w:rsidRDefault="00841C25" w:rsidP="00064F52">
            <w:pPr>
              <w:spacing w:before="40" w:after="120"/>
              <w:ind w:left="28" w:right="113"/>
              <w:rPr>
                <w:rFonts w:cs="Times New Roman"/>
              </w:rPr>
            </w:pPr>
            <w:r w:rsidRPr="00064F52">
              <w:rPr>
                <w:rFonts w:cs="Times New Roman"/>
              </w:rPr>
              <w:t xml:space="preserve">17 июля </w:t>
            </w:r>
            <w:r w:rsidR="00064F52">
              <w:rPr>
                <w:rFonts w:cs="Times New Roman"/>
              </w:rPr>
              <w:br/>
            </w:r>
            <w:r w:rsidRPr="00064F52">
              <w:rPr>
                <w:rFonts w:cs="Times New Roman"/>
              </w:rPr>
              <w:t>2008 года</w:t>
            </w:r>
          </w:p>
        </w:tc>
        <w:tc>
          <w:tcPr>
            <w:tcW w:w="1699" w:type="dxa"/>
            <w:shd w:val="clear" w:color="auto" w:fill="auto"/>
          </w:tcPr>
          <w:p w14:paraId="00CC283E" w14:textId="03E95D6F" w:rsidR="00841C25" w:rsidRPr="00064F52" w:rsidRDefault="00841C25" w:rsidP="00064F52">
            <w:pPr>
              <w:spacing w:before="40" w:after="120"/>
              <w:ind w:left="28" w:right="113"/>
              <w:rPr>
                <w:rFonts w:cs="Times New Roman"/>
              </w:rPr>
            </w:pPr>
            <w:r w:rsidRPr="00064F52">
              <w:rPr>
                <w:rFonts w:cs="Times New Roman"/>
              </w:rPr>
              <w:t xml:space="preserve">16 августа </w:t>
            </w:r>
            <w:r w:rsidR="00064F52">
              <w:rPr>
                <w:rFonts w:cs="Times New Roman"/>
              </w:rPr>
              <w:br/>
            </w:r>
            <w:r w:rsidRPr="00064F52">
              <w:rPr>
                <w:rFonts w:cs="Times New Roman"/>
              </w:rPr>
              <w:t>2008 года</w:t>
            </w:r>
          </w:p>
        </w:tc>
        <w:tc>
          <w:tcPr>
            <w:tcW w:w="1842" w:type="dxa"/>
            <w:shd w:val="clear" w:color="auto" w:fill="auto"/>
          </w:tcPr>
          <w:p w14:paraId="33307AFC" w14:textId="6E1995D2" w:rsidR="00841C25" w:rsidRPr="00064F52" w:rsidRDefault="00064F52" w:rsidP="00064F52">
            <w:pPr>
              <w:spacing w:before="40" w:after="120"/>
              <w:ind w:left="28" w:right="113"/>
              <w:rPr>
                <w:rFonts w:cs="Times New Roman"/>
              </w:rPr>
            </w:pPr>
            <w:r>
              <w:rPr>
                <w:rFonts w:cs="Times New Roman"/>
              </w:rPr>
              <w:t>–</w:t>
            </w:r>
          </w:p>
        </w:tc>
        <w:tc>
          <w:tcPr>
            <w:tcW w:w="992" w:type="dxa"/>
            <w:shd w:val="clear" w:color="auto" w:fill="auto"/>
          </w:tcPr>
          <w:p w14:paraId="65EAF2AF" w14:textId="77777777" w:rsidR="00841C25" w:rsidRPr="00064F52" w:rsidRDefault="00841C25" w:rsidP="00064F52">
            <w:pPr>
              <w:spacing w:before="40" w:after="120"/>
              <w:ind w:left="28" w:right="113"/>
              <w:rPr>
                <w:rFonts w:cs="Times New Roman"/>
              </w:rPr>
            </w:pPr>
            <w:r w:rsidRPr="00064F52">
              <w:rPr>
                <w:rFonts w:cs="Times New Roman"/>
              </w:rPr>
              <w:t xml:space="preserve">Да </w:t>
            </w:r>
          </w:p>
        </w:tc>
        <w:tc>
          <w:tcPr>
            <w:tcW w:w="992" w:type="dxa"/>
            <w:shd w:val="clear" w:color="auto" w:fill="auto"/>
          </w:tcPr>
          <w:p w14:paraId="016D0074" w14:textId="77777777" w:rsidR="00841C25" w:rsidRPr="00064F52" w:rsidRDefault="00841C25" w:rsidP="00064F52">
            <w:pPr>
              <w:spacing w:before="40" w:after="120"/>
              <w:ind w:left="28" w:right="113"/>
              <w:rPr>
                <w:rFonts w:cs="Times New Roman"/>
              </w:rPr>
            </w:pPr>
            <w:r w:rsidRPr="00064F52">
              <w:rPr>
                <w:rFonts w:cs="Times New Roman"/>
              </w:rPr>
              <w:t>Да</w:t>
            </w:r>
          </w:p>
        </w:tc>
      </w:tr>
      <w:tr w:rsidR="00841C25" w:rsidRPr="00064F52" w14:paraId="680E435F" w14:textId="77777777" w:rsidTr="00064F52">
        <w:tc>
          <w:tcPr>
            <w:tcW w:w="1560" w:type="dxa"/>
            <w:tcBorders>
              <w:bottom w:val="single" w:sz="12" w:space="0" w:color="auto"/>
            </w:tcBorders>
            <w:shd w:val="clear" w:color="auto" w:fill="auto"/>
          </w:tcPr>
          <w:p w14:paraId="01B717BE" w14:textId="77777777" w:rsidR="00841C25" w:rsidRPr="00064F52" w:rsidRDefault="00841C25" w:rsidP="00064F52">
            <w:pPr>
              <w:spacing w:before="40" w:after="120"/>
              <w:ind w:left="28" w:right="113"/>
              <w:rPr>
                <w:rFonts w:cs="Times New Roman"/>
              </w:rPr>
            </w:pPr>
            <w:r w:rsidRPr="00064F52">
              <w:rPr>
                <w:rFonts w:cs="Times New Roman"/>
              </w:rPr>
              <w:t>ФП-КПИ</w:t>
            </w:r>
          </w:p>
        </w:tc>
        <w:tc>
          <w:tcPr>
            <w:tcW w:w="1417" w:type="dxa"/>
            <w:tcBorders>
              <w:bottom w:val="single" w:sz="12" w:space="0" w:color="auto"/>
            </w:tcBorders>
            <w:shd w:val="clear" w:color="auto" w:fill="auto"/>
          </w:tcPr>
          <w:p w14:paraId="68168566" w14:textId="47E16725" w:rsidR="00841C25" w:rsidRPr="00064F52" w:rsidRDefault="00064F52" w:rsidP="00064F52">
            <w:pPr>
              <w:spacing w:before="40" w:after="120"/>
              <w:ind w:left="28" w:right="113"/>
              <w:rPr>
                <w:rFonts w:cs="Times New Roman"/>
              </w:rPr>
            </w:pPr>
            <w:r>
              <w:rPr>
                <w:rFonts w:cs="Times New Roman"/>
              </w:rPr>
              <w:t>–</w:t>
            </w:r>
          </w:p>
        </w:tc>
        <w:tc>
          <w:tcPr>
            <w:tcW w:w="1699" w:type="dxa"/>
            <w:tcBorders>
              <w:bottom w:val="single" w:sz="12" w:space="0" w:color="auto"/>
            </w:tcBorders>
            <w:shd w:val="clear" w:color="auto" w:fill="auto"/>
          </w:tcPr>
          <w:p w14:paraId="43088ECC" w14:textId="2AB216EF" w:rsidR="00841C25" w:rsidRPr="00064F52" w:rsidRDefault="00841C25" w:rsidP="00064F52">
            <w:pPr>
              <w:spacing w:before="40" w:after="120"/>
              <w:ind w:left="28" w:right="113"/>
              <w:rPr>
                <w:rFonts w:cs="Times New Roman"/>
              </w:rPr>
            </w:pPr>
            <w:r w:rsidRPr="00064F52">
              <w:rPr>
                <w:rFonts w:cs="Times New Roman"/>
              </w:rPr>
              <w:t xml:space="preserve">21 августа </w:t>
            </w:r>
            <w:r w:rsidR="00064F52">
              <w:rPr>
                <w:rFonts w:cs="Times New Roman"/>
              </w:rPr>
              <w:br/>
            </w:r>
            <w:r w:rsidRPr="00064F52">
              <w:rPr>
                <w:rFonts w:cs="Times New Roman"/>
              </w:rPr>
              <w:t>2009 года (принят)</w:t>
            </w:r>
          </w:p>
        </w:tc>
        <w:tc>
          <w:tcPr>
            <w:tcW w:w="1842" w:type="dxa"/>
            <w:tcBorders>
              <w:bottom w:val="single" w:sz="12" w:space="0" w:color="auto"/>
            </w:tcBorders>
            <w:shd w:val="clear" w:color="auto" w:fill="auto"/>
          </w:tcPr>
          <w:p w14:paraId="3A5AF270" w14:textId="12A19A5F" w:rsidR="00841C25" w:rsidRPr="00064F52" w:rsidRDefault="00064F52" w:rsidP="00064F52">
            <w:pPr>
              <w:spacing w:before="40" w:after="120"/>
              <w:ind w:left="28" w:right="113"/>
              <w:rPr>
                <w:rFonts w:cs="Times New Roman"/>
              </w:rPr>
            </w:pPr>
            <w:r>
              <w:rPr>
                <w:rFonts w:cs="Times New Roman"/>
              </w:rPr>
              <w:t>–</w:t>
            </w:r>
          </w:p>
        </w:tc>
        <w:tc>
          <w:tcPr>
            <w:tcW w:w="992" w:type="dxa"/>
            <w:tcBorders>
              <w:bottom w:val="single" w:sz="12" w:space="0" w:color="auto"/>
            </w:tcBorders>
            <w:shd w:val="clear" w:color="auto" w:fill="auto"/>
          </w:tcPr>
          <w:p w14:paraId="4E1393B8" w14:textId="4900D8F8" w:rsidR="00841C25" w:rsidRPr="00064F52" w:rsidRDefault="00064F52" w:rsidP="00064F52">
            <w:pPr>
              <w:spacing w:before="40" w:after="120"/>
              <w:ind w:left="28" w:right="113"/>
              <w:rPr>
                <w:rFonts w:cs="Times New Roman"/>
              </w:rPr>
            </w:pPr>
            <w:r>
              <w:rPr>
                <w:rFonts w:cs="Times New Roman"/>
              </w:rPr>
              <w:t>–</w:t>
            </w:r>
          </w:p>
        </w:tc>
        <w:tc>
          <w:tcPr>
            <w:tcW w:w="992" w:type="dxa"/>
            <w:tcBorders>
              <w:bottom w:val="single" w:sz="12" w:space="0" w:color="auto"/>
            </w:tcBorders>
            <w:shd w:val="clear" w:color="auto" w:fill="auto"/>
          </w:tcPr>
          <w:p w14:paraId="6016DC4C" w14:textId="03B85CF0" w:rsidR="00841C25" w:rsidRPr="00064F52" w:rsidRDefault="00064F52" w:rsidP="00064F52">
            <w:pPr>
              <w:spacing w:before="40" w:after="120"/>
              <w:ind w:left="28" w:right="113"/>
              <w:rPr>
                <w:rFonts w:cs="Times New Roman"/>
              </w:rPr>
            </w:pPr>
            <w:r>
              <w:rPr>
                <w:rFonts w:cs="Times New Roman"/>
              </w:rPr>
              <w:t>–</w:t>
            </w:r>
          </w:p>
        </w:tc>
      </w:tr>
    </w:tbl>
    <w:p w14:paraId="063B85B5" w14:textId="77777777" w:rsidR="00841C25" w:rsidRPr="008F3942" w:rsidRDefault="00841C25" w:rsidP="00841C25">
      <w:pPr>
        <w:pStyle w:val="SingleTxtG"/>
        <w:spacing w:before="240"/>
      </w:pPr>
      <w:r>
        <w:t>132.</w:t>
      </w:r>
      <w:r>
        <w:tab/>
        <w:t>Оговорки Австралии соответствуют объекту и цели этих договоров и Венской конвенции о праве международных договоров, и другие государства-участники не выдвигали официальных возражений против этих оговорок.</w:t>
      </w:r>
    </w:p>
    <w:p w14:paraId="34851D56" w14:textId="77777777" w:rsidR="00841C25" w:rsidRPr="008F3942" w:rsidRDefault="00841C25" w:rsidP="00841C25">
      <w:pPr>
        <w:pStyle w:val="SingleTxtG"/>
      </w:pPr>
      <w:r>
        <w:t>133.</w:t>
      </w:r>
      <w:r>
        <w:tab/>
        <w:t>25 октября 2018 года в Австралии был принят законопроект о внесении поправок в законодательство о гражданском праве и правосудии 2018 года, отменяющий статью 43 Закона о дискриминации по признаку пола 1984 года, которая предусматривала исключение относительно дискриминации в отношении женщин в связи с выполнением боевых обязанностей. Это позволило Австралии снять одну из двух своих оговорок к КЛДОЖ. В настоящее время Австралия выполняет обязательства по статьям 11 (1) b) и 11 (1) c).</w:t>
      </w:r>
    </w:p>
    <w:p w14:paraId="71C34900" w14:textId="77777777" w:rsidR="00841C25" w:rsidRPr="008F3942" w:rsidRDefault="00841C25" w:rsidP="00841C25">
      <w:pPr>
        <w:pStyle w:val="SingleTxtG"/>
      </w:pPr>
      <w:r>
        <w:t>134.</w:t>
      </w:r>
      <w:r>
        <w:tab/>
        <w:t>В настоящее время Австралия не рассматривает возможность снятия оставшихся оговорок к другим договорам.</w:t>
      </w:r>
    </w:p>
    <w:p w14:paraId="6BD48041" w14:textId="2D3EBFCC" w:rsidR="00841C25" w:rsidRPr="008F3942" w:rsidRDefault="00064F52" w:rsidP="00841C25">
      <w:pPr>
        <w:pStyle w:val="H1G"/>
      </w:pPr>
      <w:bookmarkStart w:id="27" w:name="_Toc147326779"/>
      <w:r>
        <w:lastRenderedPageBreak/>
        <w:tab/>
      </w:r>
      <w:r w:rsidR="00841C25">
        <w:t>B.</w:t>
      </w:r>
      <w:r w:rsidR="00841C25">
        <w:tab/>
        <w:t>Правовая основа для защиты прав человека на национальном уровне</w:t>
      </w:r>
      <w:bookmarkStart w:id="28" w:name="_Toc167980144"/>
      <w:bookmarkEnd w:id="27"/>
      <w:bookmarkEnd w:id="28"/>
    </w:p>
    <w:p w14:paraId="5249362C" w14:textId="5B50C847" w:rsidR="00841C25" w:rsidRPr="008F3942" w:rsidRDefault="00064F52" w:rsidP="00841C25">
      <w:pPr>
        <w:pStyle w:val="H23G"/>
      </w:pPr>
      <w:r>
        <w:tab/>
      </w:r>
      <w:r w:rsidR="00841C25">
        <w:t>1.</w:t>
      </w:r>
      <w:r w:rsidR="00841C25">
        <w:tab/>
      </w:r>
      <w:r w:rsidR="00841C25">
        <w:rPr>
          <w:bCs/>
        </w:rPr>
        <w:t>Общая правовая основа</w:t>
      </w:r>
    </w:p>
    <w:p w14:paraId="5DB019DD" w14:textId="77777777" w:rsidR="00841C25" w:rsidRPr="008F3942" w:rsidRDefault="00841C25" w:rsidP="00841C25">
      <w:pPr>
        <w:pStyle w:val="H4G"/>
      </w:pPr>
      <w:r>
        <w:tab/>
      </w:r>
      <w:r>
        <w:tab/>
      </w:r>
      <w:r>
        <w:rPr>
          <w:iCs/>
        </w:rPr>
        <w:t>Конституционные гарантии</w:t>
      </w:r>
    </w:p>
    <w:p w14:paraId="47DD11FF" w14:textId="77777777" w:rsidR="00841C25" w:rsidRPr="008F3942" w:rsidRDefault="00841C25" w:rsidP="00841C25">
      <w:pPr>
        <w:pStyle w:val="SingleTxtG"/>
      </w:pPr>
      <w:r>
        <w:t>135.</w:t>
      </w:r>
      <w:r>
        <w:tab/>
        <w:t>В Австралии нет билля о правах на национальном уровне, но Конституция Австралии содержит ряд прямых гарантий прав и иммунитетов (а также прав по общему праву), таких как:</w:t>
      </w:r>
    </w:p>
    <w:p w14:paraId="07082DE5" w14:textId="77777777" w:rsidR="00841C25" w:rsidRPr="008F3942" w:rsidRDefault="00841C25" w:rsidP="00841C25">
      <w:pPr>
        <w:pStyle w:val="Bullet1G"/>
        <w:numPr>
          <w:ilvl w:val="0"/>
          <w:numId w:val="22"/>
        </w:numPr>
      </w:pPr>
      <w:r>
        <w:t>любая собственность, приобретаемая правительством Австралийского Союза, должна приобретаться на справедливых условиях (статья 51 xxxi));</w:t>
      </w:r>
    </w:p>
    <w:p w14:paraId="5FD55DE4" w14:textId="77777777" w:rsidR="00841C25" w:rsidRPr="008F3942" w:rsidRDefault="00841C25" w:rsidP="00841C25">
      <w:pPr>
        <w:pStyle w:val="Bullet1G"/>
        <w:numPr>
          <w:ilvl w:val="0"/>
          <w:numId w:val="22"/>
        </w:numPr>
      </w:pPr>
      <w:r>
        <w:t>судебное разбирательство или предъявление обвинения в связи с любым преступлением, совершенным в нарушение любого закона Австралийского Союза, должно осуществляться жюри присяжных (статья 80);</w:t>
      </w:r>
    </w:p>
    <w:p w14:paraId="177FDA68" w14:textId="7619C032" w:rsidR="00841C25" w:rsidRPr="008F3942" w:rsidRDefault="00841C25" w:rsidP="00841C25">
      <w:pPr>
        <w:pStyle w:val="Bullet1G"/>
        <w:numPr>
          <w:ilvl w:val="0"/>
          <w:numId w:val="22"/>
        </w:numPr>
      </w:pPr>
      <w:r>
        <w:t>федеральное правительство не должно принимать никаких законов с целью создания какой-либо религии или ограничения религиозной свободы (статья</w:t>
      </w:r>
      <w:r w:rsidR="005D6745">
        <w:t> </w:t>
      </w:r>
      <w:r>
        <w:t>116);</w:t>
      </w:r>
    </w:p>
    <w:p w14:paraId="1EEA94CF" w14:textId="77777777" w:rsidR="00841C25" w:rsidRPr="008F3942" w:rsidRDefault="00841C25" w:rsidP="00841C25">
      <w:pPr>
        <w:pStyle w:val="Bullet1G"/>
        <w:numPr>
          <w:ilvl w:val="0"/>
          <w:numId w:val="22"/>
        </w:numPr>
      </w:pPr>
      <w:r>
        <w:t>граждане не должны подвергаться дискриминации в каком-либо штате по причине их проживания в другом штате (статья 117);</w:t>
      </w:r>
    </w:p>
    <w:p w14:paraId="285B988D" w14:textId="77777777" w:rsidR="00841C25" w:rsidRPr="008F3942" w:rsidRDefault="00841C25" w:rsidP="00841C25">
      <w:pPr>
        <w:pStyle w:val="Bullet1G"/>
        <w:numPr>
          <w:ilvl w:val="0"/>
          <w:numId w:val="22"/>
        </w:numPr>
      </w:pPr>
      <w:r>
        <w:t>граждане имеют право голосовать на федеральных выборах с учетом ограничений этого права, установленных федеральным законодательством (статьи 7, 24).</w:t>
      </w:r>
    </w:p>
    <w:p w14:paraId="5CF81A69" w14:textId="79B9C7FF" w:rsidR="00841C25" w:rsidRPr="008F3942" w:rsidRDefault="00841C25" w:rsidP="00841C25">
      <w:pPr>
        <w:pStyle w:val="SingleTxtG"/>
      </w:pPr>
      <w:r>
        <w:t>136.</w:t>
      </w:r>
      <w:r>
        <w:tab/>
        <w:t xml:space="preserve">Высокий суд также отметил, что некоторые права органически предусматриваются самой структурой Конституции. Например, в деле </w:t>
      </w:r>
      <w:r w:rsidRPr="005D6745">
        <w:rPr>
          <w:i/>
          <w:iCs/>
        </w:rPr>
        <w:t>Ланге против Австралийской телерадиовещательной корпорации</w:t>
      </w:r>
      <w:r>
        <w:t xml:space="preserve"> (1997) 189 CLR 520 Высокий суд постановил, что Конституция основана на системе «представительной демократии» и</w:t>
      </w:r>
      <w:r w:rsidR="005D6745">
        <w:t> </w:t>
      </w:r>
      <w:r>
        <w:t>что, поскольку важное значение для существования этой системы имеют свобода общения и обсуждения политических вопросов и институтов управления, законодательство, которое ограничивает свободу общения по «политическим вопросам», является недействительным, за исключением тех случаев, когда оно необходимо для защиты некоторых других государственных интересов.</w:t>
      </w:r>
    </w:p>
    <w:p w14:paraId="351A0909" w14:textId="77777777" w:rsidR="00841C25" w:rsidRPr="008F3942" w:rsidRDefault="00841C25" w:rsidP="00841C25">
      <w:pPr>
        <w:pStyle w:val="H4G"/>
      </w:pPr>
      <w:r>
        <w:tab/>
      </w:r>
      <w:r>
        <w:tab/>
      </w:r>
      <w:r>
        <w:rPr>
          <w:iCs/>
        </w:rPr>
        <w:t>Парламентская деятельность</w:t>
      </w:r>
    </w:p>
    <w:p w14:paraId="42D95E69" w14:textId="77777777" w:rsidR="00841C25" w:rsidRPr="008F3942" w:rsidRDefault="00841C25" w:rsidP="00841C25">
      <w:pPr>
        <w:pStyle w:val="SingleTxtG"/>
      </w:pPr>
      <w:r>
        <w:t>137.</w:t>
      </w:r>
      <w:r>
        <w:tab/>
        <w:t>Либеральная демократическая система управления, существующая в каждой из австралийских юрисдикций, позволяет заинтересованным лицам высказывать обеспокоенности в отношении прав человека и основных свобод. Министры несут индивидуальную и коллективную ответственность перед парламентом и должны отвечать на вопросы в парламенте по вопросам, входящим в сферу их компетенции.</w:t>
      </w:r>
    </w:p>
    <w:p w14:paraId="2807A834" w14:textId="77777777" w:rsidR="00841C25" w:rsidRPr="008F3942" w:rsidRDefault="00841C25" w:rsidP="00064F52">
      <w:pPr>
        <w:pStyle w:val="SingleTxtG"/>
        <w:keepNext/>
        <w:keepLines/>
      </w:pPr>
      <w:r>
        <w:t>138.</w:t>
      </w:r>
      <w:r>
        <w:tab/>
        <w:t>Парламентские дебаты во время принятия законов являются основным форумом для тщательного рассмотрения посягательств на основные права, свободы и привилегии и вынесения суждений о них. Парламентские контрольные комитеты оценивают законопроекты в соответствии с набором критериев, в которых основное внимание уделяется влиянию предлагаемых законопроектов на права, свободы и обязанности личности, включая следующие комитеты:</w:t>
      </w:r>
    </w:p>
    <w:p w14:paraId="48CCA65C" w14:textId="77777777" w:rsidR="00841C25" w:rsidRPr="008F3942" w:rsidRDefault="00841C25" w:rsidP="00841C25">
      <w:pPr>
        <w:pStyle w:val="Bullet1G"/>
        <w:numPr>
          <w:ilvl w:val="0"/>
          <w:numId w:val="22"/>
        </w:numPr>
      </w:pPr>
      <w:r>
        <w:t>постоянный комитет при сенате по рассмотрению законопроектов с целью изучения предлагаемых законодательных мер и обращения внимания сената «на возможность ущемления личных прав и свобод или ограничения законодательной власти парламента»;</w:t>
      </w:r>
    </w:p>
    <w:p w14:paraId="6E16FE98" w14:textId="77777777" w:rsidR="00841C25" w:rsidRPr="008F3942" w:rsidRDefault="00841C25" w:rsidP="00841C25">
      <w:pPr>
        <w:pStyle w:val="Bullet1G"/>
        <w:numPr>
          <w:ilvl w:val="0"/>
          <w:numId w:val="22"/>
        </w:numPr>
      </w:pPr>
      <w:r>
        <w:t>постоянный комитет при сенате по рассмотрению переданного законодательства, который рассматривает переданное или вспомогательное законодательство в тех случаях, когда оно «умаляет, ограничивает, сдерживает или ущемляет основополагающие права и свободы, традиционно существующие в свободном демократическом обществе».</w:t>
      </w:r>
    </w:p>
    <w:p w14:paraId="033211FF" w14:textId="77777777" w:rsidR="00841C25" w:rsidRPr="008F3942" w:rsidRDefault="00841C25" w:rsidP="00841C25">
      <w:pPr>
        <w:pStyle w:val="SingleTxtG"/>
      </w:pPr>
      <w:r>
        <w:lastRenderedPageBreak/>
        <w:t>139.</w:t>
      </w:r>
      <w:r>
        <w:tab/>
        <w:t>Парламентский объединенный комитет по правам человека (ПОКПЧ) является основным комитетом, занимающимся рассмотрением законопроектов и законодательных актов в контексте их влияния на права человека.</w:t>
      </w:r>
    </w:p>
    <w:p w14:paraId="32E91205" w14:textId="77777777" w:rsidR="00841C25" w:rsidRPr="008F3942" w:rsidRDefault="00841C25" w:rsidP="00841C25">
      <w:pPr>
        <w:pStyle w:val="Bullet1G"/>
        <w:numPr>
          <w:ilvl w:val="0"/>
          <w:numId w:val="22"/>
        </w:numPr>
      </w:pPr>
      <w:r>
        <w:t xml:space="preserve">Согласно Закону о правах человека (парламентская проверка) 2011 года основная функция ПОКПЧ заключается в изучении всех новых законопроектов и законодательных актов, поступающих на рассмотрение любой из палат парламента, на предмет их соответствия правам человека с целью минимизации рисков того, что новое законодательство приведет к нарушению прав человека на практике. ПОКПЧ представляет парламенту заключение о том, является ли тот или иной законопроект или законодательный документ соответствующим правам человека, а в случае существования ограничений прав человека </w:t>
      </w:r>
      <w:r w:rsidRPr="00D97ED1">
        <w:t>—</w:t>
      </w:r>
      <w:r>
        <w:t xml:space="preserve"> заключение о том, являются ли соответствующие ограничения допустимыми. Права человека определяются в указанном законе как права и свободы, закрепленные в семи основных договорах по правам человека, участником которых является Австралия.</w:t>
      </w:r>
    </w:p>
    <w:p w14:paraId="32650E01" w14:textId="77777777" w:rsidR="00841C25" w:rsidRPr="008F3942" w:rsidRDefault="00841C25" w:rsidP="00841C25">
      <w:pPr>
        <w:pStyle w:val="Bullet1G"/>
        <w:numPr>
          <w:ilvl w:val="0"/>
          <w:numId w:val="22"/>
        </w:numPr>
      </w:pPr>
      <w:r>
        <w:t>Доклады ПОКПЧ учитываются при разработке и доработке законодательства, но не влияют на юридическую силу законодательства или возможность принятия соответствующего законопроекта парламентом.</w:t>
      </w:r>
    </w:p>
    <w:p w14:paraId="69D71214" w14:textId="77777777" w:rsidR="00841C25" w:rsidRPr="008F3942" w:rsidRDefault="00841C25" w:rsidP="00841C25">
      <w:pPr>
        <w:pStyle w:val="Bullet1G"/>
        <w:numPr>
          <w:ilvl w:val="0"/>
          <w:numId w:val="22"/>
        </w:numPr>
      </w:pPr>
      <w:r>
        <w:t>На ПОКПЧ также возложены следующие функции:</w:t>
      </w:r>
    </w:p>
    <w:p w14:paraId="7ADD81AC" w14:textId="77777777" w:rsidR="00841C25" w:rsidRPr="008F3942" w:rsidRDefault="00841C25" w:rsidP="00841C25">
      <w:pPr>
        <w:pStyle w:val="Bullet2G"/>
        <w:numPr>
          <w:ilvl w:val="0"/>
          <w:numId w:val="23"/>
        </w:numPr>
      </w:pPr>
      <w:r>
        <w:t>изучение существующих законов на предмет их соответствия правам человека и представление докладов обеим палатам парламента;</w:t>
      </w:r>
    </w:p>
    <w:p w14:paraId="1EC49FB8" w14:textId="77777777" w:rsidR="00841C25" w:rsidRPr="008F3942" w:rsidRDefault="00841C25" w:rsidP="00841C25">
      <w:pPr>
        <w:pStyle w:val="Bullet2G"/>
        <w:numPr>
          <w:ilvl w:val="0"/>
          <w:numId w:val="23"/>
        </w:numPr>
      </w:pPr>
      <w:r>
        <w:t>проведение расследования по любому вопросу, касающемуся прав человека, который передается ему Генеральным прокурором, и представление доклада по этому вопросу обеим палатам парламента.</w:t>
      </w:r>
    </w:p>
    <w:p w14:paraId="78300F9C" w14:textId="77777777" w:rsidR="00841C25" w:rsidRPr="008F3942" w:rsidRDefault="00841C25" w:rsidP="00841C25">
      <w:pPr>
        <w:pStyle w:val="SingleTxtG"/>
      </w:pPr>
      <w:r>
        <w:t>140.</w:t>
      </w:r>
      <w:r>
        <w:tab/>
        <w:t>Правительство может обратиться к другим комитетам Сената с просьбой провести расследование по вопросам прав человека, если это необходимо.</w:t>
      </w:r>
    </w:p>
    <w:p w14:paraId="66D3D598" w14:textId="4B76FCB6" w:rsidR="00841C25" w:rsidRPr="008F3942" w:rsidRDefault="00841C25" w:rsidP="00841C25">
      <w:pPr>
        <w:pStyle w:val="Bullet1G"/>
        <w:numPr>
          <w:ilvl w:val="0"/>
          <w:numId w:val="22"/>
        </w:numPr>
      </w:pPr>
      <w:r>
        <w:t>Постоянный комитет сената по правовым и конституционным вопросам может проводить расследования по вопросам, относящимся к компетенции департамента генерального прокурора и Министерства внутренних дел; он</w:t>
      </w:r>
      <w:r w:rsidR="005D6745">
        <w:t> </w:t>
      </w:r>
      <w:r>
        <w:t>проводил расследования в отношении предусмотренных законами исключений, позволяющих религиозным учебным заведениям дискриминировать учащихся, преподавателей и персонал по признаку сексуальной ориентации и гендерной идентичности, а также утверждений о злоупотреблениях в центрах временного содержания иммигрантов.</w:t>
      </w:r>
    </w:p>
    <w:p w14:paraId="67B62738" w14:textId="77777777" w:rsidR="00841C25" w:rsidRPr="008F3942" w:rsidRDefault="00841C25" w:rsidP="00841C25">
      <w:pPr>
        <w:pStyle w:val="Bullet1G"/>
        <w:numPr>
          <w:ilvl w:val="0"/>
          <w:numId w:val="22"/>
        </w:numPr>
      </w:pPr>
      <w:r>
        <w:t xml:space="preserve">Постоянный комитет сената по делам общин может рассматривать вопросы, касающиеся здравоохранения и служб социального обеспечения, и проводил расследования случаев насилия, жестокого обращения и отсутствия заботы в отношении людей с инвалидностью в специальных учреждениях и специально оборудованных домах. </w:t>
      </w:r>
    </w:p>
    <w:p w14:paraId="520B8AFA" w14:textId="77777777" w:rsidR="00841C25" w:rsidRPr="00D62FAA" w:rsidRDefault="00841C25" w:rsidP="00841C25">
      <w:pPr>
        <w:pStyle w:val="SingleTxtG"/>
      </w:pPr>
      <w:r>
        <w:t>141.</w:t>
      </w:r>
      <w:r>
        <w:tab/>
        <w:t>Правительство Австралии, а также правительства штатов и территорий могут также создавать королевские комиссии, которые являются главными структурами по рассмотрению вопросов, имеющих общественное значение. В последние годы королевские комиссии правительства Австралии рассмотрели ряд важных вопросов, включая, в частности, вопросы прав человека. В число этих королевских комиссий входят:</w:t>
      </w:r>
    </w:p>
    <w:p w14:paraId="1FDF676C" w14:textId="2EC9A6CA" w:rsidR="00841C25" w:rsidRPr="008F3942" w:rsidRDefault="00841C25" w:rsidP="00841C25">
      <w:pPr>
        <w:pStyle w:val="Bullet1G"/>
        <w:numPr>
          <w:ilvl w:val="0"/>
          <w:numId w:val="22"/>
        </w:numPr>
      </w:pPr>
      <w:r>
        <w:t>королевская комиссия по рассмотрению программы «Робокредит»</w:t>
      </w:r>
      <w:r w:rsidR="005D6745">
        <w:t>;</w:t>
      </w:r>
    </w:p>
    <w:p w14:paraId="588F6277" w14:textId="0910509A" w:rsidR="00841C25" w:rsidRPr="008F3942" w:rsidRDefault="00841C25" w:rsidP="00841C25">
      <w:pPr>
        <w:pStyle w:val="Bullet1G"/>
        <w:numPr>
          <w:ilvl w:val="0"/>
          <w:numId w:val="22"/>
        </w:numPr>
      </w:pPr>
      <w:r>
        <w:t>королевская комиссия по расследованию самоубийств среди военнослужащих и ветеранов</w:t>
      </w:r>
      <w:r w:rsidR="005D6745">
        <w:t>;</w:t>
      </w:r>
    </w:p>
    <w:p w14:paraId="0FC14CF8" w14:textId="77777777" w:rsidR="00841C25" w:rsidRPr="008F3942" w:rsidRDefault="00841C25" w:rsidP="00841C25">
      <w:pPr>
        <w:pStyle w:val="Bullet1G"/>
        <w:numPr>
          <w:ilvl w:val="0"/>
          <w:numId w:val="22"/>
        </w:numPr>
      </w:pPr>
      <w:r>
        <w:t>королевская комиссия по расследованию случаев насилия, неправомерного обращения, оставления без заботы людей с инвалидностью и их эксплуатации;</w:t>
      </w:r>
    </w:p>
    <w:p w14:paraId="05B2827D" w14:textId="51F0E6C8" w:rsidR="00841C25" w:rsidRPr="008F3942" w:rsidRDefault="00841C25" w:rsidP="00841C25">
      <w:pPr>
        <w:pStyle w:val="Bullet1G"/>
        <w:numPr>
          <w:ilvl w:val="0"/>
          <w:numId w:val="22"/>
        </w:numPr>
      </w:pPr>
      <w:r>
        <w:t>королевская комиссия по вопросам качества и безопасности ухода за пожилыми людьми</w:t>
      </w:r>
      <w:r w:rsidR="005D6745">
        <w:t>;</w:t>
      </w:r>
    </w:p>
    <w:p w14:paraId="2C44B853" w14:textId="21D26166" w:rsidR="00841C25" w:rsidRPr="008F3942" w:rsidRDefault="00841C25" w:rsidP="00841C25">
      <w:pPr>
        <w:pStyle w:val="Bullet1G"/>
        <w:numPr>
          <w:ilvl w:val="0"/>
          <w:numId w:val="22"/>
        </w:numPr>
      </w:pPr>
      <w:r>
        <w:lastRenderedPageBreak/>
        <w:t>королевская комиссия по институциональным мерам реагирования на сексуальные надругательства над детьми</w:t>
      </w:r>
      <w:r w:rsidR="005D6745">
        <w:t>;</w:t>
      </w:r>
      <w:r>
        <w:t xml:space="preserve"> </w:t>
      </w:r>
    </w:p>
    <w:p w14:paraId="6360037E" w14:textId="77777777" w:rsidR="00841C25" w:rsidRPr="008F3942" w:rsidRDefault="00841C25" w:rsidP="00841C25">
      <w:pPr>
        <w:pStyle w:val="Bullet1G"/>
        <w:numPr>
          <w:ilvl w:val="0"/>
          <w:numId w:val="22"/>
        </w:numPr>
      </w:pPr>
      <w:r>
        <w:t>королевская комиссия по вопросам задержания и защиты детей в Северной территории.</w:t>
      </w:r>
    </w:p>
    <w:p w14:paraId="7572F394" w14:textId="77777777" w:rsidR="00841C25" w:rsidRPr="008F3942" w:rsidRDefault="00841C25" w:rsidP="00841C25">
      <w:pPr>
        <w:pStyle w:val="H4G"/>
      </w:pPr>
      <w:r>
        <w:tab/>
      </w:r>
      <w:r>
        <w:tab/>
      </w:r>
      <w:r>
        <w:rPr>
          <w:iCs/>
        </w:rPr>
        <w:t>Судебная власть</w:t>
      </w:r>
    </w:p>
    <w:p w14:paraId="55F769CD" w14:textId="6C49A393" w:rsidR="00841C25" w:rsidRPr="008F3942" w:rsidRDefault="00841C25" w:rsidP="00841C25">
      <w:pPr>
        <w:pStyle w:val="SingleTxtG"/>
      </w:pPr>
      <w:bookmarkStart w:id="29" w:name="_Ref66794073"/>
      <w:r>
        <w:t>142.</w:t>
      </w:r>
      <w:r>
        <w:tab/>
        <w:t xml:space="preserve">Существующая в Австралии правовая система основывается на нормах общего права. Это означает, что в основе признания и защиты многих основных прав и свобод лежит закрепление этих прав в качестве норм общего права, осуществлявшееся на протяжении столетий судьями. Традиционные права, свободы и привилегии, признанные общим правом, рассматриваются в докладе Комиссии по реформе законодательства Австралии (КРЗА) 2015 года о традиционных правах и свободах (ALRC Report 129), доступном на сайте </w:t>
      </w:r>
      <w:hyperlink r:id="rId23" w:history="1">
        <w:r w:rsidR="00064F52" w:rsidRPr="00AC02E3">
          <w:rPr>
            <w:rStyle w:val="af1"/>
          </w:rPr>
          <w:t>www.alrc.gov.au/publications</w:t>
        </w:r>
      </w:hyperlink>
      <w:r>
        <w:t>.</w:t>
      </w:r>
      <w:bookmarkEnd w:id="29"/>
      <w:r w:rsidR="00064F52">
        <w:t xml:space="preserve"> </w:t>
      </w:r>
    </w:p>
    <w:p w14:paraId="0FA2D330" w14:textId="77777777" w:rsidR="00841C25" w:rsidRPr="008F3942" w:rsidRDefault="00841C25" w:rsidP="00841C25">
      <w:pPr>
        <w:pStyle w:val="SingleTxtG"/>
      </w:pPr>
      <w:bookmarkStart w:id="30" w:name="_Ref66794084"/>
      <w:r>
        <w:t>143.</w:t>
      </w:r>
      <w:r>
        <w:tab/>
        <w:t>Судебные органы играют важную роль в деле защиты определенных признанных прав и свобод, отнесенных к категории основных, путем разработки соответствующих принципов толкования законодательства, которые уменьшают степень законодательного ограничения этих прав и свобод. Принцип законности защищает основные права, предусмотренные общим правом, от ограничения в процессе толкования законодательства. Судьи исходят из того, что парламент, как правило, не стремится отменять основные права, предусмотренные общим правом. Таким образом, толкование, отменяющее основные права, будет принято только в том случае, если парламент использовал четкие формулировки, чтобы обозначить такое намерение, или если это требуется с учетом подразумеваемого смысла.</w:t>
      </w:r>
      <w:bookmarkEnd w:id="30"/>
    </w:p>
    <w:p w14:paraId="748C999F" w14:textId="77777777" w:rsidR="00841C25" w:rsidRPr="008F3942" w:rsidRDefault="00841C25" w:rsidP="00841C25">
      <w:pPr>
        <w:pStyle w:val="H4G"/>
      </w:pPr>
      <w:r>
        <w:tab/>
      </w:r>
      <w:r>
        <w:tab/>
      </w:r>
      <w:r>
        <w:rPr>
          <w:iCs/>
        </w:rPr>
        <w:t>Административное право</w:t>
      </w:r>
    </w:p>
    <w:p w14:paraId="50EE6A03" w14:textId="77777777" w:rsidR="00841C25" w:rsidRPr="008F3942" w:rsidRDefault="00841C25" w:rsidP="00841C25">
      <w:pPr>
        <w:pStyle w:val="SingleTxtG"/>
      </w:pPr>
      <w:r>
        <w:t>144.</w:t>
      </w:r>
      <w:r>
        <w:tab/>
        <w:t>Система административного права Австралии предусматривает механизмы подотчетности, которые применяются при принятии правительством решений по вопросам, затрагивающим права и интересы человека. Эти механизмы позволяют людям оспаривать решения, принятые в соответствии с федеральными законами, и узнавать причины тех или иных принятых решений.</w:t>
      </w:r>
    </w:p>
    <w:p w14:paraId="6565DBAA" w14:textId="77777777" w:rsidR="00841C25" w:rsidRPr="008F3942" w:rsidRDefault="00841C25" w:rsidP="00841C25">
      <w:pPr>
        <w:pStyle w:val="Bullet1G"/>
        <w:numPr>
          <w:ilvl w:val="0"/>
          <w:numId w:val="22"/>
        </w:numPr>
      </w:pPr>
      <w:r>
        <w:t>Административный апелляционный трибунал, учрежденный Законом 1975 года об Административном апелляционном трибунале, является независимым органом, функция которого состоит в пересмотре решений министерств, органов и должностных лиц федерального уровня, принятых в соответствии с более чем 400 законами парламента. Трибунал может подтвердить или изменить решение, отменить решение и заменить его своим собственным, либо вернуть решение на повторное рассмотрение с указаниями и рекомендациями тому органу, который принял первоначальное решение. Трибунал проводит рассмотрение по существу в тех областях, в которых он обладает юрисдикцией, включая, в частности, социальное обеспечение; австралийское гражданство, паспорта, таможня, визы и решения, связанные с визами; корпорации и регулирование финансовых услуг; и свободу информации.</w:t>
      </w:r>
    </w:p>
    <w:p w14:paraId="0FA8FC27" w14:textId="77777777" w:rsidR="00841C25" w:rsidRPr="008F3942" w:rsidRDefault="00841C25" w:rsidP="00841C25">
      <w:pPr>
        <w:pStyle w:val="Bullet1G"/>
        <w:numPr>
          <w:ilvl w:val="0"/>
          <w:numId w:val="22"/>
        </w:numPr>
      </w:pPr>
      <w:r>
        <w:t>Закон 1977 года о (судебном пересмотре) административных решений предусматривает возможность судебного пересмотра Федеральным судом Австралии административных решений, принятых в соответствии с законодательством Австралийского Союза. Если потерпевшее лицо ходатайствует о пересмотре решения, Суд уполномочен пересмотреть законность решения, включая процедуру, в соответствии с которой решение было принято. При судебном пересмотре суд не может изменить решение. Типичным средством правовой защиты является передача решения тому органу, который принял первоначальное решение, для пересмотра решения в соответствии с законом.</w:t>
      </w:r>
    </w:p>
    <w:p w14:paraId="60DE0D27" w14:textId="77777777" w:rsidR="00841C25" w:rsidRPr="008F3942" w:rsidRDefault="00841C25" w:rsidP="00841C25">
      <w:pPr>
        <w:pStyle w:val="SingleTxtG"/>
      </w:pPr>
      <w:r>
        <w:t>145.</w:t>
      </w:r>
      <w:r>
        <w:tab/>
        <w:t>Во всех австралийских штатах и территориях были созданы механизмы в рамках административного права, осуществляющие функции, схожие с теми, которые осуществляются на федеральном уровне.</w:t>
      </w:r>
    </w:p>
    <w:p w14:paraId="41AB78B8" w14:textId="5A4E0A46" w:rsidR="00841C25" w:rsidRPr="008F3942" w:rsidRDefault="00064F52" w:rsidP="00841C25">
      <w:pPr>
        <w:pStyle w:val="H23G"/>
      </w:pPr>
      <w:r>
        <w:lastRenderedPageBreak/>
        <w:tab/>
      </w:r>
      <w:r w:rsidR="00841C25">
        <w:t>2.</w:t>
      </w:r>
      <w:r w:rsidR="00841C25">
        <w:tab/>
      </w:r>
      <w:r w:rsidR="00841C25">
        <w:rPr>
          <w:bCs/>
        </w:rPr>
        <w:t>Конкретные правовые основы в области прав человека и борьбы с</w:t>
      </w:r>
      <w:r w:rsidR="005D6745">
        <w:rPr>
          <w:bCs/>
        </w:rPr>
        <w:t> </w:t>
      </w:r>
      <w:r w:rsidR="00841C25">
        <w:rPr>
          <w:bCs/>
        </w:rPr>
        <w:t>дискриминацией</w:t>
      </w:r>
      <w:r w:rsidR="00841C25">
        <w:t xml:space="preserve"> </w:t>
      </w:r>
    </w:p>
    <w:p w14:paraId="6A4305BB" w14:textId="77777777" w:rsidR="00841C25" w:rsidRPr="008F3942" w:rsidRDefault="00841C25" w:rsidP="00841C25">
      <w:pPr>
        <w:pStyle w:val="SingleTxtG"/>
      </w:pPr>
      <w:r>
        <w:t>146.</w:t>
      </w:r>
      <w:r>
        <w:tab/>
        <w:t>В Австралии действует дуалистическая правовая система, что означает, что международные договоры, в том числе договоры по правам человека, не имеют самостоятельной силы и требуют применения внутреннего законодательства для вступления в силу в соответствии с законодательством Австралии. Прежде чем Австралия станет связанной тем или иным договором, австралийское правительство удостоверяется в том, что для осуществления такого договора существует необходимое законодательство.</w:t>
      </w:r>
    </w:p>
    <w:p w14:paraId="283FBD70" w14:textId="77777777" w:rsidR="00841C25" w:rsidRPr="008F3942" w:rsidRDefault="00841C25" w:rsidP="00841C25">
      <w:pPr>
        <w:pStyle w:val="H4G"/>
      </w:pPr>
      <w:r>
        <w:tab/>
      </w:r>
      <w:r>
        <w:tab/>
      </w:r>
      <w:r>
        <w:rPr>
          <w:iCs/>
        </w:rPr>
        <w:t>Федеральное законодательство о правах человека</w:t>
      </w:r>
    </w:p>
    <w:p w14:paraId="305337BF" w14:textId="77777777" w:rsidR="00841C25" w:rsidRPr="008F3942" w:rsidRDefault="00841C25" w:rsidP="00841C25">
      <w:pPr>
        <w:pStyle w:val="SingleTxtG"/>
      </w:pPr>
      <w:r>
        <w:t>147.</w:t>
      </w:r>
      <w:r>
        <w:tab/>
        <w:t>В число федеральных законов Австралии о борьбе с дискриминацией входят:</w:t>
      </w:r>
    </w:p>
    <w:p w14:paraId="038E6DDC" w14:textId="77777777" w:rsidR="00841C25" w:rsidRPr="008F3942" w:rsidRDefault="00841C25" w:rsidP="00841C25">
      <w:pPr>
        <w:pStyle w:val="Bullet1G"/>
        <w:numPr>
          <w:ilvl w:val="0"/>
          <w:numId w:val="22"/>
        </w:numPr>
      </w:pPr>
      <w:r>
        <w:t>Закон о борьбе с расовой дискриминацией 1975 года (АС) (ЗБРД), который запрещает дискриминацию людей по признаку их расы, цвета кожи, родового, национального или этнического происхождения или иммиграционного статуса во всех сферах общественной жизни.</w:t>
      </w:r>
    </w:p>
    <w:p w14:paraId="0A1951BD" w14:textId="77777777" w:rsidR="00841C25" w:rsidRPr="008F3942" w:rsidRDefault="00841C25" w:rsidP="00841C25">
      <w:pPr>
        <w:pStyle w:val="Bullet2G"/>
        <w:numPr>
          <w:ilvl w:val="0"/>
          <w:numId w:val="23"/>
        </w:numPr>
      </w:pPr>
      <w:r>
        <w:t>ЗБРД обеспечивает выполнение обязательств Австралии по КЛРД на национальном уровне.</w:t>
      </w:r>
    </w:p>
    <w:p w14:paraId="086177B6" w14:textId="77777777" w:rsidR="00841C25" w:rsidRPr="008F3942" w:rsidRDefault="00841C25" w:rsidP="00841C25">
      <w:pPr>
        <w:pStyle w:val="Bullet1G"/>
        <w:numPr>
          <w:ilvl w:val="0"/>
          <w:numId w:val="22"/>
        </w:numPr>
      </w:pPr>
      <w:r>
        <w:t>Закон о борьбе с дискриминацией по признаку пола 1984 года (АС) (ЗБДП), который запрещает дискриминацию людей по признаку их пола, сексуальной ориентации, гендерной идентичности, интерсексуального статуса, семейного положения или отношений, беременности или потенциальной беременности, грудного вскармливания или семейных обязанностей в основных сферах общественной жизни.</w:t>
      </w:r>
    </w:p>
    <w:p w14:paraId="1E3A2F80" w14:textId="77777777" w:rsidR="00841C25" w:rsidRPr="008F3942" w:rsidRDefault="00841C25" w:rsidP="00841C25">
      <w:pPr>
        <w:pStyle w:val="Bullet2G"/>
        <w:numPr>
          <w:ilvl w:val="0"/>
          <w:numId w:val="23"/>
        </w:numPr>
      </w:pPr>
      <w:r>
        <w:t>ЗБДП обеспечивает выполнение обязательств Австралии по КЛДОЖ на национальном уровне.</w:t>
      </w:r>
    </w:p>
    <w:p w14:paraId="393D05AF" w14:textId="77777777" w:rsidR="00841C25" w:rsidRPr="008F3942" w:rsidRDefault="00841C25" w:rsidP="00841C25">
      <w:pPr>
        <w:pStyle w:val="Bullet1G"/>
        <w:numPr>
          <w:ilvl w:val="0"/>
          <w:numId w:val="22"/>
        </w:numPr>
      </w:pPr>
      <w:r>
        <w:t>Закон о борьбе с дискриминацией по признаку инвалидности 1992 года (АС) (ЗБДПИ), который запрещает дискриминацию людей по признаку инвалидности в основных сферах общественной жизни.</w:t>
      </w:r>
    </w:p>
    <w:p w14:paraId="750FEFA6" w14:textId="77777777" w:rsidR="00841C25" w:rsidRPr="008F3942" w:rsidRDefault="00841C25" w:rsidP="00841C25">
      <w:pPr>
        <w:pStyle w:val="Bullet2G"/>
        <w:numPr>
          <w:ilvl w:val="0"/>
          <w:numId w:val="23"/>
        </w:numPr>
      </w:pPr>
      <w:r>
        <w:t>ЗБДПИ обеспечивает выполнение обязательств Австралии по КПИ на национальном уровне.</w:t>
      </w:r>
    </w:p>
    <w:p w14:paraId="7F69B4C7" w14:textId="77777777" w:rsidR="00841C25" w:rsidRPr="008F3942" w:rsidRDefault="00841C25" w:rsidP="00841C25">
      <w:pPr>
        <w:pStyle w:val="Bullet1G"/>
        <w:numPr>
          <w:ilvl w:val="0"/>
          <w:numId w:val="22"/>
        </w:numPr>
      </w:pPr>
      <w:r>
        <w:t>Закон о борьбе с дискриминацией по признаку возраста 2004 года (АС), который запрещает дискриминацию людей по признаку возраста в основных сферах общественной жизни.</w:t>
      </w:r>
    </w:p>
    <w:p w14:paraId="154931B4" w14:textId="77777777" w:rsidR="00841C25" w:rsidRPr="008F3942" w:rsidRDefault="00841C25" w:rsidP="00841C25">
      <w:pPr>
        <w:pStyle w:val="SingleTxtG"/>
        <w:keepNext/>
      </w:pPr>
      <w:r>
        <w:t>148.</w:t>
      </w:r>
      <w:r>
        <w:tab/>
        <w:t>В число других федеральных законов о правах человека входят:</w:t>
      </w:r>
    </w:p>
    <w:p w14:paraId="34048029" w14:textId="63B6413D" w:rsidR="00841C25" w:rsidRPr="008F3942" w:rsidRDefault="00841C25" w:rsidP="00841C25">
      <w:pPr>
        <w:pStyle w:val="Bullet1G"/>
        <w:keepNext/>
        <w:numPr>
          <w:ilvl w:val="0"/>
          <w:numId w:val="22"/>
        </w:numPr>
      </w:pPr>
      <w:r>
        <w:t xml:space="preserve">Закон об Австралийской комиссии по правам человека 1986 года (АС), который учреждает Австралийскую комиссию по правам человека (АКПЧ) в качестве независимого и созданного в соответствии с законодательством органа, функции которого включают просветительскую и разъяснительную работу, рассмотрение жалоб на незаконную дискриминацию и нарушения прав человека и примирение сторон, а также проведение национальных расследований и подготовку докладов по вызывающим обеспокоенность вопросам прав человека (подробную информацию об АКПЧ см. в </w:t>
      </w:r>
      <w:r w:rsidR="00064F52">
        <w:br/>
      </w:r>
      <w:r>
        <w:t>пунктах 151</w:t>
      </w:r>
      <w:r w:rsidRPr="008A3AE2">
        <w:t>–</w:t>
      </w:r>
      <w:r>
        <w:t>155).</w:t>
      </w:r>
    </w:p>
    <w:p w14:paraId="2BB58075" w14:textId="77777777" w:rsidR="00841C25" w:rsidRPr="008F3942" w:rsidRDefault="00841C25" w:rsidP="00841C25">
      <w:pPr>
        <w:pStyle w:val="Bullet1G"/>
        <w:numPr>
          <w:ilvl w:val="0"/>
          <w:numId w:val="22"/>
        </w:numPr>
      </w:pPr>
      <w:r>
        <w:t>Закон о справедливых условиях труда 2009 года (АС), который содержит положения, направленные на предотвращение и ликвидацию дискриминации на рабочем месте, запрещая дискриминацию в сфере занятости по признаку расы, цвета кожи, пола, сексуальной ориентации, грудного вскармливания, гендерной идентичности, интерсексуального статуса, возраста, физической или ментальной инвалидности, семейного положения, семейных или опекунских обязанностей, беременности, религии, политических убеждений, национальности или социального происхождения.</w:t>
      </w:r>
    </w:p>
    <w:p w14:paraId="6D0DE0FE" w14:textId="77777777" w:rsidR="00841C25" w:rsidRPr="008F3942" w:rsidRDefault="00841C25" w:rsidP="00841C25">
      <w:pPr>
        <w:pStyle w:val="Bullet1G"/>
        <w:numPr>
          <w:ilvl w:val="0"/>
          <w:numId w:val="22"/>
        </w:numPr>
      </w:pPr>
      <w:r>
        <w:lastRenderedPageBreak/>
        <w:t>Закон о невмешательстве в частную жизнь (АС), который обеспечивает осуществление признанного в МПГПП (статья 17) права на невмешательство в частную жизнь в том, что касается защиты личных данных, собранных и имеющихся в распоряжении регулируемых законом органов, таких как государственные учреждения Австралии и некоторые организации частного сектора.</w:t>
      </w:r>
    </w:p>
    <w:p w14:paraId="487D5DF8" w14:textId="77777777" w:rsidR="00841C25" w:rsidRPr="008F3942" w:rsidRDefault="00841C25" w:rsidP="00841C25">
      <w:pPr>
        <w:pStyle w:val="H4G"/>
      </w:pPr>
      <w:r>
        <w:tab/>
      </w:r>
      <w:r>
        <w:tab/>
      </w:r>
      <w:r>
        <w:rPr>
          <w:iCs/>
        </w:rPr>
        <w:t>Законодательство штатов и территорий</w:t>
      </w:r>
    </w:p>
    <w:p w14:paraId="0C8AC9F0" w14:textId="77777777" w:rsidR="00841C25" w:rsidRPr="008F3942" w:rsidRDefault="00841C25" w:rsidP="00841C25">
      <w:pPr>
        <w:pStyle w:val="SingleTxtG"/>
      </w:pPr>
      <w:r>
        <w:t>149.</w:t>
      </w:r>
      <w:r>
        <w:tab/>
        <w:t>В трех юрисдикциях приняты статутные документы по правам человека, которые определяют ряд основных прав и свобод на основе МПГПП. Эти документы требуют, чтобы исполнительная власть действовала и принимала решения в соответствии с правами человека, а судебная власть интерпретировала законодательство в соответствии с правами человека.</w:t>
      </w:r>
    </w:p>
    <w:p w14:paraId="4371C3AB" w14:textId="77777777" w:rsidR="00841C25" w:rsidRPr="008F3942" w:rsidRDefault="00841C25" w:rsidP="00841C25">
      <w:pPr>
        <w:pStyle w:val="Bullet1G"/>
        <w:numPr>
          <w:ilvl w:val="0"/>
          <w:numId w:val="22"/>
        </w:numPr>
      </w:pPr>
      <w:r>
        <w:t>Закон о правах человека Австралийской столичной территории 2004 года (ACT) определяет права, которые подлежат защите, и способы их ограничения, а также разъясняет применение положений о правах человека в законодательстве АСТ. Закон о правах человека ACT также устанавливает механизм проверки законопроектов, представляемых законодательному собранию, определяет обязательства государственных органов в отношении прав человека и предоставляет частным лицам прямое право на подачу иска в Верховный суд в связи с предполагаемыми нарушениями прав человека государственными органами.</w:t>
      </w:r>
    </w:p>
    <w:p w14:paraId="7E6C5BE5" w14:textId="77777777" w:rsidR="00841C25" w:rsidRPr="00D62FAA" w:rsidRDefault="00841C25" w:rsidP="00841C25">
      <w:pPr>
        <w:pStyle w:val="Bullet1G"/>
        <w:numPr>
          <w:ilvl w:val="0"/>
          <w:numId w:val="22"/>
        </w:numPr>
      </w:pPr>
      <w:r>
        <w:t>Закон о Хартии прав и обязанностей человека штата Виктория 2006 года (ВИК) во многом повторяет Закон о правах человека ACT, включая возможность объявлять законодательство несовместимым и создание механизма проверки законопроектов. Закон о Хартии штата Виктория направлен на защиту и поощрение определенных гражданских и политических прав, включая право на признание правосубъектности и на равенство перед законом и право на жизнь. В нем признается, что аборигены обладают особыми культурными правами.</w:t>
      </w:r>
    </w:p>
    <w:p w14:paraId="1E0E6C29" w14:textId="77777777" w:rsidR="00841C25" w:rsidRPr="008F3942" w:rsidRDefault="00841C25" w:rsidP="00841C25">
      <w:pPr>
        <w:pStyle w:val="Bullet1G"/>
        <w:numPr>
          <w:ilvl w:val="0"/>
          <w:numId w:val="22"/>
        </w:numPr>
      </w:pPr>
      <w:r>
        <w:t xml:space="preserve">Закон о правах человека штата Квинсленд 2019 года (КЛД) защищает 23 права человека и требует, чтобы государственные органы принимали решения и действовали в соответствии с правами человека, а парламент учитывал права человека при принятии нового законодательства или внесении поправок в действующие законы. Помимо прав, вытекающих из МПГПП, Закон о правах человека штата Квинсленд защищает два права, закрепленные в МПЭСКП (право на образование и право на здоровье), и одно право, закрепленное во Всеобщей декларации прав человека (право собственности). Закон о правах человека штата Квинсленд также признает и защищает особые культурные права аборигенов и жителей островов Торресова пролива. </w:t>
      </w:r>
    </w:p>
    <w:p w14:paraId="2A582010" w14:textId="77777777" w:rsidR="00841C25" w:rsidRPr="008F3942" w:rsidRDefault="00841C25" w:rsidP="00064F52">
      <w:pPr>
        <w:pStyle w:val="SingleTxtG"/>
        <w:keepNext/>
        <w:keepLines/>
      </w:pPr>
      <w:r>
        <w:t>150.</w:t>
      </w:r>
      <w:r>
        <w:tab/>
        <w:t>Во всех штатах и территориях имеется антидискриминационное законодательство и совет или комиссия, которая следит за соблюдением прав человека и за противодействием дискриминации. Хотя функции каждого органа различны, они включают в себя определение или урегулирование жалоб на дискриминацию, поданных в соответствии с законодательством, действующим в конкретной юрисдикции, а также образование и повышение осведомленности в области прав человека.</w:t>
      </w:r>
    </w:p>
    <w:p w14:paraId="11D2BE03" w14:textId="7F476B38" w:rsidR="00841C25" w:rsidRPr="008F3942" w:rsidRDefault="00064F52" w:rsidP="00841C25">
      <w:pPr>
        <w:pStyle w:val="H1G"/>
      </w:pPr>
      <w:bookmarkStart w:id="31" w:name="_Toc147326780"/>
      <w:r>
        <w:tab/>
      </w:r>
      <w:r w:rsidR="00841C25">
        <w:t>C.</w:t>
      </w:r>
      <w:r w:rsidR="00841C25">
        <w:tab/>
        <w:t>Правовая основа для поощрения прав человека на национальном уровне</w:t>
      </w:r>
      <w:bookmarkStart w:id="32" w:name="_Toc167980145"/>
      <w:bookmarkEnd w:id="31"/>
      <w:bookmarkEnd w:id="32"/>
    </w:p>
    <w:p w14:paraId="5CD03568" w14:textId="71E935D5" w:rsidR="00841C25" w:rsidRPr="008F3942" w:rsidRDefault="00064F52" w:rsidP="00841C25">
      <w:pPr>
        <w:pStyle w:val="H23G"/>
      </w:pPr>
      <w:r>
        <w:tab/>
      </w:r>
      <w:r w:rsidR="00841C25">
        <w:t>1.</w:t>
      </w:r>
      <w:r w:rsidR="00841C25">
        <w:tab/>
      </w:r>
      <w:r w:rsidR="00841C25">
        <w:rPr>
          <w:bCs/>
        </w:rPr>
        <w:t>Осуществление и поощрение прав человека на национальном уровне</w:t>
      </w:r>
    </w:p>
    <w:p w14:paraId="3A9DB916" w14:textId="77777777" w:rsidR="00841C25" w:rsidRPr="008F3942" w:rsidRDefault="00841C25" w:rsidP="00841C25">
      <w:pPr>
        <w:pStyle w:val="H4G"/>
      </w:pPr>
      <w:r>
        <w:tab/>
      </w:r>
      <w:r>
        <w:tab/>
        <w:t>Национальное правозащитное учреждение</w:t>
      </w:r>
    </w:p>
    <w:p w14:paraId="4FD266D2" w14:textId="77777777" w:rsidR="00841C25" w:rsidRPr="008F3942" w:rsidRDefault="00841C25" w:rsidP="00841C25">
      <w:pPr>
        <w:pStyle w:val="SingleTxtG"/>
      </w:pPr>
      <w:bookmarkStart w:id="33" w:name="_Ref64892778"/>
      <w:r>
        <w:t>151.</w:t>
      </w:r>
      <w:r>
        <w:tab/>
        <w:t xml:space="preserve">Австралийская комиссия по правам человека (АКПЧ) является национальным правозащитным учреждением Австралии (НПЗУ). AКПЧ была аккредитована как </w:t>
      </w:r>
      <w:r>
        <w:lastRenderedPageBreak/>
        <w:t>НПЗУ со статусом «А» в соответствии с Принципами, касающимися статуса национальных учреждений (Парижские принципы). AКПЧ сохраняет этот статус с 1999 года.</w:t>
      </w:r>
      <w:bookmarkEnd w:id="33"/>
    </w:p>
    <w:p w14:paraId="55BF5A5C" w14:textId="77777777" w:rsidR="00841C25" w:rsidRPr="008F3942" w:rsidRDefault="00841C25" w:rsidP="00841C25">
      <w:pPr>
        <w:pStyle w:val="SingleTxtG"/>
      </w:pPr>
      <w:r>
        <w:t>152.</w:t>
      </w:r>
      <w:r>
        <w:tab/>
        <w:t>AКПЧ является независимым и созданным в соответствии с законодательством органом, функции которого включают:</w:t>
      </w:r>
    </w:p>
    <w:p w14:paraId="28FA4D9F" w14:textId="77777777" w:rsidR="00841C25" w:rsidRPr="00D62FAA" w:rsidRDefault="00841C25" w:rsidP="00841C25">
      <w:pPr>
        <w:pStyle w:val="Bullet1G"/>
        <w:numPr>
          <w:ilvl w:val="0"/>
          <w:numId w:val="22"/>
        </w:numPr>
      </w:pPr>
      <w:r>
        <w:t>просветительскую и разъяснительную работу;</w:t>
      </w:r>
    </w:p>
    <w:p w14:paraId="25808A34" w14:textId="77777777" w:rsidR="00841C25" w:rsidRPr="008F3942" w:rsidRDefault="00841C25" w:rsidP="00841C25">
      <w:pPr>
        <w:pStyle w:val="Bullet1G"/>
        <w:numPr>
          <w:ilvl w:val="0"/>
          <w:numId w:val="22"/>
        </w:numPr>
      </w:pPr>
      <w:r>
        <w:t>рассмотрение жалоб на незаконную дискриминацию и нарушения прав человека и примирение сторон;</w:t>
      </w:r>
    </w:p>
    <w:p w14:paraId="4F42C4A2" w14:textId="77777777" w:rsidR="00841C25" w:rsidRPr="008F3942" w:rsidRDefault="00841C25" w:rsidP="00841C25">
      <w:pPr>
        <w:pStyle w:val="Bullet1G"/>
        <w:numPr>
          <w:ilvl w:val="0"/>
          <w:numId w:val="22"/>
        </w:numPr>
      </w:pPr>
      <w:r>
        <w:t>проведение национальных расследований и подготовку докладов по вызывающим обеспокоенность вопросам прав человека.</w:t>
      </w:r>
    </w:p>
    <w:p w14:paraId="4F7E493A" w14:textId="0B5CAAF3" w:rsidR="00841C25" w:rsidRPr="008F3942" w:rsidRDefault="00841C25" w:rsidP="00841C25">
      <w:pPr>
        <w:pStyle w:val="SingleTxtG"/>
      </w:pPr>
      <w:r>
        <w:t>153.</w:t>
      </w:r>
      <w:r>
        <w:tab/>
        <w:t>AКПЧ отчитывается перед федеральным парламентом через Генерального прокурора правительства Австралии. В 2023</w:t>
      </w:r>
      <w:r w:rsidR="004F59E4">
        <w:t>/</w:t>
      </w:r>
      <w:r>
        <w:t>24 году правительство Австралии выделит Комиссии 26,7 млн долл. (предварительная оценка) на ее функционирование, осуществление программ и предоставление услуг. В настоящее время в состав AКПЧ входят председатель и семь уполномоченных по конкретным вопросам:</w:t>
      </w:r>
    </w:p>
    <w:p w14:paraId="3ACC0FC3" w14:textId="77777777" w:rsidR="00841C25" w:rsidRPr="00D62FAA" w:rsidRDefault="00841C25" w:rsidP="00841C25">
      <w:pPr>
        <w:pStyle w:val="Bullet1G"/>
        <w:numPr>
          <w:ilvl w:val="0"/>
          <w:numId w:val="22"/>
        </w:numPr>
      </w:pPr>
      <w:r>
        <w:t>уполномоченный по правам человека;</w:t>
      </w:r>
    </w:p>
    <w:p w14:paraId="41856F93" w14:textId="77777777" w:rsidR="00841C25" w:rsidRPr="008F3942" w:rsidRDefault="00841C25" w:rsidP="00841C25">
      <w:pPr>
        <w:pStyle w:val="Bullet1G"/>
        <w:numPr>
          <w:ilvl w:val="0"/>
          <w:numId w:val="22"/>
        </w:numPr>
      </w:pPr>
      <w:r>
        <w:t>уполномоченный по вопросам социальной справедливости, касающимся аборигенов и жителей островов Торресова пролива;</w:t>
      </w:r>
    </w:p>
    <w:p w14:paraId="37163C09" w14:textId="77777777" w:rsidR="00841C25" w:rsidRPr="008F3942" w:rsidRDefault="00841C25" w:rsidP="00841C25">
      <w:pPr>
        <w:pStyle w:val="Bullet1G"/>
        <w:numPr>
          <w:ilvl w:val="0"/>
          <w:numId w:val="22"/>
        </w:numPr>
      </w:pPr>
      <w:r>
        <w:t>уполномоченный по вопросам дискриминации по признаку возраста;</w:t>
      </w:r>
    </w:p>
    <w:p w14:paraId="6B09F2BE" w14:textId="77777777" w:rsidR="00841C25" w:rsidRPr="008F3942" w:rsidRDefault="00841C25" w:rsidP="00841C25">
      <w:pPr>
        <w:pStyle w:val="Bullet1G"/>
        <w:numPr>
          <w:ilvl w:val="0"/>
          <w:numId w:val="22"/>
        </w:numPr>
      </w:pPr>
      <w:r>
        <w:t>уполномоченный по вопросам дискриминации по признаку инвалидности;</w:t>
      </w:r>
    </w:p>
    <w:p w14:paraId="77B25C2E" w14:textId="77777777" w:rsidR="00841C25" w:rsidRPr="008F3942" w:rsidRDefault="00841C25" w:rsidP="00841C25">
      <w:pPr>
        <w:pStyle w:val="Bullet1G"/>
        <w:numPr>
          <w:ilvl w:val="0"/>
          <w:numId w:val="22"/>
        </w:numPr>
      </w:pPr>
      <w:r>
        <w:t>уполномоченный по вопросам расовой дискриминации;</w:t>
      </w:r>
    </w:p>
    <w:p w14:paraId="108745FA" w14:textId="77777777" w:rsidR="00841C25" w:rsidRPr="008F3942" w:rsidRDefault="00841C25" w:rsidP="00841C25">
      <w:pPr>
        <w:pStyle w:val="Bullet1G"/>
        <w:numPr>
          <w:ilvl w:val="0"/>
          <w:numId w:val="22"/>
        </w:numPr>
      </w:pPr>
      <w:r>
        <w:t>уполномоченный по вопросам дискриминации по признаку пола;</w:t>
      </w:r>
    </w:p>
    <w:p w14:paraId="309445A3" w14:textId="77777777" w:rsidR="00841C25" w:rsidRPr="008F3942" w:rsidRDefault="00841C25" w:rsidP="00841C25">
      <w:pPr>
        <w:pStyle w:val="Bullet1G"/>
        <w:numPr>
          <w:ilvl w:val="0"/>
          <w:numId w:val="22"/>
        </w:numPr>
      </w:pPr>
      <w:r>
        <w:t>национальный уполномоченный по делам детей.</w:t>
      </w:r>
    </w:p>
    <w:p w14:paraId="4340526F" w14:textId="0F7BA7EB" w:rsidR="00841C25" w:rsidRPr="008F3942" w:rsidRDefault="00841C25" w:rsidP="00841C25">
      <w:pPr>
        <w:pStyle w:val="SingleTxtG"/>
      </w:pPr>
      <w:bookmarkStart w:id="34" w:name="_Ref64892794"/>
      <w:r>
        <w:t>154.</w:t>
      </w:r>
      <w:r>
        <w:tab/>
        <w:t xml:space="preserve">Благодаря публичным расследованиям, проводимым АКПЧ, основные вопросы, касающиеся прав человека в Австралии, становятся предметом рассмотрения политических органов и общественности. Известные расследования, проведенные AКПЧ, касались разлучения детей аборигенов и жителей островов Торресова пролива с их семьями (1997), практики помещения детей в центры временного содержания мигрантов (2014), дискриминации в сфере занятости в отношении пожилых австралийцев и австралийцев с инвалидностью (2016), сексуальных домогательств в сфере трудовых отношений в Австралии (2020), а также женщин и девочек из числа аборигенов и жителей островов Торресова пролива (2020). Дополнительная информация доступна на веб-сайте </w:t>
      </w:r>
      <w:hyperlink r:id="rId24" w:history="1">
        <w:r w:rsidR="005D6745" w:rsidRPr="00D16618">
          <w:rPr>
            <w:rStyle w:val="af1"/>
          </w:rPr>
          <w:t>www.humanrights.gov.au</w:t>
        </w:r>
      </w:hyperlink>
      <w:r>
        <w:t>.</w:t>
      </w:r>
      <w:bookmarkStart w:id="35" w:name="OLE_LINK2"/>
      <w:bookmarkEnd w:id="34"/>
      <w:bookmarkEnd w:id="35"/>
      <w:r w:rsidR="005D6745">
        <w:t xml:space="preserve"> </w:t>
      </w:r>
    </w:p>
    <w:p w14:paraId="15A74C76" w14:textId="77777777" w:rsidR="00841C25" w:rsidRPr="008F3942" w:rsidRDefault="00841C25" w:rsidP="00841C25">
      <w:pPr>
        <w:pStyle w:val="SingleTxtG"/>
      </w:pPr>
      <w:r>
        <w:t>155.</w:t>
      </w:r>
      <w:r>
        <w:tab/>
        <w:t>Основные проекты, осуществленные AКПЧ в последние годы, включают:</w:t>
      </w:r>
    </w:p>
    <w:p w14:paraId="4E2D0011" w14:textId="1AAFD444" w:rsidR="00841C25" w:rsidRPr="008F3942" w:rsidRDefault="00841C25" w:rsidP="00841C25">
      <w:pPr>
        <w:pStyle w:val="Bullet1G"/>
        <w:numPr>
          <w:ilvl w:val="0"/>
          <w:numId w:val="22"/>
        </w:numPr>
      </w:pPr>
      <w:r>
        <w:t>В 2022 году уполномоченный по вопросам расовой дискриминации вновь инициировал осуществление программы «Расизм. Он заканчивается на мне», направленной на развитие партнерских отношений, проведение исследований и сбор данных для борьбы с расизмом в Австралии.</w:t>
      </w:r>
      <w:r w:rsidR="00E0204C">
        <w:t xml:space="preserve"> </w:t>
      </w:r>
      <w:r>
        <w:t>Также было начато осуществление Национальной рамочной программы по борьбе с расизмом, призванной стать долгосрочным центральным ориентиром, определяющим действия по борьбе с расизмом со стороны правительства, НПО, бизнеса, педагогов, медицинских работников, полиции, органов правосудия, гражданского общества и общин.</w:t>
      </w:r>
    </w:p>
    <w:p w14:paraId="2F6864AB" w14:textId="77777777" w:rsidR="00841C25" w:rsidRPr="008F3942" w:rsidRDefault="00841C25" w:rsidP="00841C25">
      <w:pPr>
        <w:pStyle w:val="Bullet1G"/>
        <w:numPr>
          <w:ilvl w:val="0"/>
          <w:numId w:val="22"/>
        </w:numPr>
      </w:pPr>
      <w:r>
        <w:t xml:space="preserve">В 2022 году уполномоченный по вопросам социальной справедливости, касающимся аборигенов и жителей островов Торресова пролива, опубликовал документ «Голоса женщин» (Wiyi Yani U Thangani) </w:t>
      </w:r>
      <w:r w:rsidRPr="008A3AE2">
        <w:t>—</w:t>
      </w:r>
      <w:r>
        <w:t xml:space="preserve"> рамочную программу применения национального подхода к продвижению прав женщин и девочек из числа аборигенов и жителей островов Торресова пролива.</w:t>
      </w:r>
    </w:p>
    <w:p w14:paraId="52EABB74" w14:textId="77777777" w:rsidR="00841C25" w:rsidRPr="00D62FAA" w:rsidRDefault="00841C25" w:rsidP="003B51C9">
      <w:pPr>
        <w:pStyle w:val="Bullet1G"/>
        <w:keepNext/>
        <w:keepLines/>
        <w:numPr>
          <w:ilvl w:val="0"/>
          <w:numId w:val="22"/>
        </w:numPr>
      </w:pPr>
      <w:r>
        <w:lastRenderedPageBreak/>
        <w:t>В 2021 году уполномоченный по вопросам дискриминации по признаку инвалидности инициировал осуществление инициативы по содействию интеграции людей с инвалидностью (IncludeAbility), направленной на расширение возможностей трудоустройства людей с инвалидностью.</w:t>
      </w:r>
    </w:p>
    <w:p w14:paraId="122627FC" w14:textId="77777777" w:rsidR="00841C25" w:rsidRPr="008F3942" w:rsidRDefault="00841C25" w:rsidP="00841C25">
      <w:pPr>
        <w:pStyle w:val="Bullet1G"/>
        <w:numPr>
          <w:ilvl w:val="0"/>
          <w:numId w:val="22"/>
        </w:numPr>
      </w:pPr>
      <w:r>
        <w:t>Национальный уполномоченный по делам детей способствовал принятию в 2021 году национальной рамочной программы защиты австралийских детей «Безопасность и поддержка» на 2021</w:t>
      </w:r>
      <w:r w:rsidRPr="008A3AE2">
        <w:t>–</w:t>
      </w:r>
      <w:r>
        <w:t>2031 годы, которая обеспечивает национальную основу для реформирования соответствующих систем в целях повышения степени благополучия детей и обеспечения учета мнений детей и семей при разработке политики, призванной им помочь, в том числе в отношении домашнего и семейного насилия, инвалидности, сексуальных надругательств над детьми и развития детей аборигенов и жителей островов Торресова пролива в раннем возрасте.</w:t>
      </w:r>
    </w:p>
    <w:p w14:paraId="5CD8B607" w14:textId="77777777" w:rsidR="00841C25" w:rsidRPr="008F3942" w:rsidRDefault="00841C25" w:rsidP="00841C25">
      <w:pPr>
        <w:pStyle w:val="Bullet1G"/>
        <w:numPr>
          <w:ilvl w:val="0"/>
          <w:numId w:val="22"/>
        </w:numPr>
      </w:pPr>
      <w:r>
        <w:t>В 2018 году тогдашний уполномоченный по вопросам дискриминации по признаку пола начал расследование случаев сексуальных домогательств на рабочих местах в Австралии, результатом которого стал доклад «Уважение на рабочем месте: национальное расследование случаев сексуальных домогательств» (2020 год), в котором рекомендовано проведение серьезной реформы для более эффективного предотвращения сексуальных домогательств и борьбы с ними с помощью образования, исследований, служб поддержки, а также законодательной и нормативной базы.</w:t>
      </w:r>
    </w:p>
    <w:p w14:paraId="00CC0F53" w14:textId="77777777" w:rsidR="00841C25" w:rsidRPr="008F3942" w:rsidRDefault="00841C25" w:rsidP="00841C25">
      <w:pPr>
        <w:pStyle w:val="Bullet1G"/>
        <w:numPr>
          <w:ilvl w:val="0"/>
          <w:numId w:val="22"/>
        </w:numPr>
      </w:pPr>
      <w:r>
        <w:t>В 2021 году тогдашний уполномоченный по вопросам дискриминации по признаку пола провел расследование по вопросу о рабочих местах в федеральном парламенте, в результате которого были представлены рекомендации по обеспечению безопасности и уважения на рабочих местах в парламенте, а также рекомендации о том, чтобы федеральный парламент демонстрировал передовую практику в области предотвращения травли, сексуальных домогательств и сексуальных посягательств и реагирования на них.</w:t>
      </w:r>
    </w:p>
    <w:p w14:paraId="2F74A265" w14:textId="77777777" w:rsidR="00841C25" w:rsidRPr="008F3942" w:rsidRDefault="00841C25" w:rsidP="00841C25">
      <w:pPr>
        <w:pStyle w:val="H4G"/>
      </w:pPr>
      <w:r>
        <w:tab/>
      </w:r>
      <w:r>
        <w:tab/>
      </w:r>
      <w:r>
        <w:rPr>
          <w:iCs/>
        </w:rPr>
        <w:t>Другие национальные учреждения и органы власти</w:t>
      </w:r>
    </w:p>
    <w:p w14:paraId="2886BBDC" w14:textId="6A2E61DA" w:rsidR="00841C25" w:rsidRPr="008F3942" w:rsidRDefault="00841C25" w:rsidP="00841C25">
      <w:pPr>
        <w:pStyle w:val="SingleTxtG"/>
      </w:pPr>
      <w:r>
        <w:t>156.</w:t>
      </w:r>
      <w:r>
        <w:tab/>
        <w:t xml:space="preserve">В соответствии с Законом об омбудсмене 1976 года (АС) была учреждена должность омбудсмена Австралийского Союза, который осуществляет надзор за деятельностью правительственных департаментов и агентств, а также рассматривает жалобы и расследует случаи несправедливого обращения. Омбудсмен может рассматривать соответствующие вопросы по своей собственной инициативе. Омбудсмен Австралийского Союза также является координатором Национального превентивного механизма (НПМ) и уполномоченным по надзору за местами содержания под стражей в Австралии в соответствии с ФП-КПП. Дополнительная информация на доступна на веб-сайте </w:t>
      </w:r>
      <w:hyperlink r:id="rId25" w:history="1">
        <w:r w:rsidR="005D6745" w:rsidRPr="00D16618">
          <w:rPr>
            <w:rStyle w:val="af1"/>
          </w:rPr>
          <w:t>www.ombudsman.gov.au</w:t>
        </w:r>
      </w:hyperlink>
      <w:r>
        <w:t>.</w:t>
      </w:r>
      <w:r w:rsidR="005D6745">
        <w:t xml:space="preserve"> </w:t>
      </w:r>
    </w:p>
    <w:p w14:paraId="53E1AA9E" w14:textId="2A197021" w:rsidR="00841C25" w:rsidRPr="008F3942" w:rsidRDefault="00841C25" w:rsidP="00064F52">
      <w:pPr>
        <w:pStyle w:val="SingleTxtG"/>
        <w:keepNext/>
        <w:keepLines/>
      </w:pPr>
      <w:r>
        <w:t>157.</w:t>
      </w:r>
      <w:r>
        <w:tab/>
        <w:t xml:space="preserve">Закон о свободе информации 1982 года (АС) предоставляет общественности право иметь доступ к правительственным документам, с учетом некоторых исключений, и устанавливает ряд обязательств для правительства, с тем чтобы общественность могла воспользоваться этим правом. Управление австралийского уполномоченного по вопросам информации является независимым и созданным в соответствии с законодательством учреждением, функции которого связаны с защитой неприкосновенности частной жизни, обеспечением свободы информации и управлением государственной информацией в соответствии с Законом о защите неприкосновенности частной жизни 1988 года (АС), Законом о свободе информации 1982 года (АС) и Законом об австралийском уполномоченном по вопросам информации 2010 года (АС). Более подробная информация доступна на веб-сайте </w:t>
      </w:r>
      <w:hyperlink r:id="rId26" w:history="1">
        <w:r w:rsidR="004F59E4" w:rsidRPr="00AC02E3">
          <w:rPr>
            <w:rStyle w:val="af1"/>
          </w:rPr>
          <w:t>www.oaic.gov.au</w:t>
        </w:r>
      </w:hyperlink>
      <w:r>
        <w:t>.</w:t>
      </w:r>
      <w:r w:rsidR="004F59E4">
        <w:t xml:space="preserve"> </w:t>
      </w:r>
    </w:p>
    <w:p w14:paraId="135B60BB" w14:textId="77777777" w:rsidR="00841C25" w:rsidRPr="008F3942" w:rsidRDefault="00841C25" w:rsidP="00841C25">
      <w:pPr>
        <w:pStyle w:val="SingleTxtG"/>
      </w:pPr>
      <w:r>
        <w:t>158.</w:t>
      </w:r>
      <w:r>
        <w:tab/>
        <w:t xml:space="preserve">Существуют два независимых национальных механизма, которые действуют в отношении прав на рабочем месте. </w:t>
      </w:r>
    </w:p>
    <w:p w14:paraId="339AA254" w14:textId="77777777" w:rsidR="00841C25" w:rsidRPr="008F3942" w:rsidRDefault="00841C25" w:rsidP="003B51C9">
      <w:pPr>
        <w:pStyle w:val="Bullet1G"/>
        <w:keepNext/>
        <w:keepLines/>
        <w:numPr>
          <w:ilvl w:val="0"/>
          <w:numId w:val="22"/>
        </w:numPr>
      </w:pPr>
      <w:r>
        <w:lastRenderedPageBreak/>
        <w:t>Омбудсмен по вопросам справедливых условий труда как национальный регулятор трудовых отношений обеспечивает просвещение, помощь и консультации в отношении австралийских законов в соответствии с Законом о справедливых условиях труда 2009 года (АС) и при необходимости беспристрастно следит за соблюдением этих законов.</w:t>
      </w:r>
    </w:p>
    <w:p w14:paraId="4E52336D" w14:textId="106CDD3D" w:rsidR="00841C25" w:rsidRPr="008F3942" w:rsidRDefault="00841C25" w:rsidP="00841C25">
      <w:pPr>
        <w:pStyle w:val="Bullet1G"/>
        <w:numPr>
          <w:ilvl w:val="0"/>
          <w:numId w:val="22"/>
        </w:numPr>
      </w:pPr>
      <w:r>
        <w:t>Комиссия по справедливым условия</w:t>
      </w:r>
      <w:r w:rsidR="005D6745">
        <w:t>м</w:t>
      </w:r>
      <w:r>
        <w:t xml:space="preserve"> труда (Комиссия) является национальным трибуналом Австралии по трудовым отношениям и независимым регулятором зарегистрированных организаций. Комиссия осуществляет свои функции и полномочия в соответствии с Законом о справедливых условиях труда 2009 года и отвечает за регистрацию, признание и подотчетность зарегистрированных организаций в соответствии с Законом о справедливых условиях труда (зарегистрированных организациях) 2009 года. Комиссия содействует установлению простых, справедливых и гибких отношений на рабочем месте для работников и работодателей, осуществляя полномочия по установлению и изменению минимальной заработной платы и соответствующих современным реалиям премий, содействию коллективным переговорам, утверждению соглашений, рассмотрению споров и содействию финансовой прозрачности зарегистрированных организаций работников и работодателей и эффективному управлению ими.</w:t>
      </w:r>
    </w:p>
    <w:p w14:paraId="428BBE4E" w14:textId="020EF845" w:rsidR="00841C25" w:rsidRPr="008F3942" w:rsidRDefault="00841C25" w:rsidP="00841C25">
      <w:pPr>
        <w:pStyle w:val="SingleTxtG"/>
      </w:pPr>
      <w:r>
        <w:t>159.</w:t>
      </w:r>
      <w:r>
        <w:tab/>
        <w:t xml:space="preserve">Австралийская комиссия по реформе законодательства (АКРЗ) является официальным независимым органом, действующим в соответствии с Законом об австралийской комиссии по реформе законодательства 1996 года (АС). Она проводит исследования по темам, переданным Генеральным прокурором, и представляет рекомендации по модернизации или обновлению законодательства, устранению в нем недостатков, упрощению законодательства и обеспечению более широкого доступа к правосудию. Доклады АКРЗ направляются на рассмотрение в парламент. После этого правительство Австралии может принять решение о том, выполнять ли ему полностью или частично представленные ему рекомендации. Выполнение рекомендаций контролируется АКРЗ. В ходе недавних важных расследований, посвященных вопросам прав человека, были рассмотрены следующие вопросы: семейное право; жестокое обращение с пожилыми людьми; лишение свободы аборигенов и жителей островов Торресова пролива; вопросы равенства, потенциала и инвалидности в законах Австралийского союза; ущемление федеральными законами традиционных прав и свобод; свобода религии и убеждений. Более подробная информация доступна на веб-сайте </w:t>
      </w:r>
      <w:hyperlink r:id="rId27" w:history="1">
        <w:r w:rsidR="003B51C9" w:rsidRPr="00AC02E3">
          <w:rPr>
            <w:rStyle w:val="af1"/>
          </w:rPr>
          <w:t>www.alrc.gov.au</w:t>
        </w:r>
      </w:hyperlink>
      <w:r>
        <w:t>.</w:t>
      </w:r>
      <w:r w:rsidR="003B51C9">
        <w:t xml:space="preserve"> </w:t>
      </w:r>
    </w:p>
    <w:p w14:paraId="06108AC9" w14:textId="77777777" w:rsidR="00841C25" w:rsidRPr="008F3942" w:rsidRDefault="00841C25" w:rsidP="00841C25">
      <w:pPr>
        <w:pStyle w:val="SingleTxtG"/>
      </w:pPr>
      <w:r>
        <w:t>160.</w:t>
      </w:r>
      <w:r>
        <w:tab/>
        <w:t>В июле 2023 года правительство Австралии учредило национальную комиссию по борьбе с коррупцией (НКБК), которая была создана на основании Закона о национальной комиссии по борьбе с коррупцией 2022 года. НКБК является независимым федеральным органом, призванным выявлять, расследовать и сообщать о серьезных или системных коррупционных действиях в государственном секторе Австралийского Союза. Кроме того, она будет также просвещать сотрудников государственной службы и общественность о рисках коррупции и способах ее предотвращения.</w:t>
      </w:r>
    </w:p>
    <w:p w14:paraId="43A8E955" w14:textId="5608B140" w:rsidR="00841C25" w:rsidRPr="008F3942" w:rsidRDefault="00841C25" w:rsidP="00841C25">
      <w:pPr>
        <w:pStyle w:val="SingleTxtG"/>
      </w:pPr>
      <w:r>
        <w:t>161.</w:t>
      </w:r>
      <w:r>
        <w:tab/>
        <w:t>Австралийский национальный контактный центр по ответственному ведению бизнеса (АНКЦ) продвигает стандарты ответственного ведения бизнеса в соответствии с Руководящими принципами ОЭСР для многонациональных предприятий по ответственному ведению бизнеса (Руководящие принципы ОЭСР) и</w:t>
      </w:r>
      <w:r w:rsidR="005D6745">
        <w:t> </w:t>
      </w:r>
      <w:r>
        <w:t xml:space="preserve">соответствующими Руководящими принципами должной осмотрительности, разработанными ОЭСР. АНКЦ также предоставляет внесудебный механизм рассмотрения жалоб, помогающий разрешать жалобы на многонациональные предприятия, связанные с выполнением Руководящих принципов ОЭСР. Информация о АНКЦ и жалобах доступна на веб-сайте </w:t>
      </w:r>
      <w:hyperlink r:id="rId28" w:history="1">
        <w:r w:rsidR="00064F52" w:rsidRPr="00AC02E3">
          <w:rPr>
            <w:rStyle w:val="af1"/>
          </w:rPr>
          <w:t>https://ausncp.gov.au/</w:t>
        </w:r>
      </w:hyperlink>
      <w:r>
        <w:t>.</w:t>
      </w:r>
      <w:r w:rsidR="00064F52">
        <w:t xml:space="preserve"> </w:t>
      </w:r>
    </w:p>
    <w:p w14:paraId="420C3114" w14:textId="77777777" w:rsidR="00841C25" w:rsidRPr="008F3942" w:rsidRDefault="00841C25" w:rsidP="00841C25">
      <w:pPr>
        <w:pStyle w:val="Bullet1G"/>
        <w:numPr>
          <w:ilvl w:val="0"/>
          <w:numId w:val="22"/>
        </w:numPr>
      </w:pPr>
      <w:r>
        <w:t xml:space="preserve">Руководящие принципы ОЭСР представляют собой международно признанный комплексный свод стандартов ответственного ведения бизнеса, которые охватывают вопросы, касающиеся раскрытия информации, прав человека, взяточничества и вымогательства, занятости и производственных отношений, окружающей среды, интересов потребителей, науки и техники, конкуренции и </w:t>
      </w:r>
      <w:r>
        <w:lastRenderedPageBreak/>
        <w:t>налогообложения, а также соответствуют разработанным ООН Руководящим принципам предпринимательской деятельности в аспекте прав человека и обеспечивают взаимоусиливающее воздействие.</w:t>
      </w:r>
    </w:p>
    <w:p w14:paraId="68C3A5E1" w14:textId="77777777" w:rsidR="00841C25" w:rsidRPr="008F3942" w:rsidRDefault="00841C25" w:rsidP="00841C25">
      <w:pPr>
        <w:pStyle w:val="H4G"/>
      </w:pPr>
      <w:r>
        <w:tab/>
      </w:r>
      <w:r>
        <w:tab/>
      </w:r>
      <w:r>
        <w:rPr>
          <w:iCs/>
        </w:rPr>
        <w:t>Гражданское общество и неправительственные организации</w:t>
      </w:r>
    </w:p>
    <w:p w14:paraId="34BF8BDF" w14:textId="77777777" w:rsidR="00841C25" w:rsidRPr="008F3942" w:rsidRDefault="00841C25" w:rsidP="00841C25">
      <w:pPr>
        <w:pStyle w:val="SingleTxtG"/>
      </w:pPr>
      <w:r>
        <w:t>162.</w:t>
      </w:r>
      <w:r>
        <w:tab/>
        <w:t xml:space="preserve">НПО предоставляют правительству Австралии важную информацию о проблемах в области прав человека, которые затрагивают людей на низовом уровне, и просвещают общественность о доступных программах и средствах защиты прав человека. Австралия активно стремится привлечь гражданское общество и НПО к подготовке всех докладов по договорам по правам человека и высоко ценит ту роль, которую они играют в обеспечении прозрачности и подотчетности в этом процессе. </w:t>
      </w:r>
    </w:p>
    <w:p w14:paraId="3365A967" w14:textId="77777777" w:rsidR="00841C25" w:rsidRPr="008F3942" w:rsidRDefault="00841C25" w:rsidP="00841C25">
      <w:pPr>
        <w:pStyle w:val="H4G"/>
      </w:pPr>
      <w:r>
        <w:tab/>
      </w:r>
      <w:r>
        <w:tab/>
      </w:r>
      <w:r>
        <w:rPr>
          <w:iCs/>
        </w:rPr>
        <w:t>Учебные заведения</w:t>
      </w:r>
    </w:p>
    <w:p w14:paraId="5E20A185" w14:textId="77777777" w:rsidR="00841C25" w:rsidRPr="008F3942" w:rsidRDefault="00841C25" w:rsidP="00841C25">
      <w:pPr>
        <w:pStyle w:val="SingleTxtG"/>
      </w:pPr>
      <w:r>
        <w:t>163.</w:t>
      </w:r>
      <w:r>
        <w:tab/>
        <w:t>Австралийская учебная программа включает в себя образование в области прав человека через изучение правовой и судебной системы, свобод и обязанностей граждан Австралии, а также роли и обязанностей правительства Австралии на внутреннем и международном уровнях.</w:t>
      </w:r>
    </w:p>
    <w:p w14:paraId="24E141A3" w14:textId="77777777" w:rsidR="00841C25" w:rsidRPr="008F3942" w:rsidRDefault="00841C25" w:rsidP="00841C25">
      <w:pPr>
        <w:pStyle w:val="SingleTxtG"/>
      </w:pPr>
      <w:r>
        <w:t>164.</w:t>
      </w:r>
      <w:r>
        <w:tab/>
        <w:t>Национальный судебный колледж Австралии, Австралазийский институт судебной администрации и организации судей в различных штатах и территориях обеспечивают подготовку работников судебной системы и юристов по вопросам, связанным с работой судебной системы, включая равенство перед законом. Юристы в каждом штате и территории обязаны ежегодно проходить юридическую подготовку, включая обязательное обучение по вопросам юридической этики, а сотрудники правоохранительных органов проходят обучение и подготовку по вопросам, касающимся разнообразия.</w:t>
      </w:r>
    </w:p>
    <w:p w14:paraId="709FC747" w14:textId="77777777" w:rsidR="00841C25" w:rsidRPr="008F3942" w:rsidRDefault="00841C25" w:rsidP="00841C25">
      <w:pPr>
        <w:pStyle w:val="H4G"/>
      </w:pPr>
      <w:r>
        <w:tab/>
      </w:r>
      <w:r>
        <w:tab/>
      </w:r>
      <w:r>
        <w:rPr>
          <w:iCs/>
        </w:rPr>
        <w:t>Распространение договоров по правам человека.</w:t>
      </w:r>
    </w:p>
    <w:p w14:paraId="3CACF06B" w14:textId="77777777" w:rsidR="00841C25" w:rsidRPr="008F3942" w:rsidRDefault="00841C25" w:rsidP="00841C25">
      <w:pPr>
        <w:pStyle w:val="SingleTxtG"/>
      </w:pPr>
      <w:r>
        <w:t>165.</w:t>
      </w:r>
      <w:r>
        <w:tab/>
        <w:t xml:space="preserve">МИДТ ведет базу данных австралийских договоров </w:t>
      </w:r>
      <w:r w:rsidRPr="00B02882">
        <w:t>—</w:t>
      </w:r>
      <w:r>
        <w:t xml:space="preserve"> онлайновый ресурс для поиска договоров, которые Австралия подписала или по которым она предприняла другие действия в рамках договора.</w:t>
      </w:r>
    </w:p>
    <w:p w14:paraId="51901C00" w14:textId="77777777" w:rsidR="00841C25" w:rsidRPr="008F3942" w:rsidRDefault="00841C25" w:rsidP="00841C25">
      <w:pPr>
        <w:pStyle w:val="SingleTxtG"/>
      </w:pPr>
      <w:r>
        <w:t>166.</w:t>
      </w:r>
      <w:r>
        <w:tab/>
        <w:t>На веб-сайте МИДТ можно найти обширную информацию о правах человека и антидискриминационном законодательстве, в том числе информацию, разработанную для молодых австралийцев, ресурсы для аборигенов и жителей островов Торресова пролива, а также информацию о подаче жалоб, касающихся несоблюдения прав человека, на 24 разных языках.</w:t>
      </w:r>
    </w:p>
    <w:p w14:paraId="208F11C1" w14:textId="0A21DCAD" w:rsidR="00841C25" w:rsidRPr="008F3942" w:rsidRDefault="005F6C50" w:rsidP="00841C25">
      <w:pPr>
        <w:pStyle w:val="H23G"/>
      </w:pPr>
      <w:r>
        <w:tab/>
      </w:r>
      <w:r w:rsidR="00841C25">
        <w:t>2.</w:t>
      </w:r>
      <w:r w:rsidR="00841C25">
        <w:tab/>
      </w:r>
      <w:r w:rsidR="00841C25">
        <w:rPr>
          <w:bCs/>
        </w:rPr>
        <w:t>Поощрение прав человека на международном уровне</w:t>
      </w:r>
    </w:p>
    <w:p w14:paraId="2BA8E637" w14:textId="77777777" w:rsidR="00841C25" w:rsidRPr="008F3942" w:rsidRDefault="00841C25" w:rsidP="00841C25">
      <w:pPr>
        <w:pStyle w:val="SingleTxtG"/>
      </w:pPr>
      <w:r>
        <w:t>167.</w:t>
      </w:r>
      <w:r>
        <w:tab/>
        <w:t>Права человека являются неотъемлемой частью общего подхода Австралии к внешней политике, поскольку обращение с людьми само по себе является для австралийцев насущным вопросом и поскольку поощрение и защита прав человека лежат в основе более широких интересов Австралии в сфере безопасности и экономики.</w:t>
      </w:r>
    </w:p>
    <w:p w14:paraId="0994A24D" w14:textId="77777777" w:rsidR="00841C25" w:rsidRPr="008F3942" w:rsidRDefault="00841C25" w:rsidP="00841C25">
      <w:pPr>
        <w:pStyle w:val="SingleTxtG"/>
      </w:pPr>
      <w:r>
        <w:t>168.</w:t>
      </w:r>
      <w:r>
        <w:tab/>
        <w:t>Политика Австралии в области прав человека в значительной мере направлена на достижение практических результатов, обеспечивающих права отдельных лиц. Австралийское правительство считает, что конструктивное участие в сочетании с технической помощью, наращиванием потенциала и развитием институтов, защищающих права человека, является наиболее эффективным способом отстаивания этих прав.</w:t>
      </w:r>
    </w:p>
    <w:p w14:paraId="2623210B" w14:textId="77777777" w:rsidR="00841C25" w:rsidRPr="008F3942" w:rsidRDefault="00841C25" w:rsidP="00841C25">
      <w:pPr>
        <w:pStyle w:val="H4G"/>
      </w:pPr>
      <w:r>
        <w:tab/>
      </w:r>
      <w:r>
        <w:tab/>
      </w:r>
      <w:r>
        <w:rPr>
          <w:iCs/>
        </w:rPr>
        <w:t>Международное участие и сотрудничество</w:t>
      </w:r>
    </w:p>
    <w:p w14:paraId="2CB757E6" w14:textId="4C6D179E" w:rsidR="00841C25" w:rsidRPr="008F3942" w:rsidRDefault="00841C25" w:rsidP="00841C25">
      <w:pPr>
        <w:pStyle w:val="SingleTxtG"/>
      </w:pPr>
      <w:r>
        <w:t>169.</w:t>
      </w:r>
      <w:r>
        <w:tab/>
        <w:t>Австралия уже давно является активным, готовым к сотрудничеству и приверженным практическим действиям защитником прав человека на международной арене, и она играла важную роль в разработке многих основных договоров по правам человека, которые существуют сегодня. Австралия была впервые избрана в Совет ООН по правам человека на период 2018</w:t>
      </w:r>
      <w:r w:rsidR="005F6C50">
        <w:t>–</w:t>
      </w:r>
      <w:r>
        <w:t xml:space="preserve">2020 годов. Поддержка </w:t>
      </w:r>
      <w:r>
        <w:lastRenderedPageBreak/>
        <w:t xml:space="preserve">кандидатуры Австралии основывалась не ее приверженности пяти основным принципам: гендерное равенство, благое управление, свобода выражения мнений, права коренных народов, а также эффективные национальные правозащитные учреждения и наращивание потенциала. </w:t>
      </w:r>
    </w:p>
    <w:p w14:paraId="10B3CF2D" w14:textId="2532C332" w:rsidR="00841C25" w:rsidRPr="008F3942" w:rsidRDefault="00841C25" w:rsidP="00841C25">
      <w:pPr>
        <w:pStyle w:val="SingleTxtG"/>
      </w:pPr>
      <w:r>
        <w:t>170.</w:t>
      </w:r>
      <w:r>
        <w:tab/>
        <w:t>Австралия активно участвует в процессе универсального периодического обзора (УПО) Совета по правам человека, в рамках которого каждые пять лет проводится обзор положения дел в области прав человека во всех государствах</w:t>
      </w:r>
      <w:r w:rsidR="005D6745">
        <w:t xml:space="preserve"> — </w:t>
      </w:r>
      <w:r>
        <w:t>членах ООН. Третий национальный доклад Австралии в рамках УПО был представлен в ООН в 2021 году; в нем содержатся ответы на рекомендации, полученные Австралией в ходе второго цикла УПО в 2015 году.</w:t>
      </w:r>
    </w:p>
    <w:p w14:paraId="5D1FA2CD" w14:textId="77777777" w:rsidR="00841C25" w:rsidRPr="008F3942" w:rsidRDefault="00841C25" w:rsidP="00841C25">
      <w:pPr>
        <w:pStyle w:val="SingleTxtG"/>
      </w:pPr>
      <w:r>
        <w:t>171.</w:t>
      </w:r>
      <w:r>
        <w:tab/>
        <w:t>В 2023 году Австралия назначила первого представителя по вопросам прав человека с целью укрепления лидирующих позиций Австралии в области прав человека на международной арене. Создание этой должности соответствует стремлению Австралии использовать все имеющиеся в нашем распоряжении стратегии для защиты прав человека в соответствии с ценностями и интересами Австралии. Это поможет укрепить поддержку Австралией архитектуры ООН в области прав человека и международного права.</w:t>
      </w:r>
    </w:p>
    <w:p w14:paraId="21B567D1" w14:textId="77777777" w:rsidR="00841C25" w:rsidRPr="008F3942" w:rsidRDefault="00841C25" w:rsidP="00841C25">
      <w:pPr>
        <w:pStyle w:val="SingleTxtG"/>
      </w:pPr>
      <w:r>
        <w:t>172.</w:t>
      </w:r>
      <w:r>
        <w:tab/>
        <w:t>Первый в мире представитель Австралии по делам коренных народов будет способствовать учету интересов коренных народов во внешней политике и дипломатии Австралии, а также продвижению прав коренных народов во всем мире. Представитель по вопросам гендерного равенства является ведущей фигурой, выступающей в поддержку деятельности Австралии в области обеспечения гендерного равенства и прав человека женщин и девочек. Австралия активизировала свою деятельность по защите прав человека и борьбе с современным рабством, которая осуществляется под руководством специального представителя по вопросам борьбы с современным рабством, незаконным провозом людей и торговлей людьми.</w:t>
      </w:r>
    </w:p>
    <w:p w14:paraId="475C927E" w14:textId="77777777" w:rsidR="00841C25" w:rsidRPr="008F3942" w:rsidRDefault="00841C25" w:rsidP="00841C25">
      <w:pPr>
        <w:pStyle w:val="SingleTxtG"/>
      </w:pPr>
      <w:r>
        <w:t>173.</w:t>
      </w:r>
      <w:r>
        <w:tab/>
        <w:t>Австралия уважает многостороннее сотрудничество как эффективный инструмент защиты и поощрения прав человека во всем мире. Австралия продолжает конструктивный обмен мнениями по вопросам прав человека с другими странами в рамках двусторонних диалогов и осуществляет инициативы по наращиванию потенциала, которые способствуют долгосрочным ощутимым улучшениям в области прав человека. Австралия ведет официальные диалоги по вопросам прав человека с Вьетнамом и Лаосом и продолжает обсуждать с правительствами других стран конкретные случаи, вызывающие озабоченность, и тематические проблемы.</w:t>
      </w:r>
    </w:p>
    <w:p w14:paraId="456CD63F" w14:textId="77777777" w:rsidR="00841C25" w:rsidRPr="008F3942" w:rsidRDefault="00841C25" w:rsidP="00841C25">
      <w:pPr>
        <w:pStyle w:val="SingleTxtG"/>
      </w:pPr>
      <w:r>
        <w:t>174.</w:t>
      </w:r>
      <w:r>
        <w:tab/>
        <w:t>Обязательства Австралии в области прав человека закреплены в правовых положениях, которые регулируют оказание помощи в сотрудничестве по борьбе с преступностью другим странам, включая помощь между полициями разных стран, помощь между другими ведомствами, помощь в вопросах выдачи и взаимную правовую помощь.</w:t>
      </w:r>
    </w:p>
    <w:p w14:paraId="7B640CFE" w14:textId="77777777" w:rsidR="00841C25" w:rsidRPr="008F3942" w:rsidRDefault="00841C25" w:rsidP="00841C25">
      <w:pPr>
        <w:pStyle w:val="SingleTxtG"/>
      </w:pPr>
      <w:r>
        <w:t>175.</w:t>
      </w:r>
      <w:r>
        <w:tab/>
        <w:t>Федеральная полиция Австралии (ФПА) следует руководящим принципам оказания помощи другим странам на уровне полиции в отношении дел, связанных со смертной казнью. Эти руководящие принципы разработаны с учетом различных обстоятельств, в которых может быть оказана помощь. В частности, они ограничивают возможности ФПА по оказанию помощи в тех случаях, когда обвинения были выдвинуты в другой стране и совершенные преступления караются смертной казнью, за исключением случаев, когда Генеральный прокурор, принимая во внимание все обстоятельства того или иного дела, дает согласие на оказание помощи. Помощь на уровне полиции не предполагает применения мер принуждения от имени иностранного государства.</w:t>
      </w:r>
    </w:p>
    <w:p w14:paraId="485371DF" w14:textId="2777123C" w:rsidR="00841C25" w:rsidRPr="008F3942" w:rsidRDefault="00841C25" w:rsidP="00841C25">
      <w:pPr>
        <w:pStyle w:val="SingleTxtG"/>
      </w:pPr>
      <w:r>
        <w:t>176.</w:t>
      </w:r>
      <w:r>
        <w:tab/>
        <w:t xml:space="preserve">Выдача является процедурой, в соответствии с которой одна страна задерживает и отправляет лицо в другую страну для уголовного преследования, назначения или отбывания тюремного наказания. Режим выдачи в Австралии регулируется Законом о выдаче 1988 года (Закон о выдаче), который содержит ряд основных положений о защите прав человека и гарантий их соблюдения. Например, Закон о выдаче предусматривает, что соответствующее лицо может быть выдано в связи с преступлением, караемым смертной казнью, только в том случае, если </w:t>
      </w:r>
      <w:r>
        <w:lastRenderedPageBreak/>
        <w:t>запрашивающая страна предоставит обязательство, что это лицо не будет судимо за данное преступление; или если его будут судить за это преступление, то смертный приговор не будет вынесен; или, если он будет вынесен, он не будет приведен в исполнение. Закон о выдаче также содержит гарантии, соответствующие международным обязательствам Австралии, включая императивные основания для отказа в тех случаях, когда, в частности, есть серьезные основания полагать, что в случае выдачи лицу будет угрожать опасность подвергнуться пыткам, когда запрос был сделан с целью проведения в отношении него дискриминации по признакам, на основании которых дискриминация запрещена (включая расу, пол, сексуальную ориентацию, религию, национальность и политические взгляды), или в случае риска дважды понести уголовную ответственность за одно и то же преступление.</w:t>
      </w:r>
    </w:p>
    <w:p w14:paraId="44444CC1" w14:textId="77777777" w:rsidR="00841C25" w:rsidRPr="008F3942" w:rsidRDefault="00841C25" w:rsidP="00841C25">
      <w:pPr>
        <w:pStyle w:val="SingleTxtG"/>
      </w:pPr>
      <w:r>
        <w:t>177.</w:t>
      </w:r>
      <w:r>
        <w:tab/>
        <w:t>Взаимная помощь — это формальный процесс, используемый странами для получения межгосударственной помощи в уголовных расследованиях и судебном преследовании, а также для возврата доходов, полученных преступным путем. Процесс оказания взаимной помощи необходим в тех случаях, когда поступающий запрос предполагает использование принудительных мер от имени иностранного государства. Закон Австралии о взаимной помощи в области уголовного правосудия 1987 года (Закон о взаимной помощи) предусматривает ряд основных мер защиты и гарантий прав человека. Например, в тех случаях, когда иностранное государство запрашивает помощь в расследовании преступления, за которое предусмотрена смертная казнь, законодательство Австралии предусматривает дискреционное право отказать в предоставлении такой помощи. В тех случаях, когда иностранное государство запрашивает помощь, связанную с расследованием, судебным преследованием или наказанием лица, арестованного или содержащегося под стражей по подозрению, обвинению или приговору за преступление, за совершение которого предусмотрена смертная казнь, Закон о взаимной помощи предусматривает, что запрос должен быть отклонен, за исключением случаев, когда Генеральный прокурор, учитывая особые обстоятельства дела, считает, что помощь должна быть оказана (например, когда доказательства помогут защите или когда было предоставлено обязательство о невынесении смертного приговора).</w:t>
      </w:r>
    </w:p>
    <w:p w14:paraId="0B4172AA" w14:textId="77777777" w:rsidR="00841C25" w:rsidRPr="008F3942" w:rsidRDefault="00841C25" w:rsidP="00841C25">
      <w:pPr>
        <w:pStyle w:val="SingleTxtG"/>
      </w:pPr>
      <w:r>
        <w:t>178.</w:t>
      </w:r>
      <w:r>
        <w:tab/>
        <w:t>Другие примеры гарантий, предусмотренных в Законе о взаимной помощи, включают императивные основания для отказа в тех случаях, когда есть серьезные основания полагать, что соответствующему лицу будет угрожать опасность подвергнуться пыткам, или в тех случаях, когда запрос был сделан с целью проведения в отношении него дискриминации по признакам, на основании которых дискриминация запрещена (включая расу, пол, сексуальную ориентацию, религию, национальность и политические взгляды).</w:t>
      </w:r>
    </w:p>
    <w:p w14:paraId="68D8A278" w14:textId="77777777" w:rsidR="00841C25" w:rsidRPr="008F3942" w:rsidRDefault="00841C25" w:rsidP="00841C25">
      <w:pPr>
        <w:pStyle w:val="H4G"/>
      </w:pPr>
      <w:r>
        <w:tab/>
      </w:r>
      <w:r>
        <w:tab/>
      </w:r>
      <w:r>
        <w:rPr>
          <w:iCs/>
        </w:rPr>
        <w:t>Международная помощь</w:t>
      </w:r>
    </w:p>
    <w:p w14:paraId="59DDD712" w14:textId="3011B8A2" w:rsidR="00841C25" w:rsidRPr="008F3942" w:rsidRDefault="00841C25" w:rsidP="00841C25">
      <w:pPr>
        <w:pStyle w:val="SingleTxtG"/>
      </w:pPr>
      <w:r>
        <w:t>179.</w:t>
      </w:r>
      <w:r>
        <w:tab/>
        <w:t>Программа развития Австралии способствует продвижению прав человека, поскольку она направлена на сокращение бедности и устойчивое развитие через эффективное партнерство с развивающимися странами. Планы партнерства в области развития разрабатываются совместно со всеми основными странами-партнерами и формируют основу оказываемой нами помощи. В 2023</w:t>
      </w:r>
      <w:r w:rsidR="004F59E4">
        <w:t>/</w:t>
      </w:r>
      <w:r>
        <w:t>24 году Австралия планирует выделить 4,768 млрд долл. на официальную помощь в целях развития, что составляет примерно 0,19 процента от ВНД и 0,70 процента от государственных расходов Австралии в 2023</w:t>
      </w:r>
      <w:r w:rsidR="004F59E4">
        <w:t>/</w:t>
      </w:r>
      <w:r>
        <w:t>24</w:t>
      </w:r>
      <w:r w:rsidR="00E0204C">
        <w:t xml:space="preserve"> </w:t>
      </w:r>
      <w:r>
        <w:t>году</w:t>
      </w:r>
      <w:r w:rsidRPr="00E0204C">
        <w:rPr>
          <w:rStyle w:val="aa"/>
        </w:rPr>
        <w:footnoteReference w:id="114"/>
      </w:r>
      <w:r>
        <w:t xml:space="preserve">. Более подробная информация о деятельности Австралии в области развития и соответствующем бюджете доступна на веб-сайте </w:t>
      </w:r>
      <w:hyperlink r:id="rId29" w:history="1">
        <w:r w:rsidR="005F6C50" w:rsidRPr="00AC02E3">
          <w:rPr>
            <w:rStyle w:val="af1"/>
          </w:rPr>
          <w:t>https://www.dfat.gov.au/development/australias-development-program</w:t>
        </w:r>
      </w:hyperlink>
      <w:r>
        <w:t>.</w:t>
      </w:r>
      <w:r w:rsidR="005F6C50">
        <w:t xml:space="preserve"> </w:t>
      </w:r>
    </w:p>
    <w:p w14:paraId="2E90A296" w14:textId="418A339B" w:rsidR="00841C25" w:rsidRPr="008F3942" w:rsidRDefault="005F6C50" w:rsidP="00841C25">
      <w:pPr>
        <w:pStyle w:val="H1G"/>
      </w:pPr>
      <w:bookmarkStart w:id="36" w:name="_Toc147326781"/>
      <w:r>
        <w:lastRenderedPageBreak/>
        <w:tab/>
      </w:r>
      <w:r w:rsidR="00841C25">
        <w:t>D.</w:t>
      </w:r>
      <w:r w:rsidR="00841C25">
        <w:tab/>
        <w:t>Процесс представления докладов на национальном уровне</w:t>
      </w:r>
      <w:bookmarkStart w:id="37" w:name="_Toc167980146"/>
      <w:bookmarkEnd w:id="36"/>
      <w:bookmarkEnd w:id="37"/>
    </w:p>
    <w:p w14:paraId="7DBA0E2F" w14:textId="77777777" w:rsidR="00841C25" w:rsidRPr="008F3942" w:rsidRDefault="00841C25" w:rsidP="00841C25">
      <w:pPr>
        <w:pStyle w:val="SingleTxtG"/>
      </w:pPr>
      <w:r>
        <w:t>180.</w:t>
      </w:r>
      <w:r>
        <w:tab/>
        <w:t>Для подготовки всеобъемлющих докладов по договорам ООН по правам человека информация собирается от профильных ведомств восьми юрисдикций Австралии и на федеральном уровне.</w:t>
      </w:r>
    </w:p>
    <w:p w14:paraId="65BF1C08" w14:textId="5C6E710D" w:rsidR="00841C25" w:rsidRPr="00D62FAA" w:rsidRDefault="00841C25" w:rsidP="00841C25">
      <w:pPr>
        <w:pStyle w:val="SingleTxtG"/>
      </w:pPr>
      <w:r>
        <w:t>181.</w:t>
      </w:r>
      <w:r>
        <w:tab/>
        <w:t>В 2016 году был создан постоянный национальный механизм по правам человека при правительстве Австралии для совершенствования отчетности Австралии и взаимодействия с ООН в области прав человека путем улучшения координации между федеральными органами и правительствами штатов и территорий. Он</w:t>
      </w:r>
      <w:r w:rsidR="005F6C50">
        <w:t> </w:t>
      </w:r>
      <w:r>
        <w:t>включает:</w:t>
      </w:r>
    </w:p>
    <w:p w14:paraId="6FA33B97" w14:textId="77777777" w:rsidR="00841C25" w:rsidRPr="008F3942" w:rsidRDefault="00841C25" w:rsidP="00841C25">
      <w:pPr>
        <w:pStyle w:val="Bullet1G"/>
        <w:numPr>
          <w:ilvl w:val="0"/>
          <w:numId w:val="22"/>
        </w:numPr>
      </w:pPr>
      <w:r>
        <w:t>межведомственный комитет правительства Австралии, который обеспечивает скоординированный, последовательный и эффективный подход к представлению докладов по договорам ООН по правам человека;</w:t>
      </w:r>
    </w:p>
    <w:p w14:paraId="64320424" w14:textId="77777777" w:rsidR="00841C25" w:rsidRPr="008F3942" w:rsidRDefault="00841C25" w:rsidP="00841C25">
      <w:pPr>
        <w:pStyle w:val="Bullet1G"/>
        <w:numPr>
          <w:ilvl w:val="0"/>
          <w:numId w:val="22"/>
        </w:numPr>
      </w:pPr>
      <w:r>
        <w:t>постоянный комитет Австралийского Союза, штатов и территорий по международным договорам, состоящий из представителей департаментов премьер-министра или департамента главного министра во всех штатах и территориях, который содействует проведению консультаций и сотрудничеству между правительствами;</w:t>
      </w:r>
    </w:p>
    <w:p w14:paraId="6DD5D5AE" w14:textId="77777777" w:rsidR="00841C25" w:rsidRPr="008F3942" w:rsidRDefault="00841C25" w:rsidP="00841C25">
      <w:pPr>
        <w:pStyle w:val="Bullet1G"/>
        <w:keepNext/>
        <w:numPr>
          <w:ilvl w:val="0"/>
          <w:numId w:val="22"/>
        </w:numPr>
      </w:pPr>
      <w:r>
        <w:t>механизм проведения консультаций с АКПЧ и НПО;</w:t>
      </w:r>
    </w:p>
    <w:p w14:paraId="3F737709" w14:textId="77777777" w:rsidR="00841C25" w:rsidRPr="008F3942" w:rsidRDefault="00841C25" w:rsidP="00841C25">
      <w:pPr>
        <w:pStyle w:val="Bullet1G"/>
        <w:keepNext/>
        <w:numPr>
          <w:ilvl w:val="0"/>
          <w:numId w:val="22"/>
        </w:numPr>
      </w:pPr>
      <w:r>
        <w:t>общедоступную информацию о существующих в Австралии процессах представления докладов по договорам по правам человека</w:t>
      </w:r>
      <w:r w:rsidRPr="00E0204C">
        <w:rPr>
          <w:rStyle w:val="aa"/>
        </w:rPr>
        <w:footnoteReference w:id="115"/>
      </w:r>
      <w:r>
        <w:t>.</w:t>
      </w:r>
    </w:p>
    <w:p w14:paraId="4BAA73CD" w14:textId="77777777" w:rsidR="00841C25" w:rsidRPr="008F3942" w:rsidRDefault="00841C25" w:rsidP="00841C25">
      <w:pPr>
        <w:pStyle w:val="SingleTxtG"/>
      </w:pPr>
      <w:r>
        <w:t>182.</w:t>
      </w:r>
      <w:r>
        <w:tab/>
        <w:t>Благодаря подготовке докладов у каждой юрисдикции появляется возможность оценить меры, принятые ею для обеспечения соблюдения международных обязательств Австралии.</w:t>
      </w:r>
    </w:p>
    <w:p w14:paraId="65297003" w14:textId="77777777" w:rsidR="00841C25" w:rsidRPr="008F3942" w:rsidRDefault="00841C25" w:rsidP="00841C25">
      <w:pPr>
        <w:pStyle w:val="SingleTxtG"/>
        <w:spacing w:after="240"/>
      </w:pPr>
      <w:r>
        <w:t>183.</w:t>
      </w:r>
      <w:r>
        <w:tab/>
        <w:t>Ответственность за подготовку докладов распределена между тремя различными учреждениями, как показано ниже.</w:t>
      </w:r>
    </w:p>
    <w:tbl>
      <w:tblPr>
        <w:tblW w:w="7370" w:type="dxa"/>
        <w:tblInd w:w="1134" w:type="dxa"/>
        <w:tblLayout w:type="fixed"/>
        <w:tblCellMar>
          <w:left w:w="0" w:type="dxa"/>
          <w:right w:w="0" w:type="dxa"/>
        </w:tblCellMar>
        <w:tblLook w:val="01E0" w:firstRow="1" w:lastRow="1" w:firstColumn="1" w:lastColumn="1" w:noHBand="0" w:noVBand="0"/>
      </w:tblPr>
      <w:tblGrid>
        <w:gridCol w:w="4364"/>
        <w:gridCol w:w="3006"/>
      </w:tblGrid>
      <w:tr w:rsidR="00841C25" w:rsidRPr="005F6C50" w14:paraId="6205679A" w14:textId="77777777" w:rsidTr="005F6C50">
        <w:trPr>
          <w:tblHeader/>
        </w:trPr>
        <w:tc>
          <w:tcPr>
            <w:tcW w:w="4364" w:type="dxa"/>
            <w:tcBorders>
              <w:top w:val="single" w:sz="4" w:space="0" w:color="auto"/>
              <w:bottom w:val="single" w:sz="12" w:space="0" w:color="auto"/>
            </w:tcBorders>
            <w:shd w:val="clear" w:color="auto" w:fill="auto"/>
            <w:vAlign w:val="bottom"/>
          </w:tcPr>
          <w:p w14:paraId="01BB1C8D" w14:textId="77777777" w:rsidR="00841C25" w:rsidRPr="005F6C50" w:rsidRDefault="00841C25" w:rsidP="005F6C50">
            <w:pPr>
              <w:spacing w:before="80" w:after="80" w:line="200" w:lineRule="exact"/>
              <w:ind w:left="28" w:right="113"/>
              <w:rPr>
                <w:rFonts w:cs="Times New Roman"/>
                <w:i/>
                <w:sz w:val="16"/>
              </w:rPr>
            </w:pPr>
            <w:r w:rsidRPr="005F6C50">
              <w:rPr>
                <w:rFonts w:cs="Times New Roman"/>
                <w:i/>
                <w:sz w:val="16"/>
              </w:rPr>
              <w:t>Договор</w:t>
            </w:r>
          </w:p>
        </w:tc>
        <w:tc>
          <w:tcPr>
            <w:tcW w:w="3006" w:type="dxa"/>
            <w:tcBorders>
              <w:top w:val="single" w:sz="4" w:space="0" w:color="auto"/>
              <w:bottom w:val="single" w:sz="12" w:space="0" w:color="auto"/>
            </w:tcBorders>
            <w:shd w:val="clear" w:color="auto" w:fill="auto"/>
            <w:vAlign w:val="bottom"/>
          </w:tcPr>
          <w:p w14:paraId="02431190" w14:textId="77777777" w:rsidR="00841C25" w:rsidRPr="005F6C50" w:rsidRDefault="00841C25" w:rsidP="005F6C50">
            <w:pPr>
              <w:spacing w:before="80" w:after="80" w:line="200" w:lineRule="exact"/>
              <w:ind w:left="28" w:right="113"/>
              <w:rPr>
                <w:rFonts w:cs="Times New Roman"/>
                <w:i/>
                <w:sz w:val="16"/>
              </w:rPr>
            </w:pPr>
            <w:r w:rsidRPr="005F6C50">
              <w:rPr>
                <w:rFonts w:cs="Times New Roman"/>
                <w:i/>
                <w:sz w:val="16"/>
              </w:rPr>
              <w:t>Ответственное учреждение</w:t>
            </w:r>
          </w:p>
        </w:tc>
      </w:tr>
      <w:tr w:rsidR="005F6C50" w:rsidRPr="005F6C50" w14:paraId="52DA3CB1" w14:textId="77777777" w:rsidTr="005F6C50">
        <w:trPr>
          <w:trHeight w:hRule="exact" w:val="113"/>
          <w:tblHeader/>
        </w:trPr>
        <w:tc>
          <w:tcPr>
            <w:tcW w:w="4364" w:type="dxa"/>
            <w:tcBorders>
              <w:top w:val="single" w:sz="12" w:space="0" w:color="auto"/>
            </w:tcBorders>
            <w:shd w:val="clear" w:color="auto" w:fill="auto"/>
          </w:tcPr>
          <w:p w14:paraId="02D45426" w14:textId="77777777" w:rsidR="005F6C50" w:rsidRPr="005F6C50" w:rsidRDefault="005F6C50" w:rsidP="005F6C50">
            <w:pPr>
              <w:spacing w:before="40" w:after="120"/>
              <w:ind w:left="28" w:right="113"/>
              <w:rPr>
                <w:rFonts w:cs="Times New Roman"/>
              </w:rPr>
            </w:pPr>
          </w:p>
        </w:tc>
        <w:tc>
          <w:tcPr>
            <w:tcW w:w="3006" w:type="dxa"/>
            <w:tcBorders>
              <w:top w:val="single" w:sz="12" w:space="0" w:color="auto"/>
            </w:tcBorders>
            <w:shd w:val="clear" w:color="auto" w:fill="auto"/>
          </w:tcPr>
          <w:p w14:paraId="26ACEBAE" w14:textId="77777777" w:rsidR="005F6C50" w:rsidRPr="005F6C50" w:rsidRDefault="005F6C50" w:rsidP="005F6C50">
            <w:pPr>
              <w:spacing w:before="40" w:after="120"/>
              <w:ind w:left="28" w:right="113"/>
              <w:rPr>
                <w:rFonts w:cs="Times New Roman"/>
              </w:rPr>
            </w:pPr>
          </w:p>
        </w:tc>
      </w:tr>
      <w:tr w:rsidR="00841C25" w:rsidRPr="005F6C50" w14:paraId="20CB2481" w14:textId="77777777" w:rsidTr="005F6C50">
        <w:tc>
          <w:tcPr>
            <w:tcW w:w="4364" w:type="dxa"/>
            <w:shd w:val="clear" w:color="auto" w:fill="auto"/>
          </w:tcPr>
          <w:p w14:paraId="3014120D" w14:textId="77777777" w:rsidR="00841C25" w:rsidRPr="005F6C50" w:rsidRDefault="00841C25" w:rsidP="005F6C50">
            <w:pPr>
              <w:spacing w:before="40" w:after="120"/>
              <w:ind w:left="28" w:right="113"/>
              <w:rPr>
                <w:rFonts w:cs="Times New Roman"/>
              </w:rPr>
            </w:pPr>
            <w:r w:rsidRPr="005F6C50">
              <w:rPr>
                <w:rFonts w:cs="Times New Roman"/>
              </w:rPr>
              <w:t>Международный пакт о гражданских и политических правах</w:t>
            </w:r>
          </w:p>
        </w:tc>
        <w:tc>
          <w:tcPr>
            <w:tcW w:w="3006" w:type="dxa"/>
            <w:shd w:val="clear" w:color="auto" w:fill="auto"/>
          </w:tcPr>
          <w:p w14:paraId="0D055644" w14:textId="77777777" w:rsidR="00841C25" w:rsidRPr="005F6C50" w:rsidRDefault="00841C25" w:rsidP="005F6C50">
            <w:pPr>
              <w:spacing w:before="40" w:after="120"/>
              <w:ind w:left="28" w:right="113"/>
              <w:rPr>
                <w:rFonts w:cs="Times New Roman"/>
              </w:rPr>
            </w:pPr>
            <w:r w:rsidRPr="005F6C50">
              <w:rPr>
                <w:rFonts w:cs="Times New Roman"/>
              </w:rPr>
              <w:t xml:space="preserve">департамент Генерального прокурора </w:t>
            </w:r>
          </w:p>
        </w:tc>
      </w:tr>
      <w:tr w:rsidR="00841C25" w:rsidRPr="005F6C50" w14:paraId="67008CC8" w14:textId="77777777" w:rsidTr="005F6C50">
        <w:tc>
          <w:tcPr>
            <w:tcW w:w="4364" w:type="dxa"/>
            <w:shd w:val="clear" w:color="auto" w:fill="auto"/>
          </w:tcPr>
          <w:p w14:paraId="2C442C60" w14:textId="77777777" w:rsidR="00841C25" w:rsidRPr="005F6C50" w:rsidRDefault="00841C25" w:rsidP="005F6C50">
            <w:pPr>
              <w:spacing w:before="40" w:after="120"/>
              <w:ind w:left="28" w:right="113"/>
              <w:rPr>
                <w:rFonts w:cs="Times New Roman"/>
              </w:rPr>
            </w:pPr>
            <w:r w:rsidRPr="005F6C50">
              <w:rPr>
                <w:rFonts w:cs="Times New Roman"/>
              </w:rPr>
              <w:t>Международный пакт об экономических, социальных и культурных правах</w:t>
            </w:r>
          </w:p>
        </w:tc>
        <w:tc>
          <w:tcPr>
            <w:tcW w:w="3006" w:type="dxa"/>
            <w:shd w:val="clear" w:color="auto" w:fill="auto"/>
          </w:tcPr>
          <w:p w14:paraId="4E672B9A" w14:textId="77777777" w:rsidR="00841C25" w:rsidRPr="005F6C50" w:rsidRDefault="00841C25" w:rsidP="005F6C50">
            <w:pPr>
              <w:spacing w:before="40" w:after="120"/>
              <w:ind w:left="28" w:right="113"/>
              <w:rPr>
                <w:rFonts w:cs="Times New Roman"/>
              </w:rPr>
            </w:pPr>
            <w:r w:rsidRPr="005F6C50">
              <w:rPr>
                <w:rFonts w:cs="Times New Roman"/>
              </w:rPr>
              <w:t>Министерство иностранных дел и торговли</w:t>
            </w:r>
          </w:p>
        </w:tc>
      </w:tr>
      <w:tr w:rsidR="00841C25" w:rsidRPr="005F6C50" w14:paraId="3CD80387" w14:textId="77777777" w:rsidTr="005F6C50">
        <w:tc>
          <w:tcPr>
            <w:tcW w:w="4364" w:type="dxa"/>
            <w:shd w:val="clear" w:color="auto" w:fill="auto"/>
          </w:tcPr>
          <w:p w14:paraId="1B25CCB2" w14:textId="77777777" w:rsidR="00841C25" w:rsidRPr="005F6C50" w:rsidRDefault="00841C25" w:rsidP="005F6C50">
            <w:pPr>
              <w:spacing w:before="40" w:after="120"/>
              <w:ind w:left="28" w:right="113"/>
              <w:rPr>
                <w:rFonts w:cs="Times New Roman"/>
              </w:rPr>
            </w:pPr>
            <w:r w:rsidRPr="005F6C50">
              <w:rPr>
                <w:rFonts w:cs="Times New Roman"/>
              </w:rPr>
              <w:t>Конвенция о ликвидации всех форм расовой дискриминации</w:t>
            </w:r>
          </w:p>
        </w:tc>
        <w:tc>
          <w:tcPr>
            <w:tcW w:w="3006" w:type="dxa"/>
            <w:shd w:val="clear" w:color="auto" w:fill="auto"/>
          </w:tcPr>
          <w:p w14:paraId="142A7BB1" w14:textId="77777777" w:rsidR="00841C25" w:rsidRPr="005F6C50" w:rsidRDefault="00841C25" w:rsidP="005F6C50">
            <w:pPr>
              <w:spacing w:before="40" w:after="120"/>
              <w:ind w:left="28" w:right="113"/>
              <w:rPr>
                <w:rFonts w:cs="Times New Roman"/>
              </w:rPr>
            </w:pPr>
            <w:r w:rsidRPr="005F6C50">
              <w:rPr>
                <w:rFonts w:cs="Times New Roman"/>
              </w:rPr>
              <w:t>Министерство иностранных дел и торговли</w:t>
            </w:r>
          </w:p>
        </w:tc>
      </w:tr>
      <w:tr w:rsidR="00841C25" w:rsidRPr="005F6C50" w14:paraId="7DB117DF" w14:textId="77777777" w:rsidTr="005F6C50">
        <w:tc>
          <w:tcPr>
            <w:tcW w:w="4364" w:type="dxa"/>
            <w:shd w:val="clear" w:color="auto" w:fill="auto"/>
          </w:tcPr>
          <w:p w14:paraId="460C1DCC" w14:textId="77777777" w:rsidR="00841C25" w:rsidRPr="005F6C50" w:rsidRDefault="00841C25" w:rsidP="005F6C50">
            <w:pPr>
              <w:spacing w:before="40" w:after="120"/>
              <w:ind w:left="28" w:right="113"/>
              <w:rPr>
                <w:rFonts w:cs="Times New Roman"/>
              </w:rPr>
            </w:pPr>
            <w:r w:rsidRPr="005F6C50">
              <w:rPr>
                <w:rFonts w:cs="Times New Roman"/>
              </w:rPr>
              <w:t>Конвенция о ликвидации всех форм дискриминации в отношении женщин</w:t>
            </w:r>
          </w:p>
        </w:tc>
        <w:tc>
          <w:tcPr>
            <w:tcW w:w="3006" w:type="dxa"/>
            <w:shd w:val="clear" w:color="auto" w:fill="auto"/>
          </w:tcPr>
          <w:p w14:paraId="59DFE716" w14:textId="77777777" w:rsidR="00841C25" w:rsidRPr="005F6C50" w:rsidRDefault="00841C25" w:rsidP="005F6C50">
            <w:pPr>
              <w:spacing w:before="40" w:after="120"/>
              <w:ind w:left="28" w:right="113"/>
              <w:rPr>
                <w:rFonts w:cs="Times New Roman"/>
              </w:rPr>
            </w:pPr>
            <w:r w:rsidRPr="005F6C50">
              <w:rPr>
                <w:rFonts w:cs="Times New Roman"/>
              </w:rPr>
              <w:t>департамент премьер-министра и кабинета министров (бюро по делам женщин)</w:t>
            </w:r>
          </w:p>
        </w:tc>
      </w:tr>
      <w:tr w:rsidR="00841C25" w:rsidRPr="005F6C50" w14:paraId="315D6AD2" w14:textId="77777777" w:rsidTr="005F6C50">
        <w:tc>
          <w:tcPr>
            <w:tcW w:w="4364" w:type="dxa"/>
            <w:shd w:val="clear" w:color="auto" w:fill="auto"/>
          </w:tcPr>
          <w:p w14:paraId="0DEDC0E6" w14:textId="77777777" w:rsidR="00841C25" w:rsidRPr="005F6C50" w:rsidRDefault="00841C25" w:rsidP="005F6C50">
            <w:pPr>
              <w:spacing w:before="40" w:after="120"/>
              <w:ind w:left="28" w:right="113"/>
              <w:rPr>
                <w:rFonts w:cs="Times New Roman"/>
              </w:rPr>
            </w:pPr>
            <w:r w:rsidRPr="005F6C50">
              <w:rPr>
                <w:rFonts w:cs="Times New Roman"/>
              </w:rPr>
              <w:t>Конвенция против пыток и других жестоких, бесчеловечных или унижающих достоинство видов обращения и наказания</w:t>
            </w:r>
          </w:p>
        </w:tc>
        <w:tc>
          <w:tcPr>
            <w:tcW w:w="3006" w:type="dxa"/>
            <w:shd w:val="clear" w:color="auto" w:fill="auto"/>
          </w:tcPr>
          <w:p w14:paraId="750DE6D5" w14:textId="77777777" w:rsidR="00841C25" w:rsidRPr="005F6C50" w:rsidRDefault="00841C25" w:rsidP="005F6C50">
            <w:pPr>
              <w:spacing w:before="40" w:after="120"/>
              <w:ind w:left="28" w:right="113"/>
              <w:rPr>
                <w:rFonts w:cs="Times New Roman"/>
              </w:rPr>
            </w:pPr>
            <w:r w:rsidRPr="005F6C50">
              <w:rPr>
                <w:rFonts w:cs="Times New Roman"/>
              </w:rPr>
              <w:t>департамент Генерального прокурора</w:t>
            </w:r>
          </w:p>
        </w:tc>
      </w:tr>
      <w:tr w:rsidR="00841C25" w:rsidRPr="005F6C50" w14:paraId="589F1F58" w14:textId="77777777" w:rsidTr="005F6C50">
        <w:tc>
          <w:tcPr>
            <w:tcW w:w="4364" w:type="dxa"/>
            <w:shd w:val="clear" w:color="auto" w:fill="auto"/>
          </w:tcPr>
          <w:p w14:paraId="67D7D46D" w14:textId="77777777" w:rsidR="00841C25" w:rsidRPr="005F6C50" w:rsidRDefault="00841C25" w:rsidP="005F6C50">
            <w:pPr>
              <w:spacing w:before="40" w:after="120"/>
              <w:ind w:left="28" w:right="113"/>
              <w:rPr>
                <w:rFonts w:cs="Times New Roman"/>
              </w:rPr>
            </w:pPr>
            <w:r w:rsidRPr="005F6C50">
              <w:rPr>
                <w:rFonts w:cs="Times New Roman"/>
              </w:rPr>
              <w:t>Конвенция о правах ребенка</w:t>
            </w:r>
          </w:p>
        </w:tc>
        <w:tc>
          <w:tcPr>
            <w:tcW w:w="3006" w:type="dxa"/>
            <w:shd w:val="clear" w:color="auto" w:fill="auto"/>
          </w:tcPr>
          <w:p w14:paraId="5DFD4724" w14:textId="77777777" w:rsidR="00841C25" w:rsidRPr="005F6C50" w:rsidRDefault="00841C25" w:rsidP="005F6C50">
            <w:pPr>
              <w:spacing w:before="40" w:after="120"/>
              <w:ind w:left="28" w:right="113"/>
              <w:rPr>
                <w:rFonts w:cs="Times New Roman"/>
              </w:rPr>
            </w:pPr>
            <w:r w:rsidRPr="005F6C50">
              <w:rPr>
                <w:rFonts w:cs="Times New Roman"/>
              </w:rPr>
              <w:t>департамент Генерального прокурора</w:t>
            </w:r>
          </w:p>
        </w:tc>
      </w:tr>
      <w:tr w:rsidR="00841C25" w:rsidRPr="005F6C50" w14:paraId="30FA9F42" w14:textId="77777777" w:rsidTr="005F6C50">
        <w:tc>
          <w:tcPr>
            <w:tcW w:w="4364" w:type="dxa"/>
            <w:tcBorders>
              <w:bottom w:val="single" w:sz="12" w:space="0" w:color="auto"/>
            </w:tcBorders>
            <w:shd w:val="clear" w:color="auto" w:fill="auto"/>
          </w:tcPr>
          <w:p w14:paraId="6B82690E" w14:textId="77777777" w:rsidR="00841C25" w:rsidRPr="005F6C50" w:rsidRDefault="00841C25" w:rsidP="005F6C50">
            <w:pPr>
              <w:spacing w:before="40" w:after="120"/>
              <w:ind w:left="28" w:right="113"/>
              <w:rPr>
                <w:rFonts w:cs="Times New Roman"/>
              </w:rPr>
            </w:pPr>
            <w:r w:rsidRPr="005F6C50">
              <w:rPr>
                <w:rFonts w:cs="Times New Roman"/>
              </w:rPr>
              <w:t>Конвенция о правах инвалидов</w:t>
            </w:r>
          </w:p>
        </w:tc>
        <w:tc>
          <w:tcPr>
            <w:tcW w:w="3006" w:type="dxa"/>
            <w:tcBorders>
              <w:bottom w:val="single" w:sz="12" w:space="0" w:color="auto"/>
            </w:tcBorders>
            <w:shd w:val="clear" w:color="auto" w:fill="auto"/>
          </w:tcPr>
          <w:p w14:paraId="0505221E" w14:textId="77777777" w:rsidR="00841C25" w:rsidRPr="005F6C50" w:rsidRDefault="00841C25" w:rsidP="005F6C50">
            <w:pPr>
              <w:spacing w:before="40" w:after="120"/>
              <w:ind w:left="28" w:right="113"/>
              <w:rPr>
                <w:rFonts w:cs="Times New Roman"/>
              </w:rPr>
            </w:pPr>
            <w:r w:rsidRPr="005F6C50">
              <w:rPr>
                <w:rFonts w:cs="Times New Roman"/>
              </w:rPr>
              <w:t>департамент Генерального прокурора</w:t>
            </w:r>
          </w:p>
        </w:tc>
      </w:tr>
    </w:tbl>
    <w:p w14:paraId="19BC6FF6" w14:textId="77777777" w:rsidR="00841C25" w:rsidRPr="008F3942" w:rsidRDefault="00841C25" w:rsidP="00841C25">
      <w:pPr>
        <w:pStyle w:val="SingleTxtG"/>
        <w:spacing w:before="240"/>
      </w:pPr>
      <w:r>
        <w:lastRenderedPageBreak/>
        <w:t>184.</w:t>
      </w:r>
      <w:r>
        <w:tab/>
        <w:t>Австралия добросовестно рассматривает и тщательно изучает рекомендации, полученные от всех правозащитных механизмов, включая заключительные замечания комитетов и мандатариев специальных процедур. Эти рекомендации доводятся до сведения департаментов, министров и/или юрисдикций, отвечающих за соответствующую политику и программы, для рассмотрения и выполнения рекомендаций в случае необходимости.</w:t>
      </w:r>
    </w:p>
    <w:p w14:paraId="6D1FE0B2" w14:textId="77777777" w:rsidR="00841C25" w:rsidRPr="008F3942" w:rsidRDefault="00841C25" w:rsidP="00841C25">
      <w:pPr>
        <w:pStyle w:val="SingleTxtG"/>
      </w:pPr>
      <w:r>
        <w:t>185.</w:t>
      </w:r>
      <w:r>
        <w:tab/>
        <w:t>Информация о рекомендациях также распространяется среди широкой общественности через НПО и правительственные веб-сайты.</w:t>
      </w:r>
    </w:p>
    <w:p w14:paraId="7AFBEC92" w14:textId="77777777" w:rsidR="00841C25" w:rsidRPr="008F3942" w:rsidRDefault="00841C25" w:rsidP="00841C25">
      <w:pPr>
        <w:pStyle w:val="SingleTxtG"/>
      </w:pPr>
      <w:r>
        <w:t>186.</w:t>
      </w:r>
      <w:r>
        <w:tab/>
        <w:t>Правительство Австралии также разработало процесс мониторинга УПО, в рамках которого был создан веб-сайт, выполняющий функцию центрального узла для всей работы по представлению докладов</w:t>
      </w:r>
      <w:r w:rsidRPr="00E0204C">
        <w:rPr>
          <w:rStyle w:val="aa"/>
        </w:rPr>
        <w:footnoteReference w:id="116"/>
      </w:r>
      <w:r>
        <w:t>.</w:t>
      </w:r>
    </w:p>
    <w:p w14:paraId="42504661" w14:textId="1FEAD976" w:rsidR="00841C25" w:rsidRPr="008F3942" w:rsidRDefault="005F6C50" w:rsidP="00841C25">
      <w:pPr>
        <w:pStyle w:val="HChG"/>
      </w:pPr>
      <w:bookmarkStart w:id="39" w:name="_Toc147326782"/>
      <w:r>
        <w:tab/>
      </w:r>
      <w:r w:rsidR="00841C25">
        <w:t>III.</w:t>
      </w:r>
      <w:r w:rsidR="00841C25">
        <w:tab/>
        <w:t xml:space="preserve">Информация о недискриминации и равенстве </w:t>
      </w:r>
      <w:r>
        <w:br/>
      </w:r>
      <w:r w:rsidR="00841C25">
        <w:t>и об эффективных средствах правовой защиты</w:t>
      </w:r>
      <w:bookmarkStart w:id="40" w:name="_Toc167980147"/>
      <w:bookmarkEnd w:id="39"/>
      <w:bookmarkEnd w:id="40"/>
    </w:p>
    <w:p w14:paraId="1CA8C46B" w14:textId="0FA54535" w:rsidR="00841C25" w:rsidRPr="008F3942" w:rsidRDefault="005F6C50" w:rsidP="00841C25">
      <w:pPr>
        <w:pStyle w:val="H1G"/>
      </w:pPr>
      <w:bookmarkStart w:id="41" w:name="_Toc147326783"/>
      <w:bookmarkStart w:id="42" w:name="OLE_LINK3"/>
      <w:r>
        <w:tab/>
      </w:r>
      <w:r w:rsidR="00841C25">
        <w:t>A.</w:t>
      </w:r>
      <w:r w:rsidR="00841C25">
        <w:tab/>
        <w:t>Недискриминация и равенство</w:t>
      </w:r>
      <w:bookmarkStart w:id="43" w:name="_Toc167980148"/>
      <w:bookmarkEnd w:id="41"/>
      <w:bookmarkEnd w:id="43"/>
    </w:p>
    <w:bookmarkEnd w:id="42"/>
    <w:p w14:paraId="1183F3CC" w14:textId="525CC4B7" w:rsidR="00841C25" w:rsidRPr="008F3942" w:rsidRDefault="005F6C50" w:rsidP="00841C25">
      <w:pPr>
        <w:pStyle w:val="H23G"/>
      </w:pPr>
      <w:r>
        <w:tab/>
      </w:r>
      <w:r w:rsidR="00841C25">
        <w:t>1.</w:t>
      </w:r>
      <w:r w:rsidR="00841C25">
        <w:tab/>
      </w:r>
      <w:r w:rsidR="00841C25">
        <w:rPr>
          <w:bCs/>
        </w:rPr>
        <w:t>Общая информация</w:t>
      </w:r>
    </w:p>
    <w:p w14:paraId="0E2C920F" w14:textId="77777777" w:rsidR="00841C25" w:rsidRPr="008F3942" w:rsidRDefault="00841C25" w:rsidP="00841C25">
      <w:pPr>
        <w:pStyle w:val="H4G"/>
      </w:pPr>
      <w:r>
        <w:tab/>
      </w:r>
      <w:r>
        <w:tab/>
      </w:r>
      <w:r>
        <w:rPr>
          <w:iCs/>
        </w:rPr>
        <w:t>Правовая структура</w:t>
      </w:r>
    </w:p>
    <w:p w14:paraId="5EEBFEB9" w14:textId="575205D4" w:rsidR="00841C25" w:rsidRPr="008F3942" w:rsidRDefault="00841C25" w:rsidP="00841C25">
      <w:pPr>
        <w:pStyle w:val="SingleTxtG"/>
      </w:pPr>
      <w:r>
        <w:t>187.</w:t>
      </w:r>
      <w:r>
        <w:tab/>
        <w:t>Общий подход Австралии к международным договорам по правам человека заключается в обеспечении соответствия внутреннего законодательства, политики и практики международным договорам до их ратификации. Австралийская законодательная база соответствует обязательствам по договорам по правам человека, участником которых является Австралия, и обеспечивает их выполнение. Это</w:t>
      </w:r>
      <w:r w:rsidR="005F6C50">
        <w:t> </w:t>
      </w:r>
      <w:r>
        <w:t>включает в себя обязательства, касающиеся недопущения дискриминации, обеспечения равенства перед законом и равной защиты закона для всех (см. часть 2, разделы А и В выше).</w:t>
      </w:r>
    </w:p>
    <w:p w14:paraId="1E97DEAB" w14:textId="77777777" w:rsidR="00841C25" w:rsidRPr="008F3942" w:rsidRDefault="00841C25" w:rsidP="00841C25">
      <w:pPr>
        <w:pStyle w:val="SingleTxtG"/>
      </w:pPr>
      <w:r>
        <w:t>188.</w:t>
      </w:r>
      <w:r>
        <w:tab/>
        <w:t>Законодательство Австралии по борьбе с дискриминацией позволяет принимать специальные меры для обеспечения большего равенства путем поддержки групп, которые сталкиваются или сталкивались с укоренившейся дискриминацией, а также путем содействия равному доступу к возможностям. Например, стратегии целевого найма аборигенов и жителей островов Торресова пролива, такие как резервирование определенных должностей или схем трудоустройства для аборигенов и жителей островов Торресова пролива, как правило, не являются незаконными.</w:t>
      </w:r>
    </w:p>
    <w:p w14:paraId="43460955" w14:textId="77777777" w:rsidR="00841C25" w:rsidRPr="008F3942" w:rsidRDefault="00841C25" w:rsidP="00841C25">
      <w:pPr>
        <w:pStyle w:val="H4G"/>
      </w:pPr>
      <w:r>
        <w:tab/>
      </w:r>
      <w:r>
        <w:tab/>
      </w:r>
      <w:r>
        <w:rPr>
          <w:iCs/>
        </w:rPr>
        <w:t>Общие меры по ликвидации дискриминации и поощрению равенства</w:t>
      </w:r>
    </w:p>
    <w:p w14:paraId="70E0D918" w14:textId="69A39A71" w:rsidR="00841C25" w:rsidRPr="008F3942" w:rsidRDefault="00841C25" w:rsidP="00841C25">
      <w:pPr>
        <w:pStyle w:val="SingleTxtG"/>
      </w:pPr>
      <w:bookmarkStart w:id="44" w:name="_Ref64892632"/>
      <w:r>
        <w:t>189.</w:t>
      </w:r>
      <w:r>
        <w:tab/>
        <w:t>Правительство Австралии привержено делу поощрения равенства перед законом. Оно финансирует целый ряд программ по оказанию юридической помощи наиболее уязвимым членам общества, включая программу национального партнерства по оказанию юридической помощи на 2020</w:t>
      </w:r>
      <w:r w:rsidRPr="009F1C99">
        <w:t>–</w:t>
      </w:r>
      <w:r w:rsidR="003D78B6" w:rsidRPr="003D78B6">
        <w:t>20</w:t>
      </w:r>
      <w:r>
        <w:t>25 годы, в рамках которой предоставляется финансирование правительствам штатов и территорий, которые, в свою очередь, распределяют эти средства среди комиссий по оказанию юридической помощи, общинных юридических центров и юридических служб для аборигенов и жителей островов Торресова пролива (ЮСАЖОТП) для оказания юридической помощи уязвимым людям, находящимся в неблагоприятном положении. Правительство Австралии также управляет программами финансовой помощи, которые могут помочь людям в решении некоторых вопросов, связанных с федеральным законодательством, или юридических вопросов, касающихся других стран.</w:t>
      </w:r>
      <w:bookmarkEnd w:id="44"/>
    </w:p>
    <w:p w14:paraId="7CF5580A" w14:textId="77777777" w:rsidR="00841C25" w:rsidRPr="008F3942" w:rsidRDefault="00841C25" w:rsidP="00841C25">
      <w:pPr>
        <w:pStyle w:val="SingleTxtG"/>
      </w:pPr>
      <w:r>
        <w:lastRenderedPageBreak/>
        <w:t>190.</w:t>
      </w:r>
      <w:r>
        <w:tab/>
        <w:t xml:space="preserve">Оно участвует в пропагандистских кампаниях и просветительских мероприятиях, посвященных знаменательным международным дням, например Международному женскому дню, Международному дню инвалидов и Неделе гармонии (в которую входит 21 марта </w:t>
      </w:r>
      <w:r w:rsidRPr="009F1C99">
        <w:t>—</w:t>
      </w:r>
      <w:r>
        <w:t xml:space="preserve"> отмечаемый Организацией Объединенных Наций Международный день борьбы за ликвидацию расовой дискриминации).</w:t>
      </w:r>
    </w:p>
    <w:p w14:paraId="6B3F6E3E" w14:textId="36FB5E45" w:rsidR="00841C25" w:rsidRPr="008F3942" w:rsidRDefault="00841C25" w:rsidP="00841C25">
      <w:pPr>
        <w:pStyle w:val="SingleTxtG"/>
      </w:pPr>
      <w:r>
        <w:t>191.</w:t>
      </w:r>
      <w:r>
        <w:tab/>
        <w:t>Недавно, 9 июня 2023 года, правительство Австралии ратифицировало Конвенцию Международной организации труда (МОТ) об искоренении насилия и домогательств в сфере труда (№ 190). Эта конвенция обязывает ратифицировавшие ее государства-члены включить в свое законодательство положения, запрещающие все формы насилия и домогательств в сфере труда, включая гендерное насилие. Эта</w:t>
      </w:r>
      <w:r w:rsidR="00C65C5C">
        <w:t> </w:t>
      </w:r>
      <w:r>
        <w:t>ратификация свидетельствует о приверженности Австралии созданию для всех условий труда, обеспечивающих безопасность и уважение.</w:t>
      </w:r>
    </w:p>
    <w:p w14:paraId="7B752F0A" w14:textId="77777777" w:rsidR="00841C25" w:rsidRPr="008F3942" w:rsidRDefault="00841C25" w:rsidP="00841C25">
      <w:pPr>
        <w:pStyle w:val="SingleTxtG"/>
      </w:pPr>
      <w:r>
        <w:t>192.</w:t>
      </w:r>
      <w:r>
        <w:tab/>
        <w:t>Правозащитные институты и учреждения, имеющиеся на федеральном уровне, а также на уровне штатов и территорий, представители гражданского общества и НПО вносят свой вклад в ликвидацию дискриминации и поощрение равенства посредством своей деятельности (см. часть 2, раздел C), например путем разработки инструментов и руководств по передовой практике для поощрения недискриминации на рабочем месте.</w:t>
      </w:r>
    </w:p>
    <w:p w14:paraId="599A8FD6" w14:textId="48434704" w:rsidR="00841C25" w:rsidRPr="008F3942" w:rsidRDefault="00841C25" w:rsidP="00841C25">
      <w:pPr>
        <w:pStyle w:val="H4G"/>
      </w:pPr>
      <w:r>
        <w:tab/>
      </w:r>
      <w:r>
        <w:tab/>
      </w:r>
      <w:r>
        <w:rPr>
          <w:iCs/>
        </w:rPr>
        <w:t>Общие меры, принятые в целях сокращения экономических, социальных и</w:t>
      </w:r>
      <w:r w:rsidR="005F6C50">
        <w:rPr>
          <w:iCs/>
        </w:rPr>
        <w:t> </w:t>
      </w:r>
      <w:r>
        <w:rPr>
          <w:iCs/>
        </w:rPr>
        <w:t>географических различий</w:t>
      </w:r>
    </w:p>
    <w:p w14:paraId="198CF2AA" w14:textId="77777777" w:rsidR="00841C25" w:rsidRPr="008F3942" w:rsidRDefault="00841C25" w:rsidP="00841C25">
      <w:pPr>
        <w:pStyle w:val="SingleTxtG"/>
      </w:pPr>
      <w:r>
        <w:t>193.</w:t>
      </w:r>
      <w:r>
        <w:tab/>
        <w:t>Правительство Австралии уделяет первостепенное внимание обеспечению экономических возможностей всех австралийцев, проводя политику поддержки экономического роста и предоставляя прямые выплаты и услуги для поддержки конкретных общинных групп, включая пожилых людей, безработных, родителей и семьи, опекунов, людей с инвалидностью, студентов, а также аборигенов и жителей островов Торресова пролива. Помимо выплат по линии социального обеспечения, малоимущим получателям пособий предоставляется ряд льгот и пособий от Австралийского Союза и штатов, которые помогают им оплачивать медицинские услуги, лекарства, транспорт, аренду и другие текущие расходы.</w:t>
      </w:r>
    </w:p>
    <w:p w14:paraId="4F462924" w14:textId="77777777" w:rsidR="00841C25" w:rsidRPr="008F3942" w:rsidRDefault="00841C25" w:rsidP="00841C25">
      <w:pPr>
        <w:pStyle w:val="SingleTxtG"/>
      </w:pPr>
      <w:r>
        <w:t>194.</w:t>
      </w:r>
      <w:r>
        <w:tab/>
        <w:t>Австралия стремится решить проблему, связанную с неблагоприятным положением в сельских и отдаленных районах Австралии, особенно в сферах образования, занятости и безопасности на уровне общин, острота которой является несоразмерно большой. Ряд мер по сокращению неравенства осуществляется в рамках стратегий развития коренных народов, программы финансирования стратегий по развитию удаленных районов Австралии</w:t>
      </w:r>
      <w:r w:rsidRPr="00E0204C">
        <w:rPr>
          <w:rStyle w:val="aa"/>
        </w:rPr>
        <w:footnoteReference w:id="117"/>
      </w:r>
      <w:r>
        <w:t>, национальной стратегической рамочной программы развития здравоохранения в сельских и удаленных районах</w:t>
      </w:r>
      <w:r w:rsidRPr="00E0204C">
        <w:rPr>
          <w:rStyle w:val="aa"/>
        </w:rPr>
        <w:footnoteReference w:id="118"/>
      </w:r>
      <w:r>
        <w:t>, стратегии национального агентства по страхованию людей с инвалидностью в сельских и удаленных районах</w:t>
      </w:r>
      <w:r w:rsidRPr="00E0204C">
        <w:rPr>
          <w:rStyle w:val="aa"/>
        </w:rPr>
        <w:footnoteReference w:id="119"/>
      </w:r>
      <w:r>
        <w:t>, а также национальной стратегии в области образования в регионах, а также в сельских и удаленных районах</w:t>
      </w:r>
      <w:r w:rsidRPr="00E0204C">
        <w:rPr>
          <w:rStyle w:val="aa"/>
        </w:rPr>
        <w:footnoteReference w:id="120"/>
      </w:r>
      <w:r>
        <w:t xml:space="preserve">. </w:t>
      </w:r>
    </w:p>
    <w:p w14:paraId="51A52B8F" w14:textId="7413F47A" w:rsidR="00841C25" w:rsidRPr="008F3942" w:rsidRDefault="005F6C50" w:rsidP="00841C25">
      <w:pPr>
        <w:pStyle w:val="H23G"/>
      </w:pPr>
      <w:r>
        <w:tab/>
      </w:r>
      <w:r w:rsidR="00841C25">
        <w:t>2.</w:t>
      </w:r>
      <w:r w:rsidR="00841C25">
        <w:tab/>
      </w:r>
      <w:r w:rsidR="00841C25">
        <w:rPr>
          <w:bCs/>
        </w:rPr>
        <w:t>Меры по ликвидации дискриминации и обеспечению равенства для конкретных групп, которые могут находиться в неблагоприятном или маргинальном положении</w:t>
      </w:r>
    </w:p>
    <w:p w14:paraId="4884F2DA" w14:textId="77777777" w:rsidR="00841C25" w:rsidRPr="008F3942" w:rsidRDefault="00841C25" w:rsidP="00841C25">
      <w:pPr>
        <w:pStyle w:val="H4G"/>
      </w:pPr>
      <w:r>
        <w:tab/>
      </w:r>
      <w:r>
        <w:tab/>
      </w:r>
      <w:r>
        <w:rPr>
          <w:iCs/>
        </w:rPr>
        <w:t>Аборигены и жители островов Торресова пролива</w:t>
      </w:r>
    </w:p>
    <w:p w14:paraId="2F65703C" w14:textId="77777777" w:rsidR="00841C25" w:rsidRPr="008F3942" w:rsidRDefault="00841C25" w:rsidP="00841C25">
      <w:pPr>
        <w:pStyle w:val="SingleTxtG"/>
      </w:pPr>
      <w:bookmarkStart w:id="45" w:name="OLE_LINK4"/>
      <w:r>
        <w:t>195.</w:t>
      </w:r>
      <w:r>
        <w:tab/>
        <w:t>Правительство Австралии привержено продолжению процесса примирения с аборигенами и жителями островов Торресова пролива, защите искусства, культуры и языков аборигенов и жителей островов Торресова пролива, а также решению проблем социального и экономического неблагополучия.</w:t>
      </w:r>
      <w:bookmarkEnd w:id="45"/>
    </w:p>
    <w:p w14:paraId="618F7BDF" w14:textId="645C43B9" w:rsidR="00841C25" w:rsidRPr="008F3942" w:rsidRDefault="00841C25" w:rsidP="00841C25">
      <w:pPr>
        <w:pStyle w:val="SingleTxtG"/>
      </w:pPr>
      <w:r>
        <w:lastRenderedPageBreak/>
        <w:t>196.</w:t>
      </w:r>
      <w:r>
        <w:tab/>
        <w:t xml:space="preserve">После решения Высокого суда по делу </w:t>
      </w:r>
      <w:r w:rsidRPr="00C65C5C">
        <w:rPr>
          <w:i/>
          <w:iCs/>
        </w:rPr>
        <w:t>Мабо против Квинсленда</w:t>
      </w:r>
      <w:r>
        <w:t xml:space="preserve"> (№ 2) (1992) ВСА 23 австралийское общее право признает определенную форму права на владение исконными землями, которая отражает право аборигенов и жителей островов Торресова пролива на владение их традиционными землями и водными пространствами в соответствии с их традиционными законами и обычаями. Официальное признание прав собственности на исконные земли позволяет традиционным владельцам получить доступ к своим землям, водным пространствам и ресурсам и участвовать в определении их использования. Закон о правах собственности коренного населения 1993 года (АС) определяет официальные процедуры, с помощью которых права коренного населения на владение землями и водными пространствами могут быть признаны и защищены, в том числе посредством определения прав собственности коренного населения и заключения добровольных соглашений. С момента создания системы прав собственности на исконные земли сменявшие друг друга правительства осуществили ряд инициатив, направленных на поддержку или признание земельных прав аборигенов и жителей островов Торресова пролива, основанных на их непрерывной связи с землями или водными пространствами в соответствии с традиционными законами и обычаями. Права и интересы аборигенов и жителей островов Торресова пролива на земли официально признаны в отношении примерно 50 процентов территории Австралии</w:t>
      </w:r>
      <w:r w:rsidRPr="00E0204C">
        <w:rPr>
          <w:rStyle w:val="aa"/>
        </w:rPr>
        <w:footnoteReference w:id="121"/>
      </w:r>
      <w:r>
        <w:t>.</w:t>
      </w:r>
    </w:p>
    <w:p w14:paraId="588FFE31" w14:textId="77777777" w:rsidR="00841C25" w:rsidRPr="008F3942" w:rsidRDefault="00841C25" w:rsidP="00841C25">
      <w:pPr>
        <w:pStyle w:val="SingleTxtG"/>
      </w:pPr>
      <w:r>
        <w:t>197.</w:t>
      </w:r>
      <w:r>
        <w:tab/>
        <w:t>В рамках двух ключевых стратегий правительство Австралии реализует широкий круг инициатив, направленных на решение проблемы неблагоприятного положения аборигенов и жителей островов Торресова пролива и обеспечение равенства:</w:t>
      </w:r>
    </w:p>
    <w:p w14:paraId="27177206" w14:textId="01FA4517" w:rsidR="00841C25" w:rsidRPr="00D62FAA" w:rsidRDefault="00841C25" w:rsidP="00841C25">
      <w:pPr>
        <w:pStyle w:val="Bullet1G"/>
        <w:numPr>
          <w:ilvl w:val="0"/>
          <w:numId w:val="22"/>
        </w:numPr>
      </w:pPr>
      <w:r>
        <w:t>Национальное соглашение о ликвидации неравенства (Национальное соглашение) позволяет аборигенам и жителям островов Торресова пролива и соответствующим правительствам осуществлять сотрудничество для устранения неравенства, с которым сталкиваются аборигены и жители островов Торресова пролива, и добиваться достижения такого же уровня жизни, как и у остальных австралийцев. Программа, предусматривающая ликвидацию неравенства, была разработана в 2008 году, а в июле 2020 года было опубликовано Национальное соглашение о ликвидации неравенства, разработанное в партнерстве с аборигенами и жителями островов Торресова пролива. В этом соглашении признается неизменная сила и жизнестойкость аборигенов и жителей островов Торресова пролива в сохранении их культуры, которая является одной из древнейших живых культур в мире. В основе Национального соглашения лежат четыре приоритетные реформы, которые направлены на изменение методов работы правительств с аборигенами и жителями островов Торресова пролива и обеспечивают достижение 17</w:t>
      </w:r>
      <w:r w:rsidR="005F6C50">
        <w:t> </w:t>
      </w:r>
      <w:r>
        <w:t>результатов в социально-экономической сфере. Приоритетные реформы позволят:</w:t>
      </w:r>
    </w:p>
    <w:p w14:paraId="497E09F3" w14:textId="77777777" w:rsidR="00841C25" w:rsidRPr="008F3942" w:rsidRDefault="00841C25" w:rsidP="00841C25">
      <w:pPr>
        <w:pStyle w:val="Bullet2G"/>
        <w:numPr>
          <w:ilvl w:val="0"/>
          <w:numId w:val="23"/>
        </w:numPr>
      </w:pPr>
      <w:r>
        <w:t>укрепить и создать официальные партнерства и механизмы совместного принятия решений;</w:t>
      </w:r>
    </w:p>
    <w:p w14:paraId="03508AD8" w14:textId="77777777" w:rsidR="00841C25" w:rsidRPr="008F3942" w:rsidRDefault="00841C25" w:rsidP="00841C25">
      <w:pPr>
        <w:pStyle w:val="Bullet2G"/>
        <w:numPr>
          <w:ilvl w:val="0"/>
          <w:numId w:val="23"/>
        </w:numPr>
      </w:pPr>
      <w:r>
        <w:t>создать сектор, контролируемый общинами аборигенов и жителей островов Торресова пролива;</w:t>
      </w:r>
    </w:p>
    <w:p w14:paraId="43EB3299" w14:textId="77777777" w:rsidR="00841C25" w:rsidRPr="008F3942" w:rsidRDefault="00841C25" w:rsidP="00841C25">
      <w:pPr>
        <w:pStyle w:val="Bullet2G"/>
        <w:numPr>
          <w:ilvl w:val="0"/>
          <w:numId w:val="23"/>
        </w:numPr>
      </w:pPr>
      <w:r>
        <w:t>преобразовать правительственные организации, с тем чтобы они лучше работали на благо аборигенов и жителей островов Торресова пролива;</w:t>
      </w:r>
    </w:p>
    <w:p w14:paraId="3100DEEB" w14:textId="77777777" w:rsidR="00841C25" w:rsidRPr="008F3942" w:rsidRDefault="00841C25" w:rsidP="00841C25">
      <w:pPr>
        <w:pStyle w:val="Bullet2G"/>
        <w:numPr>
          <w:ilvl w:val="0"/>
          <w:numId w:val="23"/>
        </w:numPr>
      </w:pPr>
      <w:r>
        <w:t>улучшить доступ к данным и информации на региональном уровне и обмен ими, с тем чтобы общины аборигенов и жителей островов Торресова пролива могли принимать обоснованные решения.</w:t>
      </w:r>
    </w:p>
    <w:p w14:paraId="0974A4DB" w14:textId="77777777" w:rsidR="00841C25" w:rsidRPr="008F3942" w:rsidRDefault="00841C25" w:rsidP="00841C25">
      <w:pPr>
        <w:pStyle w:val="Bullet1G"/>
        <w:numPr>
          <w:ilvl w:val="0"/>
          <w:numId w:val="22"/>
        </w:numPr>
      </w:pPr>
      <w:r>
        <w:t xml:space="preserve">Стратегия развития коренного населения обеспечивает финансирование и осуществление программ, направленных на устранение барьеров, </w:t>
      </w:r>
      <w:r>
        <w:lastRenderedPageBreak/>
        <w:t>препятствующих трудоустройству аборигенов и жителей островов Торресова пролива, и на расширение их участия в социальной и экономической жизни.</w:t>
      </w:r>
    </w:p>
    <w:p w14:paraId="5AE523F9" w14:textId="77777777" w:rsidR="00841C25" w:rsidRPr="008F3942" w:rsidRDefault="00841C25" w:rsidP="00841C25">
      <w:pPr>
        <w:pStyle w:val="SingleTxtG"/>
      </w:pPr>
      <w:r>
        <w:t>198.</w:t>
      </w:r>
      <w:r>
        <w:tab/>
        <w:t>Другие общие меры по поощрению недискриминации и равенства для аборигенов и жителей островов Торресова пролива включают:</w:t>
      </w:r>
    </w:p>
    <w:p w14:paraId="23A1ED10" w14:textId="77777777" w:rsidR="00841C25" w:rsidRPr="008F3942" w:rsidRDefault="00841C25" w:rsidP="00841C25">
      <w:pPr>
        <w:pStyle w:val="Bullet1G"/>
        <w:numPr>
          <w:ilvl w:val="0"/>
          <w:numId w:val="22"/>
        </w:numPr>
      </w:pPr>
      <w:r>
        <w:t>политику Австралийского Союза в области материально-технического снабжения для коренного населения, которая стимулирует развитие предпринимательской деятельности коренного населения, предоставляя аборигенам и/или жителям островов Торресова пролива больше возможностей для участия в экономике;</w:t>
      </w:r>
    </w:p>
    <w:p w14:paraId="16103DFB" w14:textId="77777777" w:rsidR="00841C25" w:rsidRPr="008F3942" w:rsidRDefault="00841C25" w:rsidP="00841C25">
      <w:pPr>
        <w:pStyle w:val="Bullet1G"/>
        <w:numPr>
          <w:ilvl w:val="0"/>
          <w:numId w:val="22"/>
        </w:numPr>
      </w:pPr>
      <w:r>
        <w:t>обеспечение финансирования специализированных услуг в области правосудия, юриспруденции и здравоохранения для аборигенов и жителей островов Торресова пролива;</w:t>
      </w:r>
    </w:p>
    <w:p w14:paraId="08267E62" w14:textId="77777777" w:rsidR="00841C25" w:rsidRPr="008F3942" w:rsidRDefault="00841C25" w:rsidP="00841C25">
      <w:pPr>
        <w:pStyle w:val="Bullet1G"/>
        <w:numPr>
          <w:ilvl w:val="0"/>
          <w:numId w:val="22"/>
        </w:numPr>
      </w:pPr>
      <w:r>
        <w:t>ряд профилактических и реабилитационных мер, а также мер по замене уголовной ответственности альтернативными видами исправительного воздействия для решения проблемы, связанной с непропорционально большим числом аборигенов и жителей островов Торресова пролива, затронутых системой уголовного правосудия, и достижения фактического, а не только формального равенства перед законом.</w:t>
      </w:r>
    </w:p>
    <w:p w14:paraId="47CB31EB" w14:textId="77777777" w:rsidR="00841C25" w:rsidRPr="008F3942" w:rsidRDefault="00841C25" w:rsidP="00841C25">
      <w:pPr>
        <w:pStyle w:val="H4G"/>
      </w:pPr>
      <w:r>
        <w:tab/>
      </w:r>
      <w:r>
        <w:tab/>
      </w:r>
      <w:r>
        <w:rPr>
          <w:iCs/>
        </w:rPr>
        <w:t>Дети</w:t>
      </w:r>
    </w:p>
    <w:p w14:paraId="5946E6AD" w14:textId="77777777" w:rsidR="00841C25" w:rsidRPr="008F3942" w:rsidRDefault="00841C25" w:rsidP="00841C25">
      <w:pPr>
        <w:pStyle w:val="SingleTxtG"/>
      </w:pPr>
      <w:r>
        <w:t>199.</w:t>
      </w:r>
      <w:r>
        <w:tab/>
        <w:t>Правительство Австралии осуществляет целый ряд программ, политических мер и стратегий, направленных на поощрение прав детей и подростков, в число которых входят:</w:t>
      </w:r>
    </w:p>
    <w:p w14:paraId="100C60AE" w14:textId="1B7B87E6" w:rsidR="00841C25" w:rsidRPr="008F3942" w:rsidRDefault="00841C25" w:rsidP="00841C25">
      <w:pPr>
        <w:pStyle w:val="Bullet1G"/>
        <w:numPr>
          <w:ilvl w:val="0"/>
          <w:numId w:val="22"/>
        </w:numPr>
      </w:pPr>
      <w:r>
        <w:t xml:space="preserve">создание в 2018 году национального управления по вопросам безопасности детей, которое направляет деятельность, осуществляемую правительствами, и принимаемые в различных секторах меры для осуществления национальной политики и стратегий, направленных на повышение безопасности детей и уменьшение вреда для детей в будущем. Это включает руководство осуществлением десятилетней национальной стратегии предотвращения сексуальных надругательств над детьми и реагирования на них на </w:t>
      </w:r>
      <w:r w:rsidR="005F6C50">
        <w:br/>
      </w:r>
      <w:r>
        <w:t>2021–2030 годы, которая предусматривает долгосрочный, последовательный и скоординированный подход к предотвращению сексуальных надругательств над детьми во всех ситуациях, включая институциональную, семейную и онлайновую среду;</w:t>
      </w:r>
    </w:p>
    <w:p w14:paraId="45E5A0EB" w14:textId="77777777" w:rsidR="00841C25" w:rsidRPr="008F3942" w:rsidRDefault="00841C25" w:rsidP="00841C25">
      <w:pPr>
        <w:pStyle w:val="Bullet1G"/>
        <w:numPr>
          <w:ilvl w:val="0"/>
          <w:numId w:val="22"/>
        </w:numPr>
      </w:pPr>
      <w:r>
        <w:t>в 2019 году всеми правительствами Австралии были согласованы национальные принципы работы безопасных для детей организаций, определяющие согласованный на национальном уровне подход к продвижению культуры безопасности и благополучия детей в организациях. Национальное управление по вопросам безопасности детей руководит деятельностью по обеспечению возможностей, помогающих организациям соблюдать национальные принципы;</w:t>
      </w:r>
    </w:p>
    <w:p w14:paraId="155B2992" w14:textId="77777777" w:rsidR="00841C25" w:rsidRPr="008F3942" w:rsidRDefault="00841C25" w:rsidP="00841C25">
      <w:pPr>
        <w:pStyle w:val="Bullet1G"/>
        <w:numPr>
          <w:ilvl w:val="0"/>
          <w:numId w:val="22"/>
        </w:numPr>
      </w:pPr>
      <w:r>
        <w:t>федеральная система обеспечения безопасности детей, разработанная в рамках общегосударственной политики, которая устанавливает минимальные стандарты для государственных учреждений Австралии по определению и поддержанию безопасных для детей моделей поведения и практик;</w:t>
      </w:r>
    </w:p>
    <w:p w14:paraId="6556837A" w14:textId="77777777" w:rsidR="00841C25" w:rsidRPr="008F3942" w:rsidRDefault="00841C25" w:rsidP="00841C25">
      <w:pPr>
        <w:pStyle w:val="Bullet1G"/>
        <w:numPr>
          <w:ilvl w:val="0"/>
          <w:numId w:val="22"/>
        </w:numPr>
      </w:pPr>
      <w:r>
        <w:t>австралийский центр по борьбе с эксплуатацией детей, осуществляющий деятельность под руководством ФПА и взаимодействующий с ключевыми заинтересованными сторонами для объединения усилий по борьбе с эксплуатацией детей;</w:t>
      </w:r>
    </w:p>
    <w:p w14:paraId="42FEDD6D" w14:textId="77777777" w:rsidR="00841C25" w:rsidRPr="008F3942" w:rsidRDefault="00841C25" w:rsidP="00841C25">
      <w:pPr>
        <w:pStyle w:val="Bullet1G"/>
        <w:numPr>
          <w:ilvl w:val="0"/>
          <w:numId w:val="22"/>
        </w:numPr>
      </w:pPr>
      <w:r>
        <w:t>программа «Безопасность и поддержка: национальные рамки защиты детей Австралии на 2021–2031 годы», определяющая долгосрочную стратегию по обеспечению безопасности и благополучия детей и уменьшению числа случаев жестокого обращения с детьми и отсутствия заботы о них;</w:t>
      </w:r>
    </w:p>
    <w:p w14:paraId="46816CF9" w14:textId="77777777" w:rsidR="00841C25" w:rsidRPr="008F3942" w:rsidRDefault="00841C25" w:rsidP="00841C25">
      <w:pPr>
        <w:pStyle w:val="Bullet1G"/>
        <w:numPr>
          <w:ilvl w:val="0"/>
          <w:numId w:val="22"/>
        </w:numPr>
      </w:pPr>
      <w:r>
        <w:lastRenderedPageBreak/>
        <w:t>система защиты детей, которая обеспечивает безопасность и благополучие детей, получающих иммиграционные услуги;</w:t>
      </w:r>
    </w:p>
    <w:p w14:paraId="6E3E6625" w14:textId="77777777" w:rsidR="00841C25" w:rsidRPr="008F3942" w:rsidRDefault="00841C25" w:rsidP="00841C25">
      <w:pPr>
        <w:pStyle w:val="Bullet1G"/>
        <w:numPr>
          <w:ilvl w:val="0"/>
          <w:numId w:val="22"/>
        </w:numPr>
      </w:pPr>
      <w:r>
        <w:t>национальный план по искоренению насилия в отношении женщин и детей на 2022–2032 годы, представляющий собой всеобъемлющую национальную стратегию, определяющую деятельность по искоренению насилия в отношении женщин и детей.</w:t>
      </w:r>
    </w:p>
    <w:p w14:paraId="6AE1838A" w14:textId="77777777" w:rsidR="00841C25" w:rsidRPr="008F3942" w:rsidRDefault="00841C25" w:rsidP="00841C25">
      <w:pPr>
        <w:pStyle w:val="SingleTxtG"/>
      </w:pPr>
      <w:r>
        <w:t>200.</w:t>
      </w:r>
      <w:r>
        <w:tab/>
        <w:t>Для представления наилучших интересов ребенка в судебных разбирательствах по семейным вопросам и обеспечения того, чтобы эти интересы имели решающее значение при принятии решений, касающихся определения родительских обязанностей, могут быть назначены независимые адвокаты по делам детей. Хотя они не принимают указаний от детей, они должны сформировать независимое мнение о том, что отвечает наилучшим интересам ребенка. Для определения этих наилучших интересов независимый адвокат по делам детей может проводить встречи с детьми, их психологами и учителями.</w:t>
      </w:r>
    </w:p>
    <w:p w14:paraId="688026C3" w14:textId="77777777" w:rsidR="00841C25" w:rsidRPr="008F3942" w:rsidRDefault="00841C25" w:rsidP="00841C25">
      <w:pPr>
        <w:pStyle w:val="SingleTxtG"/>
      </w:pPr>
      <w:r>
        <w:t>201.</w:t>
      </w:r>
      <w:r>
        <w:tab/>
        <w:t>Возраст наступления уголовной ответственности в большинстве штатов и территорий Австралии составляет 10 лет (см. пункт 118). Суды по делам несовершеннолетних рассматривают большинство преступлений, совершенных лицами в возрасте до 18 лет, и стремятся защитить права детей, используя такие методы, как закрытые судебные заседания, защита личности детей и акцент на реабилитации, в том числе с помощью процессов восстановительного правосудия.</w:t>
      </w:r>
    </w:p>
    <w:p w14:paraId="175BFAC2" w14:textId="77777777" w:rsidR="00841C25" w:rsidRPr="008F3942" w:rsidRDefault="00841C25" w:rsidP="00841C25">
      <w:pPr>
        <w:pStyle w:val="H4G"/>
      </w:pPr>
      <w:r>
        <w:tab/>
      </w:r>
      <w:r>
        <w:tab/>
      </w:r>
      <w:r>
        <w:rPr>
          <w:iCs/>
        </w:rPr>
        <w:t>Культурное и языковое разнообразие в Австралии</w:t>
      </w:r>
    </w:p>
    <w:p w14:paraId="3EAF97E1" w14:textId="77777777" w:rsidR="00841C25" w:rsidRPr="008F3942" w:rsidRDefault="00841C25" w:rsidP="00841C25">
      <w:pPr>
        <w:pStyle w:val="SingleTxtG"/>
      </w:pPr>
      <w:r>
        <w:t>202.</w:t>
      </w:r>
      <w:r>
        <w:tab/>
        <w:t>Австралия является преуспевающим и гордящимся своей многокультурностью обществом. Она стремится поддерживать культурное многообразие, толерантность и инклюзивность общества.</w:t>
      </w:r>
    </w:p>
    <w:p w14:paraId="71625D70" w14:textId="77777777" w:rsidR="00841C25" w:rsidRPr="008F3942" w:rsidRDefault="00841C25" w:rsidP="00841C25">
      <w:pPr>
        <w:pStyle w:val="SingleTxtG"/>
      </w:pPr>
      <w:bookmarkStart w:id="46" w:name="_Hlk142488111"/>
      <w:r>
        <w:t>203.</w:t>
      </w:r>
      <w:r>
        <w:tab/>
        <w:t xml:space="preserve">В рамках выделенного в октябре 2022 года бюджетного ассигнования по статье «Деятельность правительства по созданию мультикультурной Австралии» правительство Австралии обязалось провести обзор рамочной программы по мультикультурализму (далее «обзор»). Цель обзора заключается в подтверждении того, что политические установки и институциональные механизмы правительства Австралии в области мультикультурализма соответствуют целям дальнейшего развития мультикультурного общества Австралии, при этом учитывается то, что иммиграция будет и дальше способствовать росту разнообразия в австралийском обществе и что расизм и дискриминация играют роль основного системного барьера на пути к нашим общим стремлениям к созданию инклюзивного и справедливого мультикультурного общества. Обзор представляет собой важную возможность зафиксировать и осмыслить извлеченные из пандемии уроки того, как правительство поддерживает и работает с различными общинами в кризисных ситуациях. </w:t>
      </w:r>
    </w:p>
    <w:bookmarkEnd w:id="46"/>
    <w:p w14:paraId="65A7958F" w14:textId="77777777" w:rsidR="00841C25" w:rsidRPr="008F3942" w:rsidRDefault="00841C25" w:rsidP="00841C25">
      <w:pPr>
        <w:pStyle w:val="SingleTxtG"/>
      </w:pPr>
      <w:r>
        <w:t>204.</w:t>
      </w:r>
      <w:r>
        <w:tab/>
        <w:t>В рамках выделенных в октябре 2022 года бюджетных средств также предусмотрено выделение 7,5 млн долл. Австралийской комиссии по правам человека (АКПЧ) на разработку национальной стратегии по борьбе с расизмом, обеспечивающей скоординированный общий подход к решению проблемы расизма в Австралии. При разработке этой стратегии АКПЧ проводит консультации с местным населением, уделяя первостепенное внимание защите его культурных традиций и обеспечению доступности.</w:t>
      </w:r>
    </w:p>
    <w:p w14:paraId="69218329" w14:textId="77777777" w:rsidR="00841C25" w:rsidRPr="008F3942" w:rsidRDefault="00841C25" w:rsidP="00841C25">
      <w:pPr>
        <w:pStyle w:val="SingleTxtG"/>
      </w:pPr>
      <w:r>
        <w:t>205.</w:t>
      </w:r>
      <w:r>
        <w:tab/>
        <w:t>Правительство Австралии финансирует ряд грантовых программ и инициатив, направленных на поддержку нашего мультикультурного общества, таких как гранты на содействие интеграции. Правительство Австралии также осуществляет ряд других программ, направленных на поддержку социальной интеграции, таких как программы общинных центров для мигрантов и сеть сотрудников по связям с общинами, которая способствует взаимодействию с общинами для понимания настроений общин, улучшения понимания ими государственных программ и политики и обеспечения взаимодействия с правительством по вопросам, касающимся социальной интеграции и препятствий для участия в жизни общества, с тем чтобы привлечь к сотрудничеству различные общины Австралии.</w:t>
      </w:r>
    </w:p>
    <w:p w14:paraId="45B1B188" w14:textId="77777777" w:rsidR="00841C25" w:rsidRPr="008F3942" w:rsidRDefault="00841C25" w:rsidP="00841C25">
      <w:pPr>
        <w:pStyle w:val="SingleTxtG"/>
      </w:pPr>
      <w:r>
        <w:lastRenderedPageBreak/>
        <w:t>206.</w:t>
      </w:r>
      <w:r>
        <w:tab/>
        <w:t>Правительство Австралии предоставляет бесплатные услуги письменного и устного перевода. Эти услуги оказываются для обеспечения равного доступа к основным услугам, таким как медицинские услуги, услуги служб экстренной помощи и услуги в рамках судебной системы, в связи с которыми услуги по переводу играют роль важного механизма обеспечения равенства перед законом. Правительство Австралии выделяет средства для поддержки предоставления услуг по устному переводу на языки аборигенов в тех юрисдикциях, где существует высокий спрос на эти услуги. По данным последней переписи населения (проведенной в 2021 году), в Австралии существует более 150 языков аборигенов и жителей островов Торресова пролива</w:t>
      </w:r>
      <w:r w:rsidRPr="00E0204C">
        <w:rPr>
          <w:rStyle w:val="aa"/>
        </w:rPr>
        <w:footnoteReference w:id="122"/>
      </w:r>
      <w:r>
        <w:t>. Правительство Австралии также финансирует обучение языкам аборигенов и жителей островов Торресова пролива и мероприятия по аттестации с целью увеличения числа языковых служб и повышения доступности ресурсов для устного перевода.</w:t>
      </w:r>
    </w:p>
    <w:p w14:paraId="4CF48EFD" w14:textId="77777777" w:rsidR="00841C25" w:rsidRPr="008F3942" w:rsidRDefault="00841C25" w:rsidP="00841C25">
      <w:pPr>
        <w:pStyle w:val="H4G"/>
      </w:pPr>
      <w:r>
        <w:tab/>
      </w:r>
      <w:r>
        <w:tab/>
      </w:r>
      <w:r>
        <w:rPr>
          <w:iCs/>
        </w:rPr>
        <w:t>Лесбиянки, геи, бисексуальные, трансгендерные/гендерно вариативные люди, интерсексуалы, квиры, асексуалы и другие сексуально или гендерно вариативные австралийцы (ЛГБТИКА+)</w:t>
      </w:r>
    </w:p>
    <w:p w14:paraId="5D1E5EEB" w14:textId="77777777" w:rsidR="00841C25" w:rsidRPr="008F3942" w:rsidRDefault="00841C25" w:rsidP="00841C25">
      <w:pPr>
        <w:pStyle w:val="SingleTxtG"/>
      </w:pPr>
      <w:r>
        <w:t>207.</w:t>
      </w:r>
      <w:r>
        <w:tab/>
        <w:t>В 2013 году в Закон о борьбе с дискриминацией по признаку пола 1984 года были внесены поправки, запрещающие дискриминацию по признаку сексуальной ориентации, гендерной идентичности и интерсексуального статуса. Антидискриминационное законодательство штатов и территорий также запрещает дискриминацию в отношении лесбиянок, геев, бисексуальных и трансгендерных людей и интерсексуалов.</w:t>
      </w:r>
    </w:p>
    <w:p w14:paraId="712C437F" w14:textId="77777777" w:rsidR="00841C25" w:rsidRPr="008F3942" w:rsidRDefault="00841C25" w:rsidP="00841C25">
      <w:pPr>
        <w:pStyle w:val="SingleTxtG"/>
      </w:pPr>
      <w:r>
        <w:t>208.</w:t>
      </w:r>
      <w:r>
        <w:tab/>
        <w:t>В 2013 году правительство Австралии разработало руководящие указания, касающиеся признания полового и гендерного статуса, с тем чтобы дать рекомендации государственным учреждениям Австралии, отвечающим за ведение записей, содержащих личную информацию</w:t>
      </w:r>
      <w:r w:rsidRPr="00E0204C">
        <w:rPr>
          <w:rStyle w:val="aa"/>
        </w:rPr>
        <w:footnoteReference w:id="123"/>
      </w:r>
      <w:r>
        <w:t>. В 2021 году Австралийское бюро статистики ввело Стандарт 2020 года для определения пола, гендера, вариаций половых признаков и сексуальной ориентации, с тем чтобы стандартизировать сбор и распространение данных, касающихся пола, гендера, вариаций половых признаков и сексуальной ориентации</w:t>
      </w:r>
      <w:r w:rsidRPr="00E0204C">
        <w:rPr>
          <w:rStyle w:val="aa"/>
        </w:rPr>
        <w:footnoteReference w:id="124"/>
      </w:r>
      <w:r>
        <w:t>.</w:t>
      </w:r>
    </w:p>
    <w:p w14:paraId="4A264F14" w14:textId="68E3F93B" w:rsidR="00841C25" w:rsidRPr="008F3942" w:rsidRDefault="00841C25" w:rsidP="00841C25">
      <w:pPr>
        <w:pStyle w:val="SingleTxtG"/>
      </w:pPr>
      <w:r>
        <w:t>209.</w:t>
      </w:r>
      <w:r>
        <w:tab/>
        <w:t>9 декабря 2017 года вступил в силу Закон о внесении поправок в Закон о браке (определение и религиозные свободы), легализующий однополые браки. Это</w:t>
      </w:r>
      <w:r w:rsidR="00C65C5C">
        <w:t> </w:t>
      </w:r>
      <w:r>
        <w:t>позволило изменить Закон о браке 1961 года и дать новое определение браку как «союзу двух человек, исключая всех остальных, добровольно заключенному на всю жизнь». Поправки также позволяют признавать существующие и будущие однополые браки, заключенные за границей в соответствии с законодательством иностранного государства, а также однополые браки, заключенные в Австралии дипломатическим или консульским работником в соответствии с законодательством иностранного государства до вступления в силу закона.</w:t>
      </w:r>
    </w:p>
    <w:p w14:paraId="3AB49A7E" w14:textId="77777777" w:rsidR="00841C25" w:rsidRPr="008F3942" w:rsidRDefault="00841C25" w:rsidP="00841C25">
      <w:pPr>
        <w:pStyle w:val="SingleTxtG"/>
      </w:pPr>
      <w:r>
        <w:t>210.</w:t>
      </w:r>
      <w:r>
        <w:tab/>
        <w:t>Вопросы, касающиеся законодательства о регистрации рождений, смертей и браков, находятся в ведении штатов и территорий. Большинство австралийских штатов и территорий внесли поправки в законы о регистрации рождений, смертей и браков, с тем чтобы позволить трансгендерным и гендерно вариативным людям в этих юрисдикциях изменить свой пол в свидетельстве о рождении без необходимости проведения операции по подтверждению пола.</w:t>
      </w:r>
    </w:p>
    <w:p w14:paraId="3D97A0A6" w14:textId="77777777" w:rsidR="00841C25" w:rsidRPr="008F3942" w:rsidRDefault="00841C25" w:rsidP="00841C25">
      <w:pPr>
        <w:pStyle w:val="H4G"/>
        <w:rPr>
          <w:rFonts w:eastAsiaTheme="minorHAnsi"/>
        </w:rPr>
      </w:pPr>
      <w:r>
        <w:lastRenderedPageBreak/>
        <w:tab/>
      </w:r>
      <w:r>
        <w:tab/>
      </w:r>
      <w:r>
        <w:rPr>
          <w:iCs/>
        </w:rPr>
        <w:t>Пожилые австралийцы</w:t>
      </w:r>
    </w:p>
    <w:p w14:paraId="7CFAE814" w14:textId="77777777" w:rsidR="00841C25" w:rsidRPr="008F3942" w:rsidRDefault="00841C25" w:rsidP="00841C25">
      <w:pPr>
        <w:pStyle w:val="SingleTxtG"/>
      </w:pPr>
      <w:r>
        <w:t>211.</w:t>
      </w:r>
      <w:r>
        <w:tab/>
        <w:t>Правительство Австралии стремится изменить негативные стереотипы и устранить барьеры, которые мешают пожилым австралийцам полноценно участвовать в жизни нашего общества.</w:t>
      </w:r>
    </w:p>
    <w:p w14:paraId="40A6370F" w14:textId="77777777" w:rsidR="00841C25" w:rsidRPr="008F3942" w:rsidRDefault="00841C25" w:rsidP="00841C25">
      <w:pPr>
        <w:pStyle w:val="SingleTxtG"/>
      </w:pPr>
      <w:r>
        <w:t>212.</w:t>
      </w:r>
      <w:r>
        <w:tab/>
        <w:t>В большинстве австралийских юрисдикций существуют стратегии или политика, которые поддерживают здоровое старение и благоприятные для пожилых людей общины, а также способствуют участию пожилых австралийцев в социальной и экономической жизни.</w:t>
      </w:r>
    </w:p>
    <w:p w14:paraId="439B1497" w14:textId="77777777" w:rsidR="00841C25" w:rsidRPr="008F3942" w:rsidRDefault="00841C25" w:rsidP="00841C25">
      <w:pPr>
        <w:pStyle w:val="SingleTxtG"/>
      </w:pPr>
      <w:r>
        <w:t>213.</w:t>
      </w:r>
      <w:r>
        <w:tab/>
        <w:t xml:space="preserve">19 марта 2019 года был опубликован первый национальный план реагирования на жестокое обращение с пожилыми австралийцами (жестокое обращение с пожилыми людьми) на 2019‒2023 годы. В национальном плане определены основные направления политики и действий, которые в долгосрочной перспективе должны способствовать повышению осведомленности общества о последствиях эйджизма и его роли в жестоком обращении с пожилыми людьми, а также расширить возможности пожилых австралийцев в том, что касается автономной жизни. Национальный план дополняет, но не заменяет федеральную политику, политику штатов и территорий в отношении старения и жестокого обращения с пожилыми людьми. Правительство Австралии придает наиважнейшее значение обеспечению безопасности и благополучия пожилых австралийцев. Жестокое обращение с пожилыми людьми </w:t>
      </w:r>
      <w:r w:rsidRPr="00960B23">
        <w:t>—</w:t>
      </w:r>
      <w:r>
        <w:t xml:space="preserve"> это сложная проблема, которая часто возникает по вине человека, которому пожилой человек доверяет, например члена семьи, друга, специалиста или лица, осуществляющего уход. В апреле 2023 года правительство Австралии согласилось разработать дополнение к национальному плану реагирования на жестокое обращение с пожилыми австралийцами (2019–2023 годы).</w:t>
      </w:r>
    </w:p>
    <w:p w14:paraId="2F71AC0A" w14:textId="77777777" w:rsidR="00841C25" w:rsidRPr="008F3942" w:rsidRDefault="00841C25" w:rsidP="00841C25">
      <w:pPr>
        <w:pStyle w:val="SingleTxtG"/>
      </w:pPr>
      <w:r>
        <w:t>214.</w:t>
      </w:r>
      <w:r>
        <w:tab/>
        <w:t>В 2023 году уполномоченный по вопросам дискриминации по признаку возраста опубликовал доклад «Меняющиеся перспективы: тестирование мер по борьбе с эйджизмом», в котором позитивно оцениваются краткосрочные целевые меры по изменению негативных представлений о старении и уменьшению эйджистских взглядов среди работников учреждений по уходу за престарелыми и в местных сообществах.</w:t>
      </w:r>
    </w:p>
    <w:p w14:paraId="36E1C48A" w14:textId="27CDCE74" w:rsidR="00841C25" w:rsidRPr="008F3942" w:rsidRDefault="00841C25" w:rsidP="00841C25">
      <w:pPr>
        <w:pStyle w:val="SingleTxtG"/>
      </w:pPr>
      <w:r>
        <w:t>215.</w:t>
      </w:r>
      <w:r>
        <w:tab/>
        <w:t>В 2021 году AКПЧ опубликовала доклад «При чем тут возраст?», посвященный проблеме эйджизма в Австралии.</w:t>
      </w:r>
      <w:r w:rsidR="00E0204C">
        <w:t xml:space="preserve"> </w:t>
      </w:r>
      <w:r>
        <w:t>В апреле 2023 года был опубликован дополнительный доклад «Разговор о моем поколении», в котором содержится информация о том, как молодые люди в Австралии воспринимают свой возраст и принадлежность к определенному поколению.</w:t>
      </w:r>
    </w:p>
    <w:p w14:paraId="0E3DB1DC" w14:textId="77777777" w:rsidR="00841C25" w:rsidRPr="008F3942" w:rsidRDefault="00841C25" w:rsidP="00841C25">
      <w:pPr>
        <w:pStyle w:val="H4G"/>
        <w:rPr>
          <w:rFonts w:eastAsiaTheme="minorHAnsi"/>
        </w:rPr>
      </w:pPr>
      <w:r>
        <w:tab/>
      </w:r>
      <w:r>
        <w:tab/>
      </w:r>
      <w:r>
        <w:rPr>
          <w:iCs/>
        </w:rPr>
        <w:t>Люди с инвалидностью</w:t>
      </w:r>
    </w:p>
    <w:p w14:paraId="6FDD0296" w14:textId="2263D63B" w:rsidR="00841C25" w:rsidRPr="00960B23" w:rsidRDefault="00841C25" w:rsidP="00841C25">
      <w:pPr>
        <w:pStyle w:val="SingleTxtG"/>
      </w:pPr>
      <w:r>
        <w:t>216.</w:t>
      </w:r>
      <w:r>
        <w:tab/>
        <w:t>Стратегия Австралии по вопросам инвалидности на 2021</w:t>
      </w:r>
      <w:r w:rsidR="003B51C9">
        <w:t>/</w:t>
      </w:r>
      <w:r>
        <w:t>31 годы предусматривает создание более инклюзивного и доступного австралийского общества, в котором все люди с инвалидностью смогут реализовать свой потенциал в качестве равноправных членов общества</w:t>
      </w:r>
      <w:r w:rsidRPr="00E0204C">
        <w:rPr>
          <w:rStyle w:val="aa"/>
        </w:rPr>
        <w:footnoteReference w:id="125"/>
      </w:r>
      <w:r>
        <w:t>. Она направлена на достижение следующих целей:</w:t>
      </w:r>
    </w:p>
    <w:p w14:paraId="0CB92124" w14:textId="77777777" w:rsidR="00841C25" w:rsidRPr="008F3942" w:rsidRDefault="00841C25" w:rsidP="00841C25">
      <w:pPr>
        <w:pStyle w:val="Bullet1G"/>
        <w:numPr>
          <w:ilvl w:val="0"/>
          <w:numId w:val="22"/>
        </w:numPr>
      </w:pPr>
      <w:r>
        <w:t>служить общенациональным ориентиром в деле обеспечения большей интеграции людей с инвалидностью;</w:t>
      </w:r>
    </w:p>
    <w:p w14:paraId="3539243E" w14:textId="77777777" w:rsidR="00841C25" w:rsidRPr="008F3942" w:rsidRDefault="00841C25" w:rsidP="00841C25">
      <w:pPr>
        <w:pStyle w:val="Bullet1G"/>
        <w:numPr>
          <w:ilvl w:val="0"/>
          <w:numId w:val="22"/>
        </w:numPr>
      </w:pPr>
      <w:r>
        <w:t>обеспечивать, чтобы меры, принимаемые во всех областях государственной политики, являлись инклюзивными и учитывали интересы людей с инвалидностью;</w:t>
      </w:r>
    </w:p>
    <w:p w14:paraId="6C3020E8" w14:textId="77777777" w:rsidR="00841C25" w:rsidRPr="008F3942" w:rsidRDefault="00841C25" w:rsidP="00841C25">
      <w:pPr>
        <w:pStyle w:val="Bullet1G"/>
        <w:numPr>
          <w:ilvl w:val="0"/>
          <w:numId w:val="22"/>
        </w:numPr>
      </w:pPr>
      <w:r>
        <w:t>стремиться к тому, чтобы оказание основных услуг и функционирование различных систем приводило к улучшению положения для людей с инвалидностью;</w:t>
      </w:r>
    </w:p>
    <w:p w14:paraId="0D6B61F0" w14:textId="77777777" w:rsidR="00841C25" w:rsidRPr="008F3942" w:rsidRDefault="00841C25" w:rsidP="00841C25">
      <w:pPr>
        <w:pStyle w:val="Bullet1G"/>
        <w:numPr>
          <w:ilvl w:val="0"/>
          <w:numId w:val="22"/>
        </w:numPr>
      </w:pPr>
      <w:r>
        <w:lastRenderedPageBreak/>
        <w:t>призывать, информировать и вовлекать все общество в процесс создания более инклюзивного общества.</w:t>
      </w:r>
    </w:p>
    <w:p w14:paraId="6B98FF30" w14:textId="09D9FBE9" w:rsidR="00841C25" w:rsidRPr="008F3942" w:rsidRDefault="00841C25" w:rsidP="00841C25">
      <w:pPr>
        <w:pStyle w:val="SingleTxtG"/>
      </w:pPr>
      <w:r>
        <w:t>217.</w:t>
      </w:r>
      <w:r>
        <w:tab/>
        <w:t>Одобрив стратегию Австралии по вопросам инвалидности на 2021</w:t>
      </w:r>
      <w:r w:rsidRPr="00960B23">
        <w:t>–</w:t>
      </w:r>
      <w:r w:rsidR="003D78B6" w:rsidRPr="003D78B6">
        <w:t>20</w:t>
      </w:r>
      <w:r>
        <w:t>31 годы и национальное соглашение о ликвидации неравенства (ЛН), правительство Австралии взяло на себя обязательство обеспечивать, чтобы стратегии, программы и услуги разрабатывались с учетом жизненного опыта, уникальных потребностей и присущих людям с инвалидностью из числа «первых наций», их семьям и более расширенным общинам сильных сторон и возможностей. Обе рамочные программы предоставляют возможность уделять приоритетное внимание людям с инвалидностью из числа «первых наций», используя инвалидность в качестве сквозного приоритета в соглашении о ликвидации неравенства или уделяя особое внимание интерсекциональности и разнообразию в стратегии Австралии по вопросам инвалидности на 2021</w:t>
      </w:r>
      <w:bookmarkStart w:id="47" w:name="_Hlk170799927"/>
      <w:r>
        <w:t>–</w:t>
      </w:r>
      <w:bookmarkEnd w:id="47"/>
      <w:r w:rsidR="003D78B6" w:rsidRPr="003D78B6">
        <w:t>20</w:t>
      </w:r>
      <w:r>
        <w:t>31 годы.</w:t>
      </w:r>
    </w:p>
    <w:p w14:paraId="6782CDD2" w14:textId="1F732AAB" w:rsidR="00841C25" w:rsidRPr="008F3942" w:rsidRDefault="00841C25" w:rsidP="00841C25">
      <w:pPr>
        <w:pStyle w:val="SingleTxtG"/>
      </w:pPr>
      <w:r>
        <w:t>218.</w:t>
      </w:r>
      <w:r>
        <w:tab/>
        <w:t>В июле 2013 года для обеспечения единого национального подхода к финансированию поддержки людей с инвалидностью, их семей и лиц, обеспечивающих уход, была создана национальная система страхования по инвалидности (НССИ). Она предоставляет всем удовлетворяющим критериям австралийцам в возрасте до 65 лет, имеющим постоянную и значительную инвалидность, разумную и необходимую поддержку, в которой они нуждаются. НССИ</w:t>
      </w:r>
      <w:r w:rsidR="00C65C5C">
        <w:t> </w:t>
      </w:r>
      <w:r>
        <w:t>призвана помочь бенефициарам использовать предоставляемые им разумные и необходимые виды поддержки для достижения своих индивидуальных целей и жить более независимой и полноценной жизнью, в том числе иметь возможности для более активного участия в социальной и экономической жизни. НССИ функционирует на национальном уровне с июля 2020 года.</w:t>
      </w:r>
    </w:p>
    <w:p w14:paraId="201ED505" w14:textId="77777777" w:rsidR="00841C25" w:rsidRPr="008F3942" w:rsidRDefault="00841C25" w:rsidP="00841C25">
      <w:pPr>
        <w:pStyle w:val="SingleTxtG"/>
      </w:pPr>
      <w:r>
        <w:t>219.</w:t>
      </w:r>
      <w:r>
        <w:tab/>
        <w:t>Рамочная программа НССИ по обеспечению качества и гарантий обеспечивает согласованный на национальном уровне подход к качеству и гарантиям, касающимся поддержки и услуг, предоставляемых людям с инвалидностью, в том числе налагает на поставщиков услуг обязательства по разработке более эффективных способов предотвращения, выявления и устранения насилия, жестокого обращения и отсутствия заботы о людях с инвалидностью. Созданная в рамках НССИ комиссия по вопросам качества и гарантий отвечает за надзор за качеством и гарантиями для обеспечения полного осуществления рамочной программы.</w:t>
      </w:r>
    </w:p>
    <w:p w14:paraId="59DEF196" w14:textId="77777777" w:rsidR="00841C25" w:rsidRPr="008F3942" w:rsidRDefault="00841C25" w:rsidP="00841C25">
      <w:pPr>
        <w:pStyle w:val="SingleTxtG"/>
      </w:pPr>
      <w:r>
        <w:t>220.</w:t>
      </w:r>
      <w:r>
        <w:tab/>
        <w:t>В 2019 году межюрисдикционная рабочая группа, состоящая из представителей федерального правительства и правительств штатов, разработала национальное заявление о принципах в отношении лиц, не способных признать себя виновными или признанных невиновными по причине когнитивных или психических расстройств. Эти принципы направлены на определение гарантий в ходе судебных процессов и в тех случаях, когда человек подчиняется приказам. Они представляют собой принципы передовой практики, обеспечивающие индивидуальный подход, инклюзивность и ориентацию на выздоровление, а также взаимодействие учреждений и поставщиков услуг для обеспечения скоординированного ухода.</w:t>
      </w:r>
    </w:p>
    <w:p w14:paraId="58E7005A" w14:textId="77777777" w:rsidR="00841C25" w:rsidRPr="008F3942" w:rsidRDefault="00841C25" w:rsidP="00841C25">
      <w:pPr>
        <w:pStyle w:val="SingleTxtG"/>
      </w:pPr>
      <w:r>
        <w:t>221.</w:t>
      </w:r>
      <w:r>
        <w:tab/>
        <w:t>Федеральные суды принимают ряд мер по улучшению доступа людей с инвалидностью, включая удовлетворение практических потребностей, предоставление доступной информации и ресурсов в Интернете для людей с инвалидностью и лиц, обеспечивающих уход за ними, предоставление информации потенциальным присяжным заседателям о соответствующих услугах, которые могут быть предоставлены в ходе судебного разбирательства, а также организацию обучения судебных работников и персонала федеральных судов.</w:t>
      </w:r>
    </w:p>
    <w:p w14:paraId="31055603" w14:textId="7E91558C" w:rsidR="00841C25" w:rsidRPr="008F3942" w:rsidRDefault="00841C25" w:rsidP="00841C25">
      <w:pPr>
        <w:pStyle w:val="SingleTxtG"/>
      </w:pPr>
      <w:r>
        <w:t>222.</w:t>
      </w:r>
      <w:r>
        <w:tab/>
        <w:t>В соответствии с принятой Комиссией государственной службы Австралии стратегией трудоустройства людей с инвалидностью на 2020–</w:t>
      </w:r>
      <w:r w:rsidR="003D78B6" w:rsidRPr="003D78B6">
        <w:t>20</w:t>
      </w:r>
      <w:r>
        <w:t>25 годы, которая называется «Как единое целое: сделать так, чтобы это произошло», федеральные суды способствуют тому, чтобы люди с инвалидностью могли работать в системе правосудия, тем самым повышая способность системы правосудия более эффективно реагировать на потребности общества.</w:t>
      </w:r>
    </w:p>
    <w:p w14:paraId="34C17859" w14:textId="77777777" w:rsidR="00841C25" w:rsidRPr="008F3942" w:rsidRDefault="00841C25" w:rsidP="00841C25">
      <w:pPr>
        <w:pStyle w:val="H4G"/>
      </w:pPr>
      <w:r>
        <w:lastRenderedPageBreak/>
        <w:tab/>
      </w:r>
      <w:r>
        <w:tab/>
      </w:r>
      <w:r>
        <w:rPr>
          <w:iCs/>
        </w:rPr>
        <w:t>Женщины</w:t>
      </w:r>
    </w:p>
    <w:p w14:paraId="7D32BE34" w14:textId="77777777" w:rsidR="00841C25" w:rsidRPr="00D62FAA" w:rsidRDefault="00841C25" w:rsidP="00841C25">
      <w:pPr>
        <w:pStyle w:val="SingleTxtG"/>
      </w:pPr>
      <w:r>
        <w:t>223.</w:t>
      </w:r>
      <w:r>
        <w:tab/>
        <w:t>Правительство Австралии уделяет приоритетное внимание продвижению гендерного равенства, достижению экономического равенства женщин, прекращению насилия в отношении женщин, увеличению представленности женщин на руководящих и ответственных должностях, а также улучшению здоровья и благополучия женщин. Основные меры принимаются в рамках:</w:t>
      </w:r>
    </w:p>
    <w:p w14:paraId="1EB7C2DC" w14:textId="77777777" w:rsidR="00841C25" w:rsidRPr="008F3942" w:rsidRDefault="00841C25" w:rsidP="00841C25">
      <w:pPr>
        <w:pStyle w:val="Bullet1G"/>
        <w:numPr>
          <w:ilvl w:val="0"/>
          <w:numId w:val="22"/>
        </w:numPr>
      </w:pPr>
      <w:r>
        <w:t>уведомления о бюджетных ассигнованиях на меры, принимаемые в интересах женщин, являющегося документом о бюджете, в котором подробно описываются предусмотренные в бюджете меры, направленные на обеспечение гендерного равенства. Австралия привержена принципу составления бюджета с учетом гендерных факторов, который предусматривает учет гендерного равенства при разработке предложений в отношении политики и способствует достижению результатов в области гендерного равенства путем выделения государственных ресурсов;</w:t>
      </w:r>
    </w:p>
    <w:p w14:paraId="0ABB300A" w14:textId="77777777" w:rsidR="00841C25" w:rsidRPr="008F3942" w:rsidRDefault="00841C25" w:rsidP="00841C25">
      <w:pPr>
        <w:pStyle w:val="Bullet1G"/>
        <w:numPr>
          <w:ilvl w:val="0"/>
          <w:numId w:val="22"/>
        </w:numPr>
      </w:pPr>
      <w:r>
        <w:t>национального плана по искоренению насилия в отношении женщин и детей на 2022–2032 годы, опубликованного 17 октября 2022 года, который представляет собой всеобъемлющую национальную стратегию, определяющую деятельность по искоренению насилия в отношении женщин и детей. В нем уделяется особое внимание определению способов взаимодействия всех составных частей общества, включая правительства, предприятия и компании, средства массовой информации, школы и другие учебные заведения, семьи, органы, ведущие борьбу против домашнего и сексуального насилия, общины и всех людей, для достижения консенсуса в отношении подхода, который позволит покончить с гендерным насилием в течение времени, необходимого для появления нового поколения. Правительство Австралии также взяло на себя обязательство по осуществлению первого в Австралии отдельного национального плана для «первых наций» по искоренению насилия в отношении женщин и детей;</w:t>
      </w:r>
    </w:p>
    <w:p w14:paraId="4A2EB95D" w14:textId="77777777" w:rsidR="00841C25" w:rsidRPr="008F3942" w:rsidRDefault="00841C25" w:rsidP="00841C25">
      <w:pPr>
        <w:pStyle w:val="Bullet1G"/>
        <w:numPr>
          <w:ilvl w:val="0"/>
          <w:numId w:val="22"/>
        </w:numPr>
      </w:pPr>
      <w:r>
        <w:t xml:space="preserve">национальной стратегии охраны здоровья женщин на 2020–2030 годы, в которой изложен общенациональный подход Австралии к улучшению здоровья женщин и девочек </w:t>
      </w:r>
      <w:r w:rsidRPr="003D6E21">
        <w:t>—</w:t>
      </w:r>
      <w:r>
        <w:t xml:space="preserve"> особенно тех, кто подвержен наибольшему риску ухудшения здоровья, </w:t>
      </w:r>
      <w:r w:rsidRPr="003D6E21">
        <w:t>—</w:t>
      </w:r>
      <w:r>
        <w:t xml:space="preserve"> и сокращению неравенства между различными группами женщин и девочек;</w:t>
      </w:r>
    </w:p>
    <w:p w14:paraId="7D89F46E" w14:textId="13930215" w:rsidR="00841C25" w:rsidRPr="008F3942" w:rsidRDefault="00841C25" w:rsidP="00841C25">
      <w:pPr>
        <w:pStyle w:val="Bullet1G"/>
        <w:numPr>
          <w:ilvl w:val="0"/>
          <w:numId w:val="22"/>
        </w:numPr>
      </w:pPr>
      <w:r>
        <w:t xml:space="preserve">национального плана действий по борьбе с современным рабством на </w:t>
      </w:r>
      <w:r w:rsidR="005F6C50">
        <w:br/>
      </w:r>
      <w:r>
        <w:t>2020–</w:t>
      </w:r>
      <w:r w:rsidR="003D78B6" w:rsidRPr="003D78B6">
        <w:t>20</w:t>
      </w:r>
      <w:r>
        <w:t>25 годы, предусматривающего осуществление инициатив и практических мер по предотвращению торговли людьми, рабства и сходных с рабством практик (включая принудительные браки) и обеспечению защиты и поддержки пострадавших людей. Одним из девяти основополагающих принципов национального плана действий является удовлетворение особых потребностей женщин и детей, которые в непропорционально большой степени страдают от современного рабства. В более широком смысле меры по борьбе с современным рабством в Австралии включают в себя включение в Закон об уголовном кодексе 1995 года (АС) положений, определяющих торговлю людьми, рабство и сходные с рабством практики в качестве преступлений общего характера, совершение которых влечет за собой наказание в виде лишения свободы на срок до 25 лет, функционирование специальных следственных групп федеральной полиции Австралии, наличие специальной программы поддержки жертв, а также системы обеспечения раскрытия цепочек поставок в Австралии в соответствии с Законом о современном рабстве 2018</w:t>
      </w:r>
      <w:r w:rsidR="004F59E4">
        <w:t> </w:t>
      </w:r>
      <w:r>
        <w:t>года (АС).</w:t>
      </w:r>
    </w:p>
    <w:p w14:paraId="30732363" w14:textId="77777777" w:rsidR="00841C25" w:rsidRPr="008F3942" w:rsidRDefault="00841C25" w:rsidP="00841C25">
      <w:pPr>
        <w:pStyle w:val="SingleTxtG"/>
      </w:pPr>
      <w:bookmarkStart w:id="48" w:name="_Ref64892699"/>
      <w:r>
        <w:t>224.</w:t>
      </w:r>
      <w:r>
        <w:tab/>
        <w:t>Деятельность по борьбе с дискриминацией и содействию равенству женщин в вопросах права и уголовного правосудия включает в себя:</w:t>
      </w:r>
      <w:bookmarkEnd w:id="48"/>
    </w:p>
    <w:p w14:paraId="4C215785" w14:textId="77777777" w:rsidR="00841C25" w:rsidRPr="008F3942" w:rsidRDefault="00841C25" w:rsidP="00841C25">
      <w:pPr>
        <w:pStyle w:val="Bullet1G"/>
        <w:numPr>
          <w:ilvl w:val="0"/>
          <w:numId w:val="22"/>
        </w:numPr>
      </w:pPr>
      <w:r>
        <w:t>внесение поправок в Закон о семейном праве 1975 года, направленных на расширение возможностей судов по защите жертв семейного насилия, запрет при определенных обстоятельствах перекрестного допроса в ходе семейных разбирательств, связанных с обвинениями в семейном насилии, а также на оптимизацию судебных процессов;</w:t>
      </w:r>
    </w:p>
    <w:p w14:paraId="362758E4" w14:textId="77777777" w:rsidR="00841C25" w:rsidRPr="008F3942" w:rsidRDefault="00841C25" w:rsidP="00841C25">
      <w:pPr>
        <w:pStyle w:val="Bullet1G"/>
        <w:numPr>
          <w:ilvl w:val="0"/>
          <w:numId w:val="22"/>
        </w:numPr>
      </w:pPr>
      <w:r>
        <w:lastRenderedPageBreak/>
        <w:t>расширение обмена информацией о рисках насилия в семье, жестокого обращения с детьми и отсутствия заботы о них между семейными судами и системами защиты детей и уголовного правосудия путем направления сотрудников служб защиты детей и сотрудников полиции штатов и территорий на работу в федеральные семейные суды, а также осуществление национальной стратегической программы по обмену информацией между учреждениями системы семейного права и системы защиты детей от насилия в семье;</w:t>
      </w:r>
    </w:p>
    <w:p w14:paraId="1E89F8EC" w14:textId="77777777" w:rsidR="00841C25" w:rsidRPr="008F3942" w:rsidRDefault="00841C25" w:rsidP="00841C25">
      <w:pPr>
        <w:pStyle w:val="Bullet1G"/>
        <w:numPr>
          <w:ilvl w:val="0"/>
          <w:numId w:val="22"/>
        </w:numPr>
      </w:pPr>
      <w:r>
        <w:t>обеспечение доступа к юридической помощи в рамках национального партнерства по оказанию юридической помощи на 2020–2025 годы (НПОЮП) с уделением особого внимания лицам, подвергающимся или рискующим подвергнуться семейному насилию, а также в рамках национальной программы по оказанию специализированной юридической помощи по вопросам семейного насилия;</w:t>
      </w:r>
    </w:p>
    <w:p w14:paraId="2E1F4443" w14:textId="77777777" w:rsidR="00841C25" w:rsidRPr="008F3942" w:rsidRDefault="00841C25" w:rsidP="00841C25">
      <w:pPr>
        <w:pStyle w:val="Bullet1G"/>
        <w:numPr>
          <w:ilvl w:val="0"/>
          <w:numId w:val="22"/>
        </w:numPr>
      </w:pPr>
      <w:r>
        <w:t xml:space="preserve">публикацию национального руководства по предотвращению домашнего и семейного насилия, которое является основным источником информации для сотрудников судебных органов, рассматривающих правовые вопросы, связанные с делами о домашнем и семейном насилии, для содействия использованию единого подхода к рассмотрению таких дел в разных юрисдикциях и оказания помощи в принятии решений, а также финансирование обучения всех работников федеральных судов, судов штатов и территорий для повышения уровня компетентности в вопросах, касающихся семейного насилия. </w:t>
      </w:r>
    </w:p>
    <w:p w14:paraId="008A7F9B" w14:textId="03EB63CE" w:rsidR="00841C25" w:rsidRPr="008F3942" w:rsidRDefault="00841C25" w:rsidP="00841C25">
      <w:pPr>
        <w:pStyle w:val="SingleTxtG"/>
      </w:pPr>
      <w:r>
        <w:t>225.</w:t>
      </w:r>
      <w:r>
        <w:tab/>
        <w:t>Агентство по обеспечению гендерного равенства на рабочих местах (АОГРРМ) является официальным агентством правительства Австралии, которое занимается продвижением гендерного равенства на рабочих местах в Австралии. Основные функции этого агентства включают предоставление консультаций, практических инструментов и обучения для работодателей, а также мониторинг и отчетность о результатах работы по обеспечению гендерного равенства. Крупные работодатели обязаны отчитываться перед АОГРРМ по показателям, касающимся гендерного равенства, включая гендерный состав рабочей силы, гендерный разрыв в оплате труда (разница между средним заработком женщин и мужчин за полный рабочий день), а</w:t>
      </w:r>
      <w:r w:rsidR="003B51C9">
        <w:t> </w:t>
      </w:r>
      <w:r>
        <w:t>также сексуальных домогательств и случаев дискриминации по признаку пола.</w:t>
      </w:r>
    </w:p>
    <w:p w14:paraId="5C4E18CD" w14:textId="77777777" w:rsidR="00841C25" w:rsidRPr="008F3942" w:rsidRDefault="00841C25" w:rsidP="00841C25">
      <w:pPr>
        <w:pStyle w:val="SingleTxtG"/>
      </w:pPr>
      <w:r>
        <w:t>226.</w:t>
      </w:r>
      <w:r>
        <w:tab/>
        <w:t>В 2022 году началось осуществление четвертого этапа национальной кампании по первичной профилактике насилия в отношении женщин «Останови его в самом начале»</w:t>
      </w:r>
      <w:r w:rsidRPr="00E0204C">
        <w:rPr>
          <w:rStyle w:val="aa"/>
        </w:rPr>
        <w:footnoteReference w:id="126"/>
      </w:r>
      <w:r>
        <w:t xml:space="preserve">. В ходе этой кампании используется широкий медийный подход, подкрепленный онлайн-инструментами и ресурсами, с тем чтобы привлечь внимание молодежи к важности обсуждения вопросов, связанных с проявлениями неуважения и гендерного неравенства, и разорвать порочный круг насилия в отношении женщин. </w:t>
      </w:r>
    </w:p>
    <w:p w14:paraId="3B1A52DB" w14:textId="77777777" w:rsidR="00841C25" w:rsidRPr="008F3942" w:rsidRDefault="00841C25" w:rsidP="00841C25">
      <w:pPr>
        <w:pStyle w:val="SingleTxtG"/>
      </w:pPr>
      <w:r>
        <w:t>227.</w:t>
      </w:r>
      <w:r>
        <w:tab/>
        <w:t>Под руководством тогдашнего уполномоченного по вопросам дискриминации по признаку пола было проведено исследование по вопросу о культуре трудовых отношений между австралийскими парламентариями, по итогам которого в 2021 году был опубликован доклад «Установить стандарт», содержащий рекомендации в отношении того, как обеспечить безопасность и уважительное отношение на этой работе. После публикации в 2020 году доклада «Уважение в сфере труда» вышеупомянутый уполномоченный также инициировал осуществление значительных изменений в сфере культуры трудовых отношений в Австралии с целью обеспечения более эффективной борьбы с сексуальными домогательствами с помощью инициатив по реформированию законодательства и изменению культуры.</w:t>
      </w:r>
    </w:p>
    <w:p w14:paraId="7BE96D74" w14:textId="02849111" w:rsidR="00841C25" w:rsidRPr="008F3942" w:rsidRDefault="005F6C50" w:rsidP="00841C25">
      <w:pPr>
        <w:pStyle w:val="H1G"/>
      </w:pPr>
      <w:bookmarkStart w:id="49" w:name="_Toc147326784"/>
      <w:r>
        <w:tab/>
      </w:r>
      <w:r w:rsidR="00841C25">
        <w:t>B.</w:t>
      </w:r>
      <w:r w:rsidR="00841C25">
        <w:tab/>
        <w:t>Эффективные средства правовой защиты</w:t>
      </w:r>
      <w:bookmarkStart w:id="50" w:name="_Toc167980149"/>
      <w:bookmarkEnd w:id="49"/>
      <w:bookmarkEnd w:id="50"/>
    </w:p>
    <w:p w14:paraId="4518E96F" w14:textId="77777777" w:rsidR="00841C25" w:rsidRPr="008F3942" w:rsidRDefault="00841C25" w:rsidP="00841C25">
      <w:pPr>
        <w:pStyle w:val="SingleTxtG"/>
      </w:pPr>
      <w:r>
        <w:t>228.</w:t>
      </w:r>
      <w:r>
        <w:tab/>
        <w:t xml:space="preserve">Имеющиеся в Австралии основные механизмы для получения средств правовой защиты в связи с нарушениями прав человека описаны в разделах B и C части 2 и </w:t>
      </w:r>
      <w:r>
        <w:lastRenderedPageBreak/>
        <w:t>включают в себя АКПЧ, федеральные суды, суды штатов и территорий, а также различные другие органы, включая омбудсменов, комиссии и трибуналы.</w:t>
      </w:r>
    </w:p>
    <w:p w14:paraId="67C02F8C" w14:textId="77777777" w:rsidR="00841C25" w:rsidRPr="008F3942" w:rsidRDefault="00841C25" w:rsidP="00841C25">
      <w:pPr>
        <w:pStyle w:val="SingleTxtG"/>
      </w:pPr>
      <w:r>
        <w:t>229.</w:t>
      </w:r>
      <w:r>
        <w:tab/>
        <w:t>Для облегчения эффективного доступа к таким механизмам комиссии по оказанию правовой помощи и общинные юридические центры могут предоставлять бесплатные консультации или помощь в подаче жалоб в соответствии с законодательством о борьбе с дискриминацией. Они финансируются Австралийским Союзом и правительствами штатов и территорий, но являются независимыми от правительств и выполняют свои функции самостоятельно.</w:t>
      </w:r>
    </w:p>
    <w:p w14:paraId="52ED0119" w14:textId="7878B08F" w:rsidR="00841C25" w:rsidRPr="008F3942" w:rsidRDefault="00841C25" w:rsidP="00841C25">
      <w:pPr>
        <w:pStyle w:val="SingleTxtG"/>
      </w:pPr>
      <w:r>
        <w:t>230.</w:t>
      </w:r>
      <w:r>
        <w:tab/>
        <w:t>Урегулирование большинства жалоб, расследуемых AКПЧ, осуществляется путем примирения сторон. В 2021</w:t>
      </w:r>
      <w:r w:rsidR="004F59E4">
        <w:t>/</w:t>
      </w:r>
      <w:r>
        <w:t xml:space="preserve">22 году AКПЧ получила 3736 жалоб и применила процедуры примирения сторон в отношении примерно 1819 жалоб, из которых </w:t>
      </w:r>
      <w:r w:rsidR="005F6C50">
        <w:br/>
      </w:r>
      <w:r>
        <w:t>1128 (62 процента) были успешно урегулированы</w:t>
      </w:r>
      <w:r w:rsidRPr="00E0204C">
        <w:rPr>
          <w:rStyle w:val="aa"/>
        </w:rPr>
        <w:footnoteReference w:id="127"/>
      </w:r>
      <w:r>
        <w:t>. Жалобы могут быть урегулированы различными способами, включая, например, принесение извинений, изменение политики или выплату компенсации. Заявители и ответчики не платят никаких сборов за получение доступа к примирительной процедуре. Жалобы и результаты примирительной процедуры являются конфиденциальными.</w:t>
      </w:r>
    </w:p>
    <w:p w14:paraId="695003DB" w14:textId="77777777" w:rsidR="00841C25" w:rsidRPr="008F3942" w:rsidRDefault="00841C25" w:rsidP="00841C25">
      <w:pPr>
        <w:pStyle w:val="SingleTxtG"/>
      </w:pPr>
      <w:bookmarkStart w:id="51" w:name="OLE_LINK9"/>
      <w:r>
        <w:t>231.</w:t>
      </w:r>
      <w:r>
        <w:tab/>
        <w:t>Если жалобу, поданную в соответствии с федеральным законодательством о борьбе с дискриминацией, не удается урегулировать, при определенных обстоятельствах заявитель может обратиться в федеральный суд. Суды уполномочены рассматривать вопрос о том, являются ли те или иные заявления достаточно обоснованными для проведения слушаний, и выносить постановления, если они подтверждают, что имела место незаконная дискриминация. Средства правовой защиты, которые могут быть предоставлены судом, включают постановления, запрещающие повторять или продолжать незаконную дискриминацию, требующие принести извинения, выплатить заявителю компенсацию, трудоустроить или повторно принять на работу заявителя, либо совершить любые разумные действия или использовать линию поведения для возмещения любых потерь или ущерба.</w:t>
      </w:r>
    </w:p>
    <w:bookmarkEnd w:id="51"/>
    <w:p w14:paraId="3DB0D85A" w14:textId="77777777" w:rsidR="00841C25" w:rsidRPr="008F3942" w:rsidRDefault="00841C25" w:rsidP="00841C25">
      <w:pPr>
        <w:pStyle w:val="H4G"/>
      </w:pPr>
      <w:r>
        <w:tab/>
      </w:r>
      <w:r>
        <w:tab/>
      </w:r>
      <w:r>
        <w:rPr>
          <w:iCs/>
        </w:rPr>
        <w:t>Средства правовой защиты для лиц, содержащихся под стражей</w:t>
      </w:r>
    </w:p>
    <w:p w14:paraId="4468CED6" w14:textId="77777777" w:rsidR="00841C25" w:rsidRPr="008F3942" w:rsidRDefault="00841C25" w:rsidP="00841C25">
      <w:pPr>
        <w:pStyle w:val="SingleTxtG"/>
      </w:pPr>
      <w:r>
        <w:t>232.</w:t>
      </w:r>
      <w:r>
        <w:tab/>
        <w:t>Заключенные в Австралии имеют доступ к механизмам подачи жалоб через существующие в штатах и территориях органы и омбудсменов, занимающихся вопросами дискриминации. Кроме того, заключенные, осужденные в соответствии с федеральным законодательством, также могут подать жалобу в AКПЧ.</w:t>
      </w:r>
    </w:p>
    <w:p w14:paraId="03D3AEEE" w14:textId="77777777" w:rsidR="00841C25" w:rsidRPr="008F3942" w:rsidRDefault="00841C25" w:rsidP="00841C25">
      <w:pPr>
        <w:pStyle w:val="SingleTxtG"/>
      </w:pPr>
      <w:r>
        <w:t>233.</w:t>
      </w:r>
      <w:r>
        <w:tab/>
        <w:t>Лица, помещенные в иммиграционные центры, имеют право подавать жалобы на политику Министерства внутренних дел (включая пограничные силы Австралии), условия содержания под стражей или предоставляемые услуги. Это можно делать через поставщиков услуг, Министерство внутренних дел, канцелярию омбудсмена Австралийского Союза, AКПЧ, Австралийский Красный Крест, Международный комитет Красного Креста или Управление Верховного комиссара Организации Объединенных Наций по делам беженцев.</w:t>
      </w:r>
    </w:p>
    <w:p w14:paraId="6AEA8300" w14:textId="77777777" w:rsidR="00841C25" w:rsidRPr="008F3942" w:rsidRDefault="00841C25" w:rsidP="00841C25">
      <w:pPr>
        <w:pStyle w:val="SingleTxtG"/>
      </w:pPr>
      <w:r>
        <w:t>234.</w:t>
      </w:r>
      <w:r>
        <w:tab/>
        <w:t>21 декабря 2017 года Австралия ратифицировала ФП-КПП.</w:t>
      </w:r>
    </w:p>
    <w:p w14:paraId="41B08D16" w14:textId="77777777" w:rsidR="00841C25" w:rsidRPr="008F3942" w:rsidRDefault="00841C25" w:rsidP="00841C25">
      <w:pPr>
        <w:pStyle w:val="Bullet1G"/>
        <w:numPr>
          <w:ilvl w:val="0"/>
          <w:numId w:val="22"/>
        </w:numPr>
      </w:pPr>
      <w:r>
        <w:t>ФП-КПП требует создания превентивной системы регулярных посещений мест содержания под стражей соответствующими национальными и международными надзорными органами, обладающими всеми необходимыми полномочиями, ресурсами и независимостью для эффективной работы;</w:t>
      </w:r>
    </w:p>
    <w:p w14:paraId="2D216906" w14:textId="77777777" w:rsidR="00841C25" w:rsidRPr="008F3942" w:rsidRDefault="00841C25" w:rsidP="00841C25">
      <w:pPr>
        <w:pStyle w:val="Bullet1G"/>
        <w:numPr>
          <w:ilvl w:val="0"/>
          <w:numId w:val="22"/>
        </w:numPr>
      </w:pPr>
      <w:r>
        <w:t>согласно ФП-КПП Австралия обязана создать один или несколько национальных превентивных механизмов (НПМ), а также содействовать посещениям подкомитета по предупреждению пыток (ППП). Как НПМ, так и ППП проводят посещения с целью обеспечения предотвращения пыток и других жестоких, бесчеловечных или унижающих достоинство видов обращения и наказания в местах содержания под стражей;</w:t>
      </w:r>
    </w:p>
    <w:p w14:paraId="75C6D176" w14:textId="77777777" w:rsidR="00841C25" w:rsidRPr="008F3942" w:rsidRDefault="00841C25" w:rsidP="00841C25">
      <w:pPr>
        <w:pStyle w:val="Bullet1G"/>
        <w:numPr>
          <w:ilvl w:val="0"/>
          <w:numId w:val="22"/>
        </w:numPr>
      </w:pPr>
      <w:r>
        <w:lastRenderedPageBreak/>
        <w:t>после ратификации в 2017 году ФП-КПП Австралия сделала заявление в соответствии с его статьей 24 об отсрочке обязательств по НПМ на срок до трех лет, с тем чтобы совместно с правительствами штатов и территорий провести работу по созданию австралийских НПМ. В 2022 году Комитет против пыток удовлетворил просьбу Австралии о продлении отсрочки еще на 12 месяцев, отложив начало выполнения ее обязательств по НПМ до 20 января 2023 года;</w:t>
      </w:r>
    </w:p>
    <w:p w14:paraId="675E843D" w14:textId="77777777" w:rsidR="00841C25" w:rsidRPr="008F3942" w:rsidRDefault="00841C25" w:rsidP="00841C25">
      <w:pPr>
        <w:pStyle w:val="Bullet1G"/>
        <w:numPr>
          <w:ilvl w:val="0"/>
          <w:numId w:val="22"/>
        </w:numPr>
      </w:pPr>
      <w:r>
        <w:t>австралийские НПМ представляют собой сеть сотрудничающих между собой федеральных органов, органов штатов и территорий, отвечающих за посещения мест содержания под стражей, и их деятельность координирует омбудсмен Австралийского Союза. Шесть из восьми правительств штатов и территорий создали один или нескольких НПМ;</w:t>
      </w:r>
    </w:p>
    <w:p w14:paraId="0EAE6D65" w14:textId="77777777" w:rsidR="00841C25" w:rsidRDefault="00841C25" w:rsidP="00F33CDC">
      <w:pPr>
        <w:pStyle w:val="Bullet1G"/>
        <w:numPr>
          <w:ilvl w:val="0"/>
          <w:numId w:val="22"/>
        </w:numPr>
      </w:pPr>
      <w:r>
        <w:t>положения ФП-КПП, предусматривающие создание независимых органов, которые посещают места содержания под стражей, преследуют цель предотвращения причинения вреда путем раннего выявления и устранения проблем, что приводит к улучшению положения людей, содержащихся под стражей, в том числе тех, кто испытывает дополнительную уязвимость, например людей с инвалидностью, включая людей, страдающих психическими заболеваниями, а также представителей «первых наций» и молодых людей;</w:t>
      </w:r>
    </w:p>
    <w:p w14:paraId="4E9EE63A" w14:textId="657A38AF" w:rsidR="00381C24" w:rsidRDefault="00841C25" w:rsidP="00F33CDC">
      <w:pPr>
        <w:pStyle w:val="Bullet1G"/>
        <w:numPr>
          <w:ilvl w:val="0"/>
          <w:numId w:val="22"/>
        </w:numPr>
      </w:pPr>
      <w:r>
        <w:t>посещения НПМ и ППП проводятся в целях предупреждения и наблюдения, и по итогам этих посещений соответствующим органам власти, включая федеральные правительства, правительства штатов и территорий, могут представляться рекомендации.</w:t>
      </w:r>
    </w:p>
    <w:p w14:paraId="071119B8" w14:textId="77777777" w:rsidR="005C3FD3" w:rsidRDefault="005C3FD3">
      <w:pPr>
        <w:suppressAutoHyphens w:val="0"/>
        <w:spacing w:line="240" w:lineRule="auto"/>
        <w:sectPr w:rsidR="005C3FD3" w:rsidSect="00841C25">
          <w:headerReference w:type="even" r:id="rId30"/>
          <w:headerReference w:type="default" r:id="rId31"/>
          <w:footerReference w:type="even" r:id="rId32"/>
          <w:footerReference w:type="default" r:id="rId33"/>
          <w:footerReference w:type="first" r:id="rId34"/>
          <w:endnotePr>
            <w:numFmt w:val="decimal"/>
          </w:endnotePr>
          <w:pgSz w:w="11906" w:h="16838" w:code="9"/>
          <w:pgMar w:top="1418" w:right="1134" w:bottom="1134" w:left="1134" w:header="851" w:footer="567" w:gutter="0"/>
          <w:cols w:space="708"/>
          <w:titlePg/>
          <w:docGrid w:linePitch="360"/>
        </w:sectPr>
      </w:pPr>
    </w:p>
    <w:p w14:paraId="08488006" w14:textId="4E652427" w:rsidR="00841C25" w:rsidRPr="008F3942" w:rsidRDefault="005F6C50" w:rsidP="00841C25">
      <w:pPr>
        <w:pStyle w:val="HChG"/>
      </w:pPr>
      <w:r>
        <w:rPr>
          <w:bCs/>
        </w:rPr>
        <w:lastRenderedPageBreak/>
        <w:tab/>
      </w:r>
      <w:r w:rsidR="00841C25">
        <w:rPr>
          <w:bCs/>
        </w:rPr>
        <w:t>Приложение I</w:t>
      </w:r>
      <w:bookmarkStart w:id="52" w:name="_Toc167980150"/>
      <w:bookmarkEnd w:id="52"/>
    </w:p>
    <w:p w14:paraId="606408A5" w14:textId="77777777" w:rsidR="00841C25" w:rsidRPr="008F3942" w:rsidRDefault="00841C25" w:rsidP="00841C25">
      <w:pPr>
        <w:pStyle w:val="HChG"/>
      </w:pPr>
      <w:r>
        <w:tab/>
      </w:r>
      <w:r>
        <w:tab/>
        <w:t>Дополнительные статистические данные</w:t>
      </w:r>
      <w:bookmarkStart w:id="53" w:name="_Toc167980151"/>
      <w:bookmarkEnd w:id="53"/>
    </w:p>
    <w:p w14:paraId="0F45D49A" w14:textId="655294B4" w:rsidR="00841C25" w:rsidRPr="008F3942" w:rsidRDefault="005F6C50" w:rsidP="005F6C50">
      <w:pPr>
        <w:pStyle w:val="H23G"/>
        <w:rPr>
          <w:bCs/>
        </w:rPr>
      </w:pPr>
      <w:r>
        <w:tab/>
      </w:r>
      <w:r>
        <w:tab/>
      </w:r>
      <w:r w:rsidR="00841C25" w:rsidRPr="005F6C50">
        <w:rPr>
          <w:b w:val="0"/>
          <w:bCs/>
        </w:rPr>
        <w:t>Таблица A1</w:t>
      </w:r>
      <w:r w:rsidRPr="005F6C50">
        <w:rPr>
          <w:b w:val="0"/>
          <w:bCs/>
        </w:rPr>
        <w:br/>
      </w:r>
      <w:r w:rsidR="00841C25">
        <w:rPr>
          <w:bCs/>
        </w:rPr>
        <w:t xml:space="preserve">Численность населения по пятилетним возрастным группам, Австралия, </w:t>
      </w:r>
      <w:r w:rsidR="00A4109C">
        <w:rPr>
          <w:bCs/>
        </w:rPr>
        <w:br/>
      </w:r>
      <w:r w:rsidR="00841C25">
        <w:rPr>
          <w:bCs/>
        </w:rPr>
        <w:t>2018 и 2022 годы</w:t>
      </w:r>
    </w:p>
    <w:tbl>
      <w:tblPr>
        <w:tblW w:w="7612" w:type="dxa"/>
        <w:tblInd w:w="1134" w:type="dxa"/>
        <w:tblLayout w:type="fixed"/>
        <w:tblCellMar>
          <w:left w:w="0" w:type="dxa"/>
          <w:right w:w="0" w:type="dxa"/>
        </w:tblCellMar>
        <w:tblLook w:val="04A0" w:firstRow="1" w:lastRow="0" w:firstColumn="1" w:lastColumn="0" w:noHBand="0" w:noVBand="1"/>
      </w:tblPr>
      <w:tblGrid>
        <w:gridCol w:w="1218"/>
        <w:gridCol w:w="1625"/>
        <w:gridCol w:w="1552"/>
        <w:gridCol w:w="141"/>
        <w:gridCol w:w="1625"/>
        <w:gridCol w:w="1451"/>
      </w:tblGrid>
      <w:tr w:rsidR="005F6C50" w:rsidRPr="005F6C50" w14:paraId="01EC4700" w14:textId="77777777" w:rsidTr="005F6C50">
        <w:tc>
          <w:tcPr>
            <w:tcW w:w="1218" w:type="dxa"/>
            <w:vMerge w:val="restart"/>
            <w:tcBorders>
              <w:top w:val="single" w:sz="4" w:space="0" w:color="auto"/>
              <w:bottom w:val="single" w:sz="12" w:space="0" w:color="auto"/>
            </w:tcBorders>
            <w:shd w:val="clear" w:color="auto" w:fill="auto"/>
            <w:vAlign w:val="bottom"/>
          </w:tcPr>
          <w:p w14:paraId="04F9DE02" w14:textId="77777777" w:rsidR="005F6C50" w:rsidRPr="005F6C50" w:rsidRDefault="005F6C50" w:rsidP="005F6C50">
            <w:pPr>
              <w:spacing w:before="80" w:after="80" w:line="200" w:lineRule="exact"/>
              <w:ind w:left="28"/>
              <w:rPr>
                <w:rFonts w:cs="Times New Roman"/>
                <w:i/>
                <w:iCs/>
                <w:sz w:val="16"/>
              </w:rPr>
            </w:pPr>
            <w:r w:rsidRPr="005F6C50">
              <w:rPr>
                <w:rFonts w:cs="Times New Roman"/>
                <w:i/>
                <w:iCs/>
                <w:sz w:val="16"/>
              </w:rPr>
              <w:t>Возраст</w:t>
            </w:r>
          </w:p>
        </w:tc>
        <w:tc>
          <w:tcPr>
            <w:tcW w:w="3177" w:type="dxa"/>
            <w:gridSpan w:val="2"/>
            <w:tcBorders>
              <w:top w:val="single" w:sz="4" w:space="0" w:color="auto"/>
              <w:bottom w:val="single" w:sz="4" w:space="0" w:color="auto"/>
            </w:tcBorders>
            <w:shd w:val="clear" w:color="auto" w:fill="auto"/>
            <w:vAlign w:val="bottom"/>
          </w:tcPr>
          <w:p w14:paraId="00C69FD6" w14:textId="77777777" w:rsidR="005F6C50" w:rsidRPr="005F6C50" w:rsidRDefault="005F6C50" w:rsidP="005F6C50">
            <w:pPr>
              <w:spacing w:before="80" w:after="80" w:line="200" w:lineRule="exact"/>
              <w:ind w:left="28"/>
              <w:jc w:val="center"/>
              <w:rPr>
                <w:rFonts w:cs="Times New Roman"/>
                <w:i/>
                <w:iCs/>
                <w:sz w:val="16"/>
              </w:rPr>
            </w:pPr>
            <w:r w:rsidRPr="005F6C50">
              <w:rPr>
                <w:rFonts w:cs="Times New Roman"/>
                <w:i/>
                <w:iCs/>
                <w:sz w:val="16"/>
              </w:rPr>
              <w:t>2018</w:t>
            </w:r>
          </w:p>
        </w:tc>
        <w:tc>
          <w:tcPr>
            <w:tcW w:w="141" w:type="dxa"/>
            <w:tcBorders>
              <w:top w:val="single" w:sz="4" w:space="0" w:color="auto"/>
            </w:tcBorders>
          </w:tcPr>
          <w:p w14:paraId="71A735C9" w14:textId="77777777" w:rsidR="005F6C50" w:rsidRPr="005F6C50" w:rsidRDefault="005F6C50" w:rsidP="005F6C50">
            <w:pPr>
              <w:spacing w:before="80" w:after="80" w:line="200" w:lineRule="exact"/>
              <w:ind w:left="28"/>
              <w:jc w:val="center"/>
              <w:rPr>
                <w:rFonts w:cs="Times New Roman"/>
                <w:i/>
                <w:iCs/>
                <w:sz w:val="16"/>
              </w:rPr>
            </w:pPr>
          </w:p>
        </w:tc>
        <w:tc>
          <w:tcPr>
            <w:tcW w:w="3076" w:type="dxa"/>
            <w:gridSpan w:val="2"/>
            <w:tcBorders>
              <w:top w:val="single" w:sz="4" w:space="0" w:color="auto"/>
            </w:tcBorders>
            <w:shd w:val="clear" w:color="auto" w:fill="auto"/>
            <w:vAlign w:val="bottom"/>
          </w:tcPr>
          <w:p w14:paraId="5EEE958E" w14:textId="4DC3F552" w:rsidR="005F6C50" w:rsidRPr="005F6C50" w:rsidRDefault="005F6C50" w:rsidP="005F6C50">
            <w:pPr>
              <w:spacing w:before="80" w:after="80" w:line="200" w:lineRule="exact"/>
              <w:ind w:left="28"/>
              <w:jc w:val="center"/>
              <w:rPr>
                <w:rFonts w:cs="Times New Roman"/>
                <w:i/>
                <w:iCs/>
                <w:sz w:val="16"/>
              </w:rPr>
            </w:pPr>
            <w:r w:rsidRPr="005F6C50">
              <w:rPr>
                <w:rFonts w:cs="Times New Roman"/>
                <w:i/>
                <w:iCs/>
                <w:sz w:val="16"/>
              </w:rPr>
              <w:t>2022</w:t>
            </w:r>
          </w:p>
        </w:tc>
      </w:tr>
      <w:tr w:rsidR="005F6C50" w:rsidRPr="005F6C50" w14:paraId="3E1314C0" w14:textId="77777777" w:rsidTr="005F6C50">
        <w:tc>
          <w:tcPr>
            <w:tcW w:w="1218" w:type="dxa"/>
            <w:vMerge/>
            <w:tcBorders>
              <w:top w:val="single" w:sz="12" w:space="0" w:color="auto"/>
              <w:bottom w:val="single" w:sz="12" w:space="0" w:color="auto"/>
            </w:tcBorders>
            <w:shd w:val="clear" w:color="auto" w:fill="auto"/>
            <w:vAlign w:val="bottom"/>
          </w:tcPr>
          <w:p w14:paraId="606C84D8" w14:textId="77777777" w:rsidR="005F6C50" w:rsidRPr="005F6C50" w:rsidRDefault="005F6C50" w:rsidP="005F6C50">
            <w:pPr>
              <w:spacing w:before="80" w:after="80" w:line="200" w:lineRule="exact"/>
              <w:ind w:left="28"/>
              <w:rPr>
                <w:rFonts w:cs="Times New Roman"/>
                <w:i/>
                <w:iCs/>
                <w:sz w:val="16"/>
              </w:rPr>
            </w:pPr>
          </w:p>
        </w:tc>
        <w:tc>
          <w:tcPr>
            <w:tcW w:w="1625" w:type="dxa"/>
            <w:tcBorders>
              <w:top w:val="single" w:sz="4" w:space="0" w:color="auto"/>
              <w:bottom w:val="single" w:sz="12" w:space="0" w:color="auto"/>
            </w:tcBorders>
            <w:shd w:val="clear" w:color="auto" w:fill="auto"/>
            <w:vAlign w:val="bottom"/>
          </w:tcPr>
          <w:p w14:paraId="3E313501" w14:textId="77777777" w:rsidR="005F6C50" w:rsidRPr="005F6C50" w:rsidRDefault="005F6C50" w:rsidP="005F6C50">
            <w:pPr>
              <w:spacing w:before="80" w:after="80" w:line="200" w:lineRule="exact"/>
              <w:ind w:left="28"/>
              <w:jc w:val="right"/>
              <w:rPr>
                <w:rFonts w:cs="Times New Roman"/>
                <w:i/>
                <w:iCs/>
                <w:sz w:val="16"/>
              </w:rPr>
            </w:pPr>
            <w:r w:rsidRPr="005F6C50">
              <w:rPr>
                <w:rFonts w:cs="Times New Roman"/>
                <w:i/>
                <w:iCs/>
                <w:sz w:val="16"/>
              </w:rPr>
              <w:t>Число</w:t>
            </w:r>
          </w:p>
        </w:tc>
        <w:tc>
          <w:tcPr>
            <w:tcW w:w="1552" w:type="dxa"/>
            <w:tcBorders>
              <w:top w:val="single" w:sz="4" w:space="0" w:color="auto"/>
              <w:bottom w:val="single" w:sz="12" w:space="0" w:color="auto"/>
            </w:tcBorders>
            <w:shd w:val="clear" w:color="auto" w:fill="auto"/>
            <w:vAlign w:val="bottom"/>
          </w:tcPr>
          <w:p w14:paraId="00CB2C60" w14:textId="77777777" w:rsidR="005F6C50" w:rsidRPr="005F6C50" w:rsidRDefault="005F6C50" w:rsidP="005F6C50">
            <w:pPr>
              <w:spacing w:before="80" w:after="80" w:line="200" w:lineRule="exact"/>
              <w:ind w:left="28"/>
              <w:jc w:val="right"/>
              <w:rPr>
                <w:rFonts w:cs="Times New Roman"/>
                <w:i/>
                <w:iCs/>
                <w:sz w:val="16"/>
              </w:rPr>
            </w:pPr>
            <w:r w:rsidRPr="005F6C50">
              <w:rPr>
                <w:rFonts w:cs="Times New Roman"/>
                <w:i/>
                <w:iCs/>
                <w:sz w:val="16"/>
              </w:rPr>
              <w:t>Процентная доля</w:t>
            </w:r>
          </w:p>
        </w:tc>
        <w:tc>
          <w:tcPr>
            <w:tcW w:w="141" w:type="dxa"/>
            <w:tcBorders>
              <w:bottom w:val="single" w:sz="12" w:space="0" w:color="auto"/>
            </w:tcBorders>
          </w:tcPr>
          <w:p w14:paraId="1636E553" w14:textId="77777777" w:rsidR="005F6C50" w:rsidRPr="005F6C50" w:rsidRDefault="005F6C50" w:rsidP="005F6C50">
            <w:pPr>
              <w:spacing w:before="80" w:after="80" w:line="200" w:lineRule="exact"/>
              <w:ind w:left="28"/>
              <w:jc w:val="right"/>
              <w:rPr>
                <w:rFonts w:cs="Times New Roman"/>
                <w:i/>
                <w:iCs/>
                <w:sz w:val="16"/>
              </w:rPr>
            </w:pPr>
          </w:p>
        </w:tc>
        <w:tc>
          <w:tcPr>
            <w:tcW w:w="1625" w:type="dxa"/>
            <w:tcBorders>
              <w:top w:val="single" w:sz="4" w:space="0" w:color="auto"/>
              <w:bottom w:val="single" w:sz="12" w:space="0" w:color="auto"/>
            </w:tcBorders>
            <w:shd w:val="clear" w:color="auto" w:fill="auto"/>
            <w:vAlign w:val="bottom"/>
          </w:tcPr>
          <w:p w14:paraId="0D721D85" w14:textId="36C7488C" w:rsidR="005F6C50" w:rsidRPr="005F6C50" w:rsidRDefault="005F6C50" w:rsidP="005F6C50">
            <w:pPr>
              <w:spacing w:before="80" w:after="80" w:line="200" w:lineRule="exact"/>
              <w:ind w:left="28"/>
              <w:jc w:val="right"/>
              <w:rPr>
                <w:rFonts w:cs="Times New Roman"/>
                <w:i/>
                <w:iCs/>
                <w:sz w:val="16"/>
              </w:rPr>
            </w:pPr>
            <w:r w:rsidRPr="005F6C50">
              <w:rPr>
                <w:rFonts w:cs="Times New Roman"/>
                <w:i/>
                <w:iCs/>
                <w:sz w:val="16"/>
              </w:rPr>
              <w:t>Число</w:t>
            </w:r>
          </w:p>
        </w:tc>
        <w:tc>
          <w:tcPr>
            <w:tcW w:w="1451" w:type="dxa"/>
            <w:tcBorders>
              <w:top w:val="single" w:sz="4" w:space="0" w:color="auto"/>
              <w:bottom w:val="single" w:sz="12" w:space="0" w:color="auto"/>
            </w:tcBorders>
            <w:shd w:val="clear" w:color="auto" w:fill="auto"/>
            <w:vAlign w:val="bottom"/>
          </w:tcPr>
          <w:p w14:paraId="6DE32519" w14:textId="77777777" w:rsidR="005F6C50" w:rsidRPr="005F6C50" w:rsidRDefault="005F6C50" w:rsidP="005F6C50">
            <w:pPr>
              <w:spacing w:before="80" w:after="80" w:line="200" w:lineRule="exact"/>
              <w:ind w:left="28"/>
              <w:jc w:val="right"/>
              <w:rPr>
                <w:rFonts w:cs="Times New Roman"/>
                <w:i/>
                <w:iCs/>
                <w:sz w:val="16"/>
              </w:rPr>
            </w:pPr>
            <w:r w:rsidRPr="005F6C50">
              <w:rPr>
                <w:rFonts w:cs="Times New Roman"/>
                <w:i/>
                <w:iCs/>
                <w:sz w:val="16"/>
              </w:rPr>
              <w:t>Процентная доля</w:t>
            </w:r>
          </w:p>
        </w:tc>
      </w:tr>
      <w:tr w:rsidR="005F6C50" w:rsidRPr="005F6C50" w14:paraId="08CA17CF" w14:textId="77777777" w:rsidTr="005F6C50">
        <w:tc>
          <w:tcPr>
            <w:tcW w:w="1218" w:type="dxa"/>
            <w:tcBorders>
              <w:top w:val="single" w:sz="12" w:space="0" w:color="auto"/>
            </w:tcBorders>
            <w:shd w:val="clear" w:color="auto" w:fill="auto"/>
          </w:tcPr>
          <w:p w14:paraId="7D0FD1C1"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0–4</w:t>
            </w:r>
          </w:p>
        </w:tc>
        <w:tc>
          <w:tcPr>
            <w:tcW w:w="1625" w:type="dxa"/>
            <w:tcBorders>
              <w:top w:val="single" w:sz="12" w:space="0" w:color="auto"/>
            </w:tcBorders>
            <w:shd w:val="clear" w:color="auto" w:fill="auto"/>
            <w:vAlign w:val="bottom"/>
          </w:tcPr>
          <w:p w14:paraId="62EEC84E"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1 464 779 </w:t>
            </w:r>
          </w:p>
        </w:tc>
        <w:tc>
          <w:tcPr>
            <w:tcW w:w="1552" w:type="dxa"/>
            <w:tcBorders>
              <w:top w:val="single" w:sz="12" w:space="0" w:color="auto"/>
            </w:tcBorders>
            <w:shd w:val="clear" w:color="auto" w:fill="auto"/>
            <w:vAlign w:val="bottom"/>
          </w:tcPr>
          <w:p w14:paraId="7D874773"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6,33</w:t>
            </w:r>
          </w:p>
        </w:tc>
        <w:tc>
          <w:tcPr>
            <w:tcW w:w="141" w:type="dxa"/>
            <w:tcBorders>
              <w:top w:val="single" w:sz="12" w:space="0" w:color="auto"/>
            </w:tcBorders>
          </w:tcPr>
          <w:p w14:paraId="024D0E89" w14:textId="77777777" w:rsidR="005F6C50" w:rsidRPr="005F6C50" w:rsidRDefault="005F6C50" w:rsidP="005F6C50">
            <w:pPr>
              <w:spacing w:before="40" w:after="40" w:line="220" w:lineRule="exact"/>
              <w:ind w:left="28" w:right="28"/>
              <w:jc w:val="right"/>
              <w:rPr>
                <w:rFonts w:cs="Times New Roman"/>
                <w:sz w:val="18"/>
              </w:rPr>
            </w:pPr>
          </w:p>
        </w:tc>
        <w:tc>
          <w:tcPr>
            <w:tcW w:w="1625" w:type="dxa"/>
            <w:tcBorders>
              <w:top w:val="single" w:sz="12" w:space="0" w:color="auto"/>
            </w:tcBorders>
            <w:shd w:val="clear" w:color="auto" w:fill="auto"/>
            <w:vAlign w:val="bottom"/>
          </w:tcPr>
          <w:p w14:paraId="49CD154A" w14:textId="5308590C"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1 510 519</w:t>
            </w:r>
          </w:p>
        </w:tc>
        <w:tc>
          <w:tcPr>
            <w:tcW w:w="1451" w:type="dxa"/>
            <w:tcBorders>
              <w:top w:val="single" w:sz="12" w:space="0" w:color="auto"/>
            </w:tcBorders>
            <w:shd w:val="clear" w:color="auto" w:fill="auto"/>
            <w:vAlign w:val="bottom"/>
          </w:tcPr>
          <w:p w14:paraId="5BB6A44D"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6,0</w:t>
            </w:r>
          </w:p>
        </w:tc>
      </w:tr>
      <w:tr w:rsidR="005F6C50" w:rsidRPr="005F6C50" w14:paraId="6B91BD83" w14:textId="77777777" w:rsidTr="005F6C50">
        <w:tc>
          <w:tcPr>
            <w:tcW w:w="1218" w:type="dxa"/>
            <w:shd w:val="clear" w:color="auto" w:fill="auto"/>
          </w:tcPr>
          <w:p w14:paraId="4C002103"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5–9</w:t>
            </w:r>
          </w:p>
        </w:tc>
        <w:tc>
          <w:tcPr>
            <w:tcW w:w="1625" w:type="dxa"/>
            <w:shd w:val="clear" w:color="auto" w:fill="auto"/>
            <w:vAlign w:val="bottom"/>
          </w:tcPr>
          <w:p w14:paraId="3BFF4E80"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1 502 646 </w:t>
            </w:r>
          </w:p>
        </w:tc>
        <w:tc>
          <w:tcPr>
            <w:tcW w:w="1552" w:type="dxa"/>
            <w:shd w:val="clear" w:color="auto" w:fill="auto"/>
            <w:vAlign w:val="bottom"/>
          </w:tcPr>
          <w:p w14:paraId="4C73593E"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6,42</w:t>
            </w:r>
          </w:p>
        </w:tc>
        <w:tc>
          <w:tcPr>
            <w:tcW w:w="141" w:type="dxa"/>
          </w:tcPr>
          <w:p w14:paraId="06BE26B7"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00338A13" w14:textId="613343D5"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1 612 017</w:t>
            </w:r>
          </w:p>
        </w:tc>
        <w:tc>
          <w:tcPr>
            <w:tcW w:w="1451" w:type="dxa"/>
            <w:shd w:val="clear" w:color="auto" w:fill="auto"/>
            <w:vAlign w:val="bottom"/>
          </w:tcPr>
          <w:p w14:paraId="5444B99E"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6,4</w:t>
            </w:r>
          </w:p>
        </w:tc>
      </w:tr>
      <w:tr w:rsidR="005F6C50" w:rsidRPr="005F6C50" w14:paraId="7D64C23B" w14:textId="77777777" w:rsidTr="005F6C50">
        <w:tc>
          <w:tcPr>
            <w:tcW w:w="1218" w:type="dxa"/>
            <w:shd w:val="clear" w:color="auto" w:fill="auto"/>
          </w:tcPr>
          <w:p w14:paraId="51202E05"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10–14</w:t>
            </w:r>
          </w:p>
        </w:tc>
        <w:tc>
          <w:tcPr>
            <w:tcW w:w="1625" w:type="dxa"/>
            <w:shd w:val="clear" w:color="auto" w:fill="auto"/>
            <w:vAlign w:val="bottom"/>
          </w:tcPr>
          <w:p w14:paraId="5A925127"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1 397 183</w:t>
            </w:r>
          </w:p>
        </w:tc>
        <w:tc>
          <w:tcPr>
            <w:tcW w:w="1552" w:type="dxa"/>
            <w:shd w:val="clear" w:color="auto" w:fill="auto"/>
            <w:vAlign w:val="bottom"/>
          </w:tcPr>
          <w:p w14:paraId="3A402F1E"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6,06</w:t>
            </w:r>
          </w:p>
        </w:tc>
        <w:tc>
          <w:tcPr>
            <w:tcW w:w="141" w:type="dxa"/>
          </w:tcPr>
          <w:p w14:paraId="73AA6DD4"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4B5C6598" w14:textId="47DFE6EA"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1 638 721</w:t>
            </w:r>
          </w:p>
        </w:tc>
        <w:tc>
          <w:tcPr>
            <w:tcW w:w="1451" w:type="dxa"/>
            <w:shd w:val="clear" w:color="auto" w:fill="auto"/>
            <w:vAlign w:val="bottom"/>
          </w:tcPr>
          <w:p w14:paraId="32B24DF0"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6,5</w:t>
            </w:r>
          </w:p>
        </w:tc>
      </w:tr>
      <w:tr w:rsidR="005F6C50" w:rsidRPr="005F6C50" w14:paraId="6547119A" w14:textId="77777777" w:rsidTr="005F6C50">
        <w:tc>
          <w:tcPr>
            <w:tcW w:w="1218" w:type="dxa"/>
            <w:shd w:val="clear" w:color="auto" w:fill="auto"/>
          </w:tcPr>
          <w:p w14:paraId="1D7C4DAB"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15–19</w:t>
            </w:r>
          </w:p>
        </w:tc>
        <w:tc>
          <w:tcPr>
            <w:tcW w:w="1625" w:type="dxa"/>
            <w:shd w:val="clear" w:color="auto" w:fill="auto"/>
            <w:vAlign w:val="bottom"/>
          </w:tcPr>
          <w:p w14:paraId="44BC52E4"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1 421 595</w:t>
            </w:r>
          </w:p>
        </w:tc>
        <w:tc>
          <w:tcPr>
            <w:tcW w:w="1552" w:type="dxa"/>
            <w:shd w:val="clear" w:color="auto" w:fill="auto"/>
            <w:vAlign w:val="bottom"/>
          </w:tcPr>
          <w:p w14:paraId="07C4D065"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5,97</w:t>
            </w:r>
          </w:p>
        </w:tc>
        <w:tc>
          <w:tcPr>
            <w:tcW w:w="141" w:type="dxa"/>
          </w:tcPr>
          <w:p w14:paraId="165DD667"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247B64D2" w14:textId="6C446183"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1 533 583</w:t>
            </w:r>
          </w:p>
        </w:tc>
        <w:tc>
          <w:tcPr>
            <w:tcW w:w="1451" w:type="dxa"/>
            <w:shd w:val="clear" w:color="auto" w:fill="auto"/>
            <w:vAlign w:val="bottom"/>
          </w:tcPr>
          <w:p w14:paraId="2CD7939F"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6,1</w:t>
            </w:r>
          </w:p>
        </w:tc>
      </w:tr>
      <w:tr w:rsidR="005F6C50" w:rsidRPr="005F6C50" w14:paraId="72D7DF32" w14:textId="77777777" w:rsidTr="005F6C50">
        <w:tc>
          <w:tcPr>
            <w:tcW w:w="1218" w:type="dxa"/>
            <w:shd w:val="clear" w:color="auto" w:fill="auto"/>
          </w:tcPr>
          <w:p w14:paraId="727B2ECA"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20–24</w:t>
            </w:r>
          </w:p>
        </w:tc>
        <w:tc>
          <w:tcPr>
            <w:tcW w:w="1625" w:type="dxa"/>
            <w:shd w:val="clear" w:color="auto" w:fill="auto"/>
            <w:vAlign w:val="bottom"/>
          </w:tcPr>
          <w:p w14:paraId="7ABEE02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1 566 793 </w:t>
            </w:r>
          </w:p>
        </w:tc>
        <w:tc>
          <w:tcPr>
            <w:tcW w:w="1552" w:type="dxa"/>
            <w:shd w:val="clear" w:color="auto" w:fill="auto"/>
            <w:vAlign w:val="bottom"/>
          </w:tcPr>
          <w:p w14:paraId="07AA6A93"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6,96</w:t>
            </w:r>
          </w:p>
        </w:tc>
        <w:tc>
          <w:tcPr>
            <w:tcW w:w="141" w:type="dxa"/>
          </w:tcPr>
          <w:p w14:paraId="24ADE561"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2FC74F9D" w14:textId="28F6F1FB"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1 637 036</w:t>
            </w:r>
          </w:p>
        </w:tc>
        <w:tc>
          <w:tcPr>
            <w:tcW w:w="1451" w:type="dxa"/>
            <w:shd w:val="clear" w:color="auto" w:fill="auto"/>
            <w:vAlign w:val="bottom"/>
          </w:tcPr>
          <w:p w14:paraId="0C45F515"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6,6</w:t>
            </w:r>
          </w:p>
        </w:tc>
      </w:tr>
      <w:tr w:rsidR="005F6C50" w:rsidRPr="005F6C50" w14:paraId="56E8FE1F" w14:textId="77777777" w:rsidTr="005F6C50">
        <w:tc>
          <w:tcPr>
            <w:tcW w:w="1218" w:type="dxa"/>
            <w:shd w:val="clear" w:color="auto" w:fill="auto"/>
          </w:tcPr>
          <w:p w14:paraId="5E9A86AF"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25–29</w:t>
            </w:r>
          </w:p>
        </w:tc>
        <w:tc>
          <w:tcPr>
            <w:tcW w:w="1625" w:type="dxa"/>
            <w:shd w:val="clear" w:color="auto" w:fill="auto"/>
            <w:vAlign w:val="bottom"/>
          </w:tcPr>
          <w:p w14:paraId="692DDBC9"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1 664 602 </w:t>
            </w:r>
          </w:p>
        </w:tc>
        <w:tc>
          <w:tcPr>
            <w:tcW w:w="1552" w:type="dxa"/>
            <w:shd w:val="clear" w:color="auto" w:fill="auto"/>
            <w:vAlign w:val="bottom"/>
          </w:tcPr>
          <w:p w14:paraId="1F55A3A9"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7,51</w:t>
            </w:r>
          </w:p>
        </w:tc>
        <w:tc>
          <w:tcPr>
            <w:tcW w:w="141" w:type="dxa"/>
          </w:tcPr>
          <w:p w14:paraId="0B68F64F"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3374449D" w14:textId="3E4580BF"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1 824 957</w:t>
            </w:r>
          </w:p>
        </w:tc>
        <w:tc>
          <w:tcPr>
            <w:tcW w:w="1451" w:type="dxa"/>
            <w:shd w:val="clear" w:color="auto" w:fill="auto"/>
            <w:vAlign w:val="bottom"/>
          </w:tcPr>
          <w:p w14:paraId="0E791A0C"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7,2</w:t>
            </w:r>
          </w:p>
        </w:tc>
      </w:tr>
      <w:tr w:rsidR="005F6C50" w:rsidRPr="005F6C50" w14:paraId="728C7F58" w14:textId="77777777" w:rsidTr="005F6C50">
        <w:tc>
          <w:tcPr>
            <w:tcW w:w="1218" w:type="dxa"/>
            <w:shd w:val="clear" w:color="auto" w:fill="auto"/>
          </w:tcPr>
          <w:p w14:paraId="4369DB34"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30–34</w:t>
            </w:r>
          </w:p>
        </w:tc>
        <w:tc>
          <w:tcPr>
            <w:tcW w:w="1625" w:type="dxa"/>
            <w:shd w:val="clear" w:color="auto" w:fill="auto"/>
            <w:vAlign w:val="bottom"/>
          </w:tcPr>
          <w:p w14:paraId="4F0B41F7"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1 703 847 </w:t>
            </w:r>
          </w:p>
        </w:tc>
        <w:tc>
          <w:tcPr>
            <w:tcW w:w="1552" w:type="dxa"/>
            <w:shd w:val="clear" w:color="auto" w:fill="auto"/>
            <w:vAlign w:val="bottom"/>
          </w:tcPr>
          <w:p w14:paraId="7DEE860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7,45</w:t>
            </w:r>
          </w:p>
        </w:tc>
        <w:tc>
          <w:tcPr>
            <w:tcW w:w="141" w:type="dxa"/>
          </w:tcPr>
          <w:p w14:paraId="12CBEBAE"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4298D0ED" w14:textId="54BDDCC9"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1 914 394</w:t>
            </w:r>
          </w:p>
        </w:tc>
        <w:tc>
          <w:tcPr>
            <w:tcW w:w="1451" w:type="dxa"/>
            <w:shd w:val="clear" w:color="auto" w:fill="auto"/>
            <w:vAlign w:val="bottom"/>
          </w:tcPr>
          <w:p w14:paraId="7B93DCDA"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7,3</w:t>
            </w:r>
          </w:p>
        </w:tc>
      </w:tr>
      <w:tr w:rsidR="005F6C50" w:rsidRPr="005F6C50" w14:paraId="48F71CCF" w14:textId="77777777" w:rsidTr="005F6C50">
        <w:tc>
          <w:tcPr>
            <w:tcW w:w="1218" w:type="dxa"/>
            <w:shd w:val="clear" w:color="auto" w:fill="auto"/>
          </w:tcPr>
          <w:p w14:paraId="12FE3F65"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35–39</w:t>
            </w:r>
          </w:p>
        </w:tc>
        <w:tc>
          <w:tcPr>
            <w:tcW w:w="1625" w:type="dxa"/>
            <w:shd w:val="clear" w:color="auto" w:fill="auto"/>
            <w:vAlign w:val="bottom"/>
          </w:tcPr>
          <w:p w14:paraId="3ED2B2E0"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1 561 679 </w:t>
            </w:r>
          </w:p>
        </w:tc>
        <w:tc>
          <w:tcPr>
            <w:tcW w:w="1552" w:type="dxa"/>
            <w:shd w:val="clear" w:color="auto" w:fill="auto"/>
            <w:vAlign w:val="bottom"/>
          </w:tcPr>
          <w:p w14:paraId="3425032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6,89</w:t>
            </w:r>
          </w:p>
        </w:tc>
        <w:tc>
          <w:tcPr>
            <w:tcW w:w="141" w:type="dxa"/>
          </w:tcPr>
          <w:p w14:paraId="5F0D4DA8"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0AF6EFD3" w14:textId="341D31D3"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1 894 010</w:t>
            </w:r>
          </w:p>
        </w:tc>
        <w:tc>
          <w:tcPr>
            <w:tcW w:w="1451" w:type="dxa"/>
            <w:shd w:val="clear" w:color="auto" w:fill="auto"/>
            <w:vAlign w:val="bottom"/>
          </w:tcPr>
          <w:p w14:paraId="3E5B206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7,3</w:t>
            </w:r>
          </w:p>
        </w:tc>
      </w:tr>
      <w:tr w:rsidR="005F6C50" w:rsidRPr="005F6C50" w14:paraId="7883D9F4" w14:textId="77777777" w:rsidTr="005F6C50">
        <w:tc>
          <w:tcPr>
            <w:tcW w:w="1218" w:type="dxa"/>
            <w:shd w:val="clear" w:color="auto" w:fill="auto"/>
          </w:tcPr>
          <w:p w14:paraId="4B1901AC"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40-44</w:t>
            </w:r>
          </w:p>
        </w:tc>
        <w:tc>
          <w:tcPr>
            <w:tcW w:w="1625" w:type="dxa"/>
            <w:shd w:val="clear" w:color="auto" w:fill="auto"/>
            <w:vAlign w:val="bottom"/>
          </w:tcPr>
          <w:p w14:paraId="19620079"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1 583 257</w:t>
            </w:r>
          </w:p>
        </w:tc>
        <w:tc>
          <w:tcPr>
            <w:tcW w:w="1552" w:type="dxa"/>
            <w:shd w:val="clear" w:color="auto" w:fill="auto"/>
            <w:vAlign w:val="bottom"/>
          </w:tcPr>
          <w:p w14:paraId="5FB8E564"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6,38</w:t>
            </w:r>
          </w:p>
        </w:tc>
        <w:tc>
          <w:tcPr>
            <w:tcW w:w="141" w:type="dxa"/>
          </w:tcPr>
          <w:p w14:paraId="068B38E4"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53451973" w14:textId="1C69165A"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1 704 611</w:t>
            </w:r>
          </w:p>
        </w:tc>
        <w:tc>
          <w:tcPr>
            <w:tcW w:w="1451" w:type="dxa"/>
            <w:shd w:val="clear" w:color="auto" w:fill="auto"/>
            <w:vAlign w:val="bottom"/>
          </w:tcPr>
          <w:p w14:paraId="1CEE2EBD"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6,5</w:t>
            </w:r>
          </w:p>
        </w:tc>
      </w:tr>
      <w:tr w:rsidR="005F6C50" w:rsidRPr="005F6C50" w14:paraId="7950A514" w14:textId="77777777" w:rsidTr="005F6C50">
        <w:tc>
          <w:tcPr>
            <w:tcW w:w="1218" w:type="dxa"/>
            <w:shd w:val="clear" w:color="auto" w:fill="auto"/>
          </w:tcPr>
          <w:p w14:paraId="754D68E9"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45–49</w:t>
            </w:r>
          </w:p>
        </w:tc>
        <w:tc>
          <w:tcPr>
            <w:tcW w:w="1625" w:type="dxa"/>
            <w:shd w:val="clear" w:color="auto" w:fill="auto"/>
            <w:vAlign w:val="bottom"/>
          </w:tcPr>
          <w:p w14:paraId="35BEBBD7"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1 581 455</w:t>
            </w:r>
          </w:p>
        </w:tc>
        <w:tc>
          <w:tcPr>
            <w:tcW w:w="1552" w:type="dxa"/>
            <w:shd w:val="clear" w:color="auto" w:fill="auto"/>
            <w:vAlign w:val="bottom"/>
          </w:tcPr>
          <w:p w14:paraId="7138F10F"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6,68</w:t>
            </w:r>
          </w:p>
        </w:tc>
        <w:tc>
          <w:tcPr>
            <w:tcW w:w="141" w:type="dxa"/>
          </w:tcPr>
          <w:p w14:paraId="225B6FCA"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3084B101" w14:textId="26122D2A"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1 621 720</w:t>
            </w:r>
          </w:p>
        </w:tc>
        <w:tc>
          <w:tcPr>
            <w:tcW w:w="1451" w:type="dxa"/>
            <w:shd w:val="clear" w:color="auto" w:fill="auto"/>
            <w:vAlign w:val="bottom"/>
          </w:tcPr>
          <w:p w14:paraId="6D874435"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6,2</w:t>
            </w:r>
          </w:p>
        </w:tc>
      </w:tr>
      <w:tr w:rsidR="005F6C50" w:rsidRPr="005F6C50" w14:paraId="6CF0DD14" w14:textId="77777777" w:rsidTr="005F6C50">
        <w:tc>
          <w:tcPr>
            <w:tcW w:w="1218" w:type="dxa"/>
            <w:shd w:val="clear" w:color="auto" w:fill="auto"/>
          </w:tcPr>
          <w:p w14:paraId="25D9EBF9"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50–54</w:t>
            </w:r>
          </w:p>
        </w:tc>
        <w:tc>
          <w:tcPr>
            <w:tcW w:w="1625" w:type="dxa"/>
            <w:shd w:val="clear" w:color="auto" w:fill="auto"/>
            <w:vAlign w:val="bottom"/>
          </w:tcPr>
          <w:p w14:paraId="343E851A"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1 523 551 </w:t>
            </w:r>
          </w:p>
        </w:tc>
        <w:tc>
          <w:tcPr>
            <w:tcW w:w="1552" w:type="dxa"/>
            <w:shd w:val="clear" w:color="auto" w:fill="auto"/>
            <w:vAlign w:val="bottom"/>
          </w:tcPr>
          <w:p w14:paraId="5D850186"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6,12</w:t>
            </w:r>
          </w:p>
        </w:tc>
        <w:tc>
          <w:tcPr>
            <w:tcW w:w="141" w:type="dxa"/>
          </w:tcPr>
          <w:p w14:paraId="26E10263"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52984BAB" w14:textId="28DC4F75"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1 653 384</w:t>
            </w:r>
          </w:p>
        </w:tc>
        <w:tc>
          <w:tcPr>
            <w:tcW w:w="1451" w:type="dxa"/>
            <w:shd w:val="clear" w:color="auto" w:fill="auto"/>
            <w:vAlign w:val="bottom"/>
          </w:tcPr>
          <w:p w14:paraId="379BBEBB"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6,3</w:t>
            </w:r>
          </w:p>
        </w:tc>
      </w:tr>
      <w:tr w:rsidR="005F6C50" w:rsidRPr="005F6C50" w14:paraId="7D0F459A" w14:textId="77777777" w:rsidTr="005F6C50">
        <w:tc>
          <w:tcPr>
            <w:tcW w:w="1218" w:type="dxa"/>
            <w:shd w:val="clear" w:color="auto" w:fill="auto"/>
          </w:tcPr>
          <w:p w14:paraId="6F5E3D9A"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55–59</w:t>
            </w:r>
          </w:p>
        </w:tc>
        <w:tc>
          <w:tcPr>
            <w:tcW w:w="1625" w:type="dxa"/>
            <w:shd w:val="clear" w:color="auto" w:fill="auto"/>
            <w:vAlign w:val="bottom"/>
          </w:tcPr>
          <w:p w14:paraId="0D6E282C"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1 454 332 </w:t>
            </w:r>
          </w:p>
        </w:tc>
        <w:tc>
          <w:tcPr>
            <w:tcW w:w="1552" w:type="dxa"/>
            <w:shd w:val="clear" w:color="auto" w:fill="auto"/>
            <w:vAlign w:val="bottom"/>
          </w:tcPr>
          <w:p w14:paraId="5607D0C3"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6,12</w:t>
            </w:r>
          </w:p>
        </w:tc>
        <w:tc>
          <w:tcPr>
            <w:tcW w:w="141" w:type="dxa"/>
          </w:tcPr>
          <w:p w14:paraId="3261A0A2"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04E0AC33" w14:textId="2125635D"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1 533 577</w:t>
            </w:r>
          </w:p>
        </w:tc>
        <w:tc>
          <w:tcPr>
            <w:tcW w:w="1451" w:type="dxa"/>
            <w:shd w:val="clear" w:color="auto" w:fill="auto"/>
            <w:vAlign w:val="bottom"/>
          </w:tcPr>
          <w:p w14:paraId="3A3ACE76"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5,8</w:t>
            </w:r>
          </w:p>
        </w:tc>
      </w:tr>
      <w:tr w:rsidR="005F6C50" w:rsidRPr="005F6C50" w14:paraId="45C8BB8C" w14:textId="77777777" w:rsidTr="005F6C50">
        <w:tc>
          <w:tcPr>
            <w:tcW w:w="1218" w:type="dxa"/>
            <w:shd w:val="clear" w:color="auto" w:fill="auto"/>
          </w:tcPr>
          <w:p w14:paraId="4DEE22C0"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60–64</w:t>
            </w:r>
          </w:p>
        </w:tc>
        <w:tc>
          <w:tcPr>
            <w:tcW w:w="1625" w:type="dxa"/>
            <w:shd w:val="clear" w:color="auto" w:fill="auto"/>
            <w:vAlign w:val="bottom"/>
          </w:tcPr>
          <w:p w14:paraId="43B7F8B1"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1 299 397</w:t>
            </w:r>
          </w:p>
        </w:tc>
        <w:tc>
          <w:tcPr>
            <w:tcW w:w="1552" w:type="dxa"/>
            <w:shd w:val="clear" w:color="auto" w:fill="auto"/>
            <w:vAlign w:val="bottom"/>
          </w:tcPr>
          <w:p w14:paraId="03CC6915"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5,44</w:t>
            </w:r>
          </w:p>
        </w:tc>
        <w:tc>
          <w:tcPr>
            <w:tcW w:w="141" w:type="dxa"/>
          </w:tcPr>
          <w:p w14:paraId="77B84B2F"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53E808BE" w14:textId="665C2304"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1 491 748</w:t>
            </w:r>
          </w:p>
        </w:tc>
        <w:tc>
          <w:tcPr>
            <w:tcW w:w="1451" w:type="dxa"/>
            <w:shd w:val="clear" w:color="auto" w:fill="auto"/>
            <w:vAlign w:val="bottom"/>
          </w:tcPr>
          <w:p w14:paraId="07A4511F"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5,6</w:t>
            </w:r>
          </w:p>
        </w:tc>
      </w:tr>
      <w:tr w:rsidR="005F6C50" w:rsidRPr="005F6C50" w14:paraId="1142D2B3" w14:textId="77777777" w:rsidTr="005F6C50">
        <w:tc>
          <w:tcPr>
            <w:tcW w:w="1218" w:type="dxa"/>
            <w:shd w:val="clear" w:color="auto" w:fill="auto"/>
          </w:tcPr>
          <w:p w14:paraId="40CFC6EC"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65–69</w:t>
            </w:r>
          </w:p>
        </w:tc>
        <w:tc>
          <w:tcPr>
            <w:tcW w:w="1625" w:type="dxa"/>
            <w:shd w:val="clear" w:color="auto" w:fill="auto"/>
            <w:vAlign w:val="bottom"/>
          </w:tcPr>
          <w:p w14:paraId="7E0F1622"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1 188 999 </w:t>
            </w:r>
          </w:p>
        </w:tc>
        <w:tc>
          <w:tcPr>
            <w:tcW w:w="1552" w:type="dxa"/>
            <w:shd w:val="clear" w:color="auto" w:fill="auto"/>
            <w:vAlign w:val="bottom"/>
          </w:tcPr>
          <w:p w14:paraId="23D124B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4,83</w:t>
            </w:r>
          </w:p>
        </w:tc>
        <w:tc>
          <w:tcPr>
            <w:tcW w:w="141" w:type="dxa"/>
          </w:tcPr>
          <w:p w14:paraId="6C5BB6D6"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297A5ED1" w14:textId="74293824"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1 302 214</w:t>
            </w:r>
          </w:p>
        </w:tc>
        <w:tc>
          <w:tcPr>
            <w:tcW w:w="1451" w:type="dxa"/>
            <w:shd w:val="clear" w:color="auto" w:fill="auto"/>
            <w:vAlign w:val="bottom"/>
          </w:tcPr>
          <w:p w14:paraId="569445B3"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4,9</w:t>
            </w:r>
          </w:p>
        </w:tc>
      </w:tr>
      <w:tr w:rsidR="005F6C50" w:rsidRPr="005F6C50" w14:paraId="4A7A9DDD" w14:textId="77777777" w:rsidTr="005F6C50">
        <w:tc>
          <w:tcPr>
            <w:tcW w:w="1218" w:type="dxa"/>
            <w:shd w:val="clear" w:color="auto" w:fill="auto"/>
          </w:tcPr>
          <w:p w14:paraId="4B99DB5E"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70–74</w:t>
            </w:r>
          </w:p>
        </w:tc>
        <w:tc>
          <w:tcPr>
            <w:tcW w:w="1625" w:type="dxa"/>
            <w:shd w:val="clear" w:color="auto" w:fill="auto"/>
            <w:vAlign w:val="bottom"/>
          </w:tcPr>
          <w:p w14:paraId="688183C8"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887 716 </w:t>
            </w:r>
          </w:p>
        </w:tc>
        <w:tc>
          <w:tcPr>
            <w:tcW w:w="1552" w:type="dxa"/>
            <w:shd w:val="clear" w:color="auto" w:fill="auto"/>
            <w:vAlign w:val="bottom"/>
          </w:tcPr>
          <w:p w14:paraId="4BA9794E"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4,07</w:t>
            </w:r>
          </w:p>
        </w:tc>
        <w:tc>
          <w:tcPr>
            <w:tcW w:w="141" w:type="dxa"/>
          </w:tcPr>
          <w:p w14:paraId="39AD9FC1"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3F9F8385" w14:textId="1582100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1 143 727</w:t>
            </w:r>
          </w:p>
        </w:tc>
        <w:tc>
          <w:tcPr>
            <w:tcW w:w="1451" w:type="dxa"/>
            <w:shd w:val="clear" w:color="auto" w:fill="auto"/>
            <w:vAlign w:val="bottom"/>
          </w:tcPr>
          <w:p w14:paraId="65856B84"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4,3</w:t>
            </w:r>
          </w:p>
        </w:tc>
      </w:tr>
      <w:tr w:rsidR="005F6C50" w:rsidRPr="005F6C50" w14:paraId="3358C800" w14:textId="77777777" w:rsidTr="005F6C50">
        <w:tc>
          <w:tcPr>
            <w:tcW w:w="1218" w:type="dxa"/>
            <w:shd w:val="clear" w:color="auto" w:fill="auto"/>
          </w:tcPr>
          <w:p w14:paraId="5D070B3D"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75–79</w:t>
            </w:r>
          </w:p>
        </w:tc>
        <w:tc>
          <w:tcPr>
            <w:tcW w:w="1625" w:type="dxa"/>
            <w:shd w:val="clear" w:color="auto" w:fill="auto"/>
            <w:vAlign w:val="bottom"/>
          </w:tcPr>
          <w:p w14:paraId="724708D6"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652 657 </w:t>
            </w:r>
          </w:p>
        </w:tc>
        <w:tc>
          <w:tcPr>
            <w:tcW w:w="1552" w:type="dxa"/>
            <w:shd w:val="clear" w:color="auto" w:fill="auto"/>
            <w:vAlign w:val="bottom"/>
          </w:tcPr>
          <w:p w14:paraId="2A2AE63D"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2,80</w:t>
            </w:r>
          </w:p>
        </w:tc>
        <w:tc>
          <w:tcPr>
            <w:tcW w:w="141" w:type="dxa"/>
          </w:tcPr>
          <w:p w14:paraId="44EC2ED7"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4ACF8C99" w14:textId="54D68654"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874 264</w:t>
            </w:r>
          </w:p>
        </w:tc>
        <w:tc>
          <w:tcPr>
            <w:tcW w:w="1451" w:type="dxa"/>
            <w:shd w:val="clear" w:color="auto" w:fill="auto"/>
            <w:vAlign w:val="bottom"/>
          </w:tcPr>
          <w:p w14:paraId="1751ACA4"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3,3</w:t>
            </w:r>
          </w:p>
        </w:tc>
      </w:tr>
      <w:tr w:rsidR="005F6C50" w:rsidRPr="005F6C50" w14:paraId="0AEB0EC1" w14:textId="77777777" w:rsidTr="005F6C50">
        <w:tc>
          <w:tcPr>
            <w:tcW w:w="1218" w:type="dxa"/>
            <w:shd w:val="clear" w:color="auto" w:fill="auto"/>
          </w:tcPr>
          <w:p w14:paraId="6FFD7938" w14:textId="77777777" w:rsidR="005F6C50" w:rsidRPr="005F6C50" w:rsidRDefault="005F6C50" w:rsidP="005F6C50">
            <w:pPr>
              <w:spacing w:before="40" w:after="40" w:line="220" w:lineRule="exact"/>
              <w:ind w:left="28" w:right="28"/>
              <w:rPr>
                <w:rFonts w:cs="Times New Roman"/>
                <w:sz w:val="18"/>
              </w:rPr>
            </w:pPr>
            <w:r w:rsidRPr="005F6C50">
              <w:rPr>
                <w:rFonts w:cs="Times New Roman"/>
                <w:sz w:val="18"/>
              </w:rPr>
              <w:t>80–84</w:t>
            </w:r>
          </w:p>
        </w:tc>
        <w:tc>
          <w:tcPr>
            <w:tcW w:w="1625" w:type="dxa"/>
            <w:shd w:val="clear" w:color="auto" w:fill="auto"/>
            <w:vAlign w:val="bottom"/>
          </w:tcPr>
          <w:p w14:paraId="6A2055A6"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460 549</w:t>
            </w:r>
          </w:p>
        </w:tc>
        <w:tc>
          <w:tcPr>
            <w:tcW w:w="1552" w:type="dxa"/>
            <w:shd w:val="clear" w:color="auto" w:fill="auto"/>
            <w:vAlign w:val="bottom"/>
          </w:tcPr>
          <w:p w14:paraId="7582A854"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1,94</w:t>
            </w:r>
          </w:p>
        </w:tc>
        <w:tc>
          <w:tcPr>
            <w:tcW w:w="141" w:type="dxa"/>
          </w:tcPr>
          <w:p w14:paraId="77099144" w14:textId="77777777" w:rsidR="005F6C50" w:rsidRPr="005F6C50" w:rsidRDefault="005F6C50" w:rsidP="005F6C50">
            <w:pPr>
              <w:spacing w:before="40" w:after="40" w:line="220" w:lineRule="exact"/>
              <w:ind w:left="28" w:right="28"/>
              <w:jc w:val="right"/>
              <w:rPr>
                <w:rFonts w:cs="Times New Roman"/>
                <w:sz w:val="18"/>
              </w:rPr>
            </w:pPr>
          </w:p>
        </w:tc>
        <w:tc>
          <w:tcPr>
            <w:tcW w:w="1625" w:type="dxa"/>
            <w:shd w:val="clear" w:color="auto" w:fill="auto"/>
            <w:vAlign w:val="bottom"/>
          </w:tcPr>
          <w:p w14:paraId="3080955A" w14:textId="33CDBE48"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566 069</w:t>
            </w:r>
          </w:p>
        </w:tc>
        <w:tc>
          <w:tcPr>
            <w:tcW w:w="1451" w:type="dxa"/>
            <w:shd w:val="clear" w:color="auto" w:fill="auto"/>
            <w:vAlign w:val="bottom"/>
          </w:tcPr>
          <w:p w14:paraId="4FEE7AD5"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2,0</w:t>
            </w:r>
          </w:p>
        </w:tc>
      </w:tr>
      <w:tr w:rsidR="005F6C50" w:rsidRPr="005F6C50" w14:paraId="1B94FB57" w14:textId="77777777" w:rsidTr="005F6C50">
        <w:tc>
          <w:tcPr>
            <w:tcW w:w="1218" w:type="dxa"/>
            <w:tcBorders>
              <w:bottom w:val="single" w:sz="12" w:space="0" w:color="auto"/>
            </w:tcBorders>
            <w:shd w:val="clear" w:color="auto" w:fill="auto"/>
          </w:tcPr>
          <w:p w14:paraId="76A1BFA0" w14:textId="14588762" w:rsidR="005F6C50" w:rsidRPr="005F6C50" w:rsidRDefault="008348B3" w:rsidP="005F6C50">
            <w:pPr>
              <w:spacing w:before="40" w:after="40" w:line="220" w:lineRule="exact"/>
              <w:ind w:left="28" w:right="28"/>
              <w:rPr>
                <w:rFonts w:cs="Times New Roman"/>
                <w:sz w:val="18"/>
              </w:rPr>
            </w:pPr>
            <w:r>
              <w:rPr>
                <w:rFonts w:cs="Times New Roman"/>
                <w:sz w:val="18"/>
              </w:rPr>
              <w:t>≥</w:t>
            </w:r>
            <w:r w:rsidR="005F6C50" w:rsidRPr="005F6C50">
              <w:rPr>
                <w:rFonts w:cs="Times New Roman"/>
                <w:sz w:val="18"/>
              </w:rPr>
              <w:t>85</w:t>
            </w:r>
          </w:p>
        </w:tc>
        <w:tc>
          <w:tcPr>
            <w:tcW w:w="1625" w:type="dxa"/>
            <w:tcBorders>
              <w:bottom w:val="single" w:sz="12" w:space="0" w:color="auto"/>
            </w:tcBorders>
            <w:shd w:val="clear" w:color="auto" w:fill="auto"/>
            <w:vAlign w:val="bottom"/>
          </w:tcPr>
          <w:p w14:paraId="36416233"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486 842 </w:t>
            </w:r>
          </w:p>
        </w:tc>
        <w:tc>
          <w:tcPr>
            <w:tcW w:w="1552" w:type="dxa"/>
            <w:tcBorders>
              <w:bottom w:val="single" w:sz="12" w:space="0" w:color="auto"/>
            </w:tcBorders>
            <w:shd w:val="clear" w:color="auto" w:fill="auto"/>
            <w:vAlign w:val="bottom"/>
          </w:tcPr>
          <w:p w14:paraId="056108C9"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2,02</w:t>
            </w:r>
          </w:p>
        </w:tc>
        <w:tc>
          <w:tcPr>
            <w:tcW w:w="141" w:type="dxa"/>
            <w:tcBorders>
              <w:bottom w:val="single" w:sz="12" w:space="0" w:color="auto"/>
            </w:tcBorders>
          </w:tcPr>
          <w:p w14:paraId="1868C92C" w14:textId="77777777" w:rsidR="005F6C50" w:rsidRPr="005F6C50" w:rsidRDefault="005F6C50" w:rsidP="005F6C50">
            <w:pPr>
              <w:spacing w:before="40" w:after="40" w:line="220" w:lineRule="exact"/>
              <w:ind w:left="28" w:right="28"/>
              <w:jc w:val="right"/>
              <w:rPr>
                <w:rFonts w:cs="Times New Roman"/>
                <w:sz w:val="18"/>
              </w:rPr>
            </w:pPr>
          </w:p>
        </w:tc>
        <w:tc>
          <w:tcPr>
            <w:tcW w:w="1625" w:type="dxa"/>
            <w:tcBorders>
              <w:bottom w:val="single" w:sz="12" w:space="0" w:color="auto"/>
            </w:tcBorders>
            <w:shd w:val="clear" w:color="auto" w:fill="auto"/>
            <w:vAlign w:val="bottom"/>
          </w:tcPr>
          <w:p w14:paraId="769ABAB8" w14:textId="4516D7FC"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 xml:space="preserve">217 336 </w:t>
            </w:r>
          </w:p>
        </w:tc>
        <w:tc>
          <w:tcPr>
            <w:tcW w:w="1451" w:type="dxa"/>
            <w:tcBorders>
              <w:bottom w:val="single" w:sz="12" w:space="0" w:color="auto"/>
            </w:tcBorders>
            <w:shd w:val="clear" w:color="auto" w:fill="auto"/>
            <w:vAlign w:val="bottom"/>
          </w:tcPr>
          <w:p w14:paraId="28FA0B6C" w14:textId="77777777" w:rsidR="005F6C50" w:rsidRPr="005F6C50" w:rsidRDefault="005F6C50" w:rsidP="005F6C50">
            <w:pPr>
              <w:spacing w:before="40" w:after="40" w:line="220" w:lineRule="exact"/>
              <w:ind w:left="28" w:right="28"/>
              <w:jc w:val="right"/>
              <w:rPr>
                <w:rFonts w:cs="Times New Roman"/>
                <w:sz w:val="18"/>
              </w:rPr>
            </w:pPr>
            <w:r w:rsidRPr="005F6C50">
              <w:rPr>
                <w:rFonts w:cs="Times New Roman"/>
                <w:sz w:val="18"/>
              </w:rPr>
              <w:t>1,7</w:t>
            </w:r>
          </w:p>
        </w:tc>
      </w:tr>
    </w:tbl>
    <w:p w14:paraId="3D7AE88F" w14:textId="6E78D29F" w:rsidR="00841C25" w:rsidRPr="005F6C50" w:rsidRDefault="00841C25" w:rsidP="005F6C50">
      <w:pPr>
        <w:pStyle w:val="SingleTxtG"/>
        <w:spacing w:before="120" w:line="220" w:lineRule="exact"/>
        <w:ind w:firstLine="142"/>
        <w:jc w:val="left"/>
        <w:rPr>
          <w:sz w:val="18"/>
          <w:szCs w:val="18"/>
        </w:rPr>
      </w:pPr>
      <w:r w:rsidRPr="005F6C50">
        <w:rPr>
          <w:i/>
          <w:iCs/>
          <w:sz w:val="18"/>
          <w:szCs w:val="18"/>
        </w:rPr>
        <w:t>Источник</w:t>
      </w:r>
      <w:r w:rsidRPr="005F6C50">
        <w:rPr>
          <w:sz w:val="18"/>
          <w:szCs w:val="18"/>
        </w:rPr>
        <w:t xml:space="preserve">: Австралийское бюро статистики, 3101.0 </w:t>
      </w:r>
      <w:r w:rsidR="005F6C50">
        <w:rPr>
          <w:sz w:val="18"/>
          <w:szCs w:val="18"/>
        </w:rPr>
        <w:t>—</w:t>
      </w:r>
      <w:r w:rsidRPr="005F6C50">
        <w:rPr>
          <w:sz w:val="18"/>
          <w:szCs w:val="18"/>
        </w:rPr>
        <w:t xml:space="preserve"> демографическая статистика Австралии, 2022 год.</w:t>
      </w:r>
    </w:p>
    <w:p w14:paraId="2960F981" w14:textId="573E39A4" w:rsidR="00841C25" w:rsidRPr="008F3942" w:rsidRDefault="00841C25" w:rsidP="005F6C50">
      <w:pPr>
        <w:pStyle w:val="H23G"/>
        <w:ind w:left="0" w:firstLine="0"/>
        <w:rPr>
          <w:bCs/>
        </w:rPr>
      </w:pPr>
      <w:r w:rsidRPr="005F6C50">
        <w:rPr>
          <w:b w:val="0"/>
          <w:bCs/>
        </w:rPr>
        <w:t>Таблица A2</w:t>
      </w:r>
      <w:r w:rsidR="005F6C50" w:rsidRPr="005F6C50">
        <w:rPr>
          <w:b w:val="0"/>
          <w:bCs/>
        </w:rPr>
        <w:br/>
      </w:r>
      <w:r>
        <w:rPr>
          <w:bCs/>
        </w:rPr>
        <w:t>Рождаемость и смертность, Австралия, 2013–2019 годы</w:t>
      </w:r>
    </w:p>
    <w:tbl>
      <w:tblPr>
        <w:tblW w:w="0" w:type="auto"/>
        <w:tblLayout w:type="fixed"/>
        <w:tblCellMar>
          <w:left w:w="0" w:type="dxa"/>
          <w:right w:w="0" w:type="dxa"/>
        </w:tblCellMar>
        <w:tblLook w:val="04A0" w:firstRow="1" w:lastRow="0" w:firstColumn="1" w:lastColumn="0" w:noHBand="0" w:noVBand="1"/>
      </w:tblPr>
      <w:tblGrid>
        <w:gridCol w:w="2543"/>
        <w:gridCol w:w="1014"/>
        <w:gridCol w:w="1014"/>
        <w:gridCol w:w="1014"/>
        <w:gridCol w:w="1014"/>
        <w:gridCol w:w="1014"/>
        <w:gridCol w:w="1014"/>
        <w:gridCol w:w="1010"/>
      </w:tblGrid>
      <w:tr w:rsidR="00841C25" w:rsidRPr="005F6C50" w14:paraId="4AF2636B" w14:textId="77777777" w:rsidTr="00A272FF">
        <w:trPr>
          <w:tblHeader/>
        </w:trPr>
        <w:tc>
          <w:tcPr>
            <w:tcW w:w="2543" w:type="dxa"/>
            <w:tcBorders>
              <w:top w:val="single" w:sz="4" w:space="0" w:color="auto"/>
              <w:bottom w:val="single" w:sz="12" w:space="0" w:color="auto"/>
            </w:tcBorders>
            <w:shd w:val="clear" w:color="auto" w:fill="auto"/>
            <w:vAlign w:val="bottom"/>
          </w:tcPr>
          <w:p w14:paraId="0850867C" w14:textId="77777777" w:rsidR="00841C25" w:rsidRPr="005F6C50" w:rsidRDefault="00841C25" w:rsidP="005F6C50">
            <w:pPr>
              <w:spacing w:before="80" w:after="80" w:line="200" w:lineRule="exact"/>
              <w:ind w:left="28" w:right="28"/>
              <w:rPr>
                <w:rFonts w:cs="Times New Roman"/>
                <w:i/>
                <w:sz w:val="16"/>
              </w:rPr>
            </w:pPr>
            <w:r w:rsidRPr="005F6C50">
              <w:rPr>
                <w:rFonts w:cs="Times New Roman"/>
                <w:i/>
                <w:sz w:val="16"/>
              </w:rPr>
              <w:t>Единица измерения</w:t>
            </w:r>
          </w:p>
        </w:tc>
        <w:tc>
          <w:tcPr>
            <w:tcW w:w="1014" w:type="dxa"/>
            <w:tcBorders>
              <w:top w:val="single" w:sz="4" w:space="0" w:color="auto"/>
              <w:bottom w:val="single" w:sz="12" w:space="0" w:color="auto"/>
            </w:tcBorders>
            <w:shd w:val="clear" w:color="auto" w:fill="auto"/>
            <w:vAlign w:val="bottom"/>
          </w:tcPr>
          <w:p w14:paraId="1443F481"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2015</w:t>
            </w:r>
          </w:p>
        </w:tc>
        <w:tc>
          <w:tcPr>
            <w:tcW w:w="1014" w:type="dxa"/>
            <w:tcBorders>
              <w:top w:val="single" w:sz="4" w:space="0" w:color="auto"/>
              <w:bottom w:val="single" w:sz="12" w:space="0" w:color="auto"/>
            </w:tcBorders>
            <w:shd w:val="clear" w:color="auto" w:fill="auto"/>
            <w:vAlign w:val="bottom"/>
          </w:tcPr>
          <w:p w14:paraId="0E07A7D9"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2016</w:t>
            </w:r>
          </w:p>
        </w:tc>
        <w:tc>
          <w:tcPr>
            <w:tcW w:w="1014" w:type="dxa"/>
            <w:tcBorders>
              <w:top w:val="single" w:sz="4" w:space="0" w:color="auto"/>
              <w:bottom w:val="single" w:sz="12" w:space="0" w:color="auto"/>
            </w:tcBorders>
            <w:shd w:val="clear" w:color="auto" w:fill="auto"/>
            <w:vAlign w:val="bottom"/>
          </w:tcPr>
          <w:p w14:paraId="56BEDF09"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2017</w:t>
            </w:r>
          </w:p>
        </w:tc>
        <w:tc>
          <w:tcPr>
            <w:tcW w:w="1014" w:type="dxa"/>
            <w:tcBorders>
              <w:top w:val="single" w:sz="4" w:space="0" w:color="auto"/>
              <w:bottom w:val="single" w:sz="12" w:space="0" w:color="auto"/>
            </w:tcBorders>
            <w:shd w:val="clear" w:color="auto" w:fill="auto"/>
            <w:vAlign w:val="bottom"/>
          </w:tcPr>
          <w:p w14:paraId="737F46BD"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2018</w:t>
            </w:r>
          </w:p>
        </w:tc>
        <w:tc>
          <w:tcPr>
            <w:tcW w:w="1014" w:type="dxa"/>
            <w:tcBorders>
              <w:top w:val="single" w:sz="4" w:space="0" w:color="auto"/>
              <w:bottom w:val="single" w:sz="12" w:space="0" w:color="auto"/>
            </w:tcBorders>
            <w:shd w:val="clear" w:color="auto" w:fill="auto"/>
            <w:vAlign w:val="bottom"/>
          </w:tcPr>
          <w:p w14:paraId="74C9C521"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2019</w:t>
            </w:r>
          </w:p>
        </w:tc>
        <w:tc>
          <w:tcPr>
            <w:tcW w:w="1014" w:type="dxa"/>
            <w:tcBorders>
              <w:top w:val="single" w:sz="4" w:space="0" w:color="auto"/>
              <w:bottom w:val="single" w:sz="12" w:space="0" w:color="auto"/>
            </w:tcBorders>
            <w:shd w:val="clear" w:color="auto" w:fill="auto"/>
            <w:vAlign w:val="bottom"/>
          </w:tcPr>
          <w:p w14:paraId="7B9C8895"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2020</w:t>
            </w:r>
          </w:p>
        </w:tc>
        <w:tc>
          <w:tcPr>
            <w:tcW w:w="1010" w:type="dxa"/>
            <w:tcBorders>
              <w:top w:val="single" w:sz="4" w:space="0" w:color="auto"/>
              <w:bottom w:val="single" w:sz="12" w:space="0" w:color="auto"/>
            </w:tcBorders>
            <w:shd w:val="clear" w:color="auto" w:fill="auto"/>
            <w:vAlign w:val="bottom"/>
          </w:tcPr>
          <w:p w14:paraId="3F30B73D" w14:textId="77777777" w:rsidR="00841C25" w:rsidRPr="005F6C50" w:rsidRDefault="00841C25" w:rsidP="005F6C50">
            <w:pPr>
              <w:spacing w:before="80" w:after="80" w:line="200" w:lineRule="exact"/>
              <w:ind w:left="28" w:right="28"/>
              <w:jc w:val="right"/>
              <w:rPr>
                <w:rFonts w:cs="Times New Roman"/>
                <w:i/>
                <w:sz w:val="16"/>
              </w:rPr>
            </w:pPr>
            <w:r w:rsidRPr="005F6C50">
              <w:rPr>
                <w:rFonts w:cs="Times New Roman"/>
                <w:i/>
                <w:sz w:val="16"/>
              </w:rPr>
              <w:t>2021</w:t>
            </w:r>
          </w:p>
        </w:tc>
      </w:tr>
      <w:tr w:rsidR="00841C25" w:rsidRPr="005F6C50" w14:paraId="5A1560C2" w14:textId="77777777" w:rsidTr="00A272FF">
        <w:tc>
          <w:tcPr>
            <w:tcW w:w="2543" w:type="dxa"/>
            <w:tcBorders>
              <w:top w:val="single" w:sz="12" w:space="0" w:color="auto"/>
            </w:tcBorders>
            <w:shd w:val="clear" w:color="auto" w:fill="auto"/>
          </w:tcPr>
          <w:p w14:paraId="4FDCEBEB" w14:textId="77777777" w:rsidR="00841C25" w:rsidRPr="005F6C50" w:rsidRDefault="00841C25" w:rsidP="005F6C50">
            <w:pPr>
              <w:spacing w:before="40" w:after="40" w:line="220" w:lineRule="exact"/>
              <w:ind w:left="28" w:right="28"/>
              <w:rPr>
                <w:rFonts w:cs="Times New Roman"/>
                <w:sz w:val="18"/>
              </w:rPr>
            </w:pPr>
            <w:r w:rsidRPr="005F6C50">
              <w:rPr>
                <w:rFonts w:cs="Times New Roman"/>
                <w:sz w:val="18"/>
              </w:rPr>
              <w:t>Число рождений</w:t>
            </w:r>
          </w:p>
        </w:tc>
        <w:tc>
          <w:tcPr>
            <w:tcW w:w="1014" w:type="dxa"/>
            <w:tcBorders>
              <w:top w:val="single" w:sz="12" w:space="0" w:color="auto"/>
            </w:tcBorders>
            <w:shd w:val="clear" w:color="auto" w:fill="auto"/>
            <w:vAlign w:val="bottom"/>
          </w:tcPr>
          <w:p w14:paraId="69536D5C"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305 377</w:t>
            </w:r>
          </w:p>
        </w:tc>
        <w:tc>
          <w:tcPr>
            <w:tcW w:w="1014" w:type="dxa"/>
            <w:tcBorders>
              <w:top w:val="single" w:sz="12" w:space="0" w:color="auto"/>
            </w:tcBorders>
            <w:shd w:val="clear" w:color="auto" w:fill="auto"/>
            <w:vAlign w:val="bottom"/>
          </w:tcPr>
          <w:p w14:paraId="40975E34"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311 104</w:t>
            </w:r>
          </w:p>
        </w:tc>
        <w:tc>
          <w:tcPr>
            <w:tcW w:w="1014" w:type="dxa"/>
            <w:tcBorders>
              <w:top w:val="single" w:sz="12" w:space="0" w:color="auto"/>
            </w:tcBorders>
            <w:shd w:val="clear" w:color="auto" w:fill="auto"/>
            <w:vAlign w:val="bottom"/>
          </w:tcPr>
          <w:p w14:paraId="0A05CD6E"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309 142</w:t>
            </w:r>
          </w:p>
        </w:tc>
        <w:tc>
          <w:tcPr>
            <w:tcW w:w="1014" w:type="dxa"/>
            <w:tcBorders>
              <w:top w:val="single" w:sz="12" w:space="0" w:color="auto"/>
            </w:tcBorders>
            <w:shd w:val="clear" w:color="auto" w:fill="auto"/>
            <w:vAlign w:val="bottom"/>
          </w:tcPr>
          <w:p w14:paraId="1BA6B4F4"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315 147</w:t>
            </w:r>
          </w:p>
        </w:tc>
        <w:tc>
          <w:tcPr>
            <w:tcW w:w="1014" w:type="dxa"/>
            <w:tcBorders>
              <w:top w:val="single" w:sz="12" w:space="0" w:color="auto"/>
            </w:tcBorders>
            <w:shd w:val="clear" w:color="auto" w:fill="auto"/>
            <w:vAlign w:val="bottom"/>
          </w:tcPr>
          <w:p w14:paraId="6578ACC3"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305 832</w:t>
            </w:r>
          </w:p>
        </w:tc>
        <w:tc>
          <w:tcPr>
            <w:tcW w:w="1014" w:type="dxa"/>
            <w:tcBorders>
              <w:top w:val="single" w:sz="12" w:space="0" w:color="auto"/>
            </w:tcBorders>
            <w:shd w:val="clear" w:color="auto" w:fill="auto"/>
            <w:vAlign w:val="bottom"/>
          </w:tcPr>
          <w:p w14:paraId="6188908D"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294 369</w:t>
            </w:r>
          </w:p>
        </w:tc>
        <w:tc>
          <w:tcPr>
            <w:tcW w:w="1010" w:type="dxa"/>
            <w:tcBorders>
              <w:top w:val="single" w:sz="12" w:space="0" w:color="auto"/>
            </w:tcBorders>
            <w:shd w:val="clear" w:color="auto" w:fill="auto"/>
            <w:vAlign w:val="bottom"/>
          </w:tcPr>
          <w:p w14:paraId="4F1E57A6"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309 996</w:t>
            </w:r>
          </w:p>
        </w:tc>
      </w:tr>
      <w:tr w:rsidR="00841C25" w:rsidRPr="005F6C50" w14:paraId="4579941E" w14:textId="77777777" w:rsidTr="00A272FF">
        <w:tc>
          <w:tcPr>
            <w:tcW w:w="2543" w:type="dxa"/>
            <w:shd w:val="clear" w:color="auto" w:fill="auto"/>
          </w:tcPr>
          <w:p w14:paraId="54ADD4FA" w14:textId="7E69DA4D" w:rsidR="00841C25" w:rsidRPr="005F6C50" w:rsidRDefault="008348B3" w:rsidP="00A272FF">
            <w:pPr>
              <w:spacing w:before="40" w:after="40" w:line="220" w:lineRule="exact"/>
              <w:ind w:left="28" w:right="28"/>
              <w:rPr>
                <w:rFonts w:cs="Times New Roman"/>
                <w:sz w:val="18"/>
              </w:rPr>
            </w:pPr>
            <w:r>
              <w:rPr>
                <w:rFonts w:cs="Times New Roman"/>
                <w:sz w:val="18"/>
              </w:rPr>
              <w:t>О</w:t>
            </w:r>
            <w:r w:rsidR="00841C25" w:rsidRPr="005F6C50">
              <w:rPr>
                <w:rFonts w:cs="Times New Roman"/>
                <w:sz w:val="18"/>
              </w:rPr>
              <w:t>бщий коэффициент плодовитости</w:t>
            </w:r>
            <w:r w:rsidR="00841C25" w:rsidRPr="00A272FF">
              <w:rPr>
                <w:rFonts w:cs="Times New Roman"/>
                <w:i/>
                <w:iCs/>
                <w:sz w:val="18"/>
                <w:vertAlign w:val="superscript"/>
              </w:rPr>
              <w:t>1</w:t>
            </w:r>
            <w:r w:rsidR="00A272FF">
              <w:rPr>
                <w:rFonts w:cs="Times New Roman"/>
                <w:i/>
                <w:iCs/>
                <w:sz w:val="18"/>
                <w:vertAlign w:val="superscript"/>
              </w:rPr>
              <w:br/>
            </w:r>
            <w:r w:rsidR="00841C25" w:rsidRPr="005F6C50">
              <w:rPr>
                <w:rFonts w:cs="Times New Roman"/>
                <w:sz w:val="18"/>
              </w:rPr>
              <w:t>(число живорождений на одну женщину)</w:t>
            </w:r>
          </w:p>
        </w:tc>
        <w:tc>
          <w:tcPr>
            <w:tcW w:w="1014" w:type="dxa"/>
            <w:shd w:val="clear" w:color="auto" w:fill="auto"/>
            <w:vAlign w:val="bottom"/>
          </w:tcPr>
          <w:p w14:paraId="2BD05CC1"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1,8</w:t>
            </w:r>
          </w:p>
        </w:tc>
        <w:tc>
          <w:tcPr>
            <w:tcW w:w="1014" w:type="dxa"/>
            <w:shd w:val="clear" w:color="auto" w:fill="auto"/>
            <w:vAlign w:val="bottom"/>
          </w:tcPr>
          <w:p w14:paraId="7383268F"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1,8</w:t>
            </w:r>
          </w:p>
        </w:tc>
        <w:tc>
          <w:tcPr>
            <w:tcW w:w="1014" w:type="dxa"/>
            <w:shd w:val="clear" w:color="auto" w:fill="auto"/>
            <w:vAlign w:val="bottom"/>
          </w:tcPr>
          <w:p w14:paraId="096B42F9"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1,7</w:t>
            </w:r>
          </w:p>
        </w:tc>
        <w:tc>
          <w:tcPr>
            <w:tcW w:w="1014" w:type="dxa"/>
            <w:shd w:val="clear" w:color="auto" w:fill="auto"/>
            <w:vAlign w:val="bottom"/>
          </w:tcPr>
          <w:p w14:paraId="72F50A38"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1,74</w:t>
            </w:r>
          </w:p>
        </w:tc>
        <w:tc>
          <w:tcPr>
            <w:tcW w:w="1014" w:type="dxa"/>
            <w:shd w:val="clear" w:color="auto" w:fill="auto"/>
            <w:vAlign w:val="bottom"/>
          </w:tcPr>
          <w:p w14:paraId="3D95F649"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1,66</w:t>
            </w:r>
          </w:p>
        </w:tc>
        <w:tc>
          <w:tcPr>
            <w:tcW w:w="1014" w:type="dxa"/>
            <w:shd w:val="clear" w:color="auto" w:fill="auto"/>
            <w:vAlign w:val="bottom"/>
          </w:tcPr>
          <w:p w14:paraId="3D1636BF"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1,59</w:t>
            </w:r>
          </w:p>
        </w:tc>
        <w:tc>
          <w:tcPr>
            <w:tcW w:w="1010" w:type="dxa"/>
            <w:shd w:val="clear" w:color="auto" w:fill="auto"/>
            <w:vAlign w:val="bottom"/>
          </w:tcPr>
          <w:p w14:paraId="183F0A44"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1,70</w:t>
            </w:r>
          </w:p>
        </w:tc>
      </w:tr>
      <w:tr w:rsidR="00841C25" w:rsidRPr="005F6C50" w14:paraId="7452794D" w14:textId="77777777" w:rsidTr="00A272FF">
        <w:tc>
          <w:tcPr>
            <w:tcW w:w="2543" w:type="dxa"/>
            <w:shd w:val="clear" w:color="auto" w:fill="auto"/>
          </w:tcPr>
          <w:p w14:paraId="64340C54" w14:textId="77777777" w:rsidR="00841C25" w:rsidRPr="005F6C50" w:rsidRDefault="00841C25" w:rsidP="005F6C50">
            <w:pPr>
              <w:spacing w:before="40" w:after="40" w:line="220" w:lineRule="exact"/>
              <w:ind w:left="28" w:right="28"/>
              <w:rPr>
                <w:rFonts w:cs="Times New Roman"/>
                <w:sz w:val="18"/>
              </w:rPr>
            </w:pPr>
            <w:r w:rsidRPr="005F6C50">
              <w:rPr>
                <w:rFonts w:cs="Times New Roman"/>
                <w:sz w:val="18"/>
              </w:rPr>
              <w:t>Число смертей</w:t>
            </w:r>
          </w:p>
        </w:tc>
        <w:tc>
          <w:tcPr>
            <w:tcW w:w="1014" w:type="dxa"/>
            <w:shd w:val="clear" w:color="auto" w:fill="auto"/>
            <w:vAlign w:val="bottom"/>
          </w:tcPr>
          <w:p w14:paraId="3BC9CCA8"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159 052</w:t>
            </w:r>
          </w:p>
        </w:tc>
        <w:tc>
          <w:tcPr>
            <w:tcW w:w="1014" w:type="dxa"/>
            <w:shd w:val="clear" w:color="auto" w:fill="auto"/>
            <w:vAlign w:val="bottom"/>
          </w:tcPr>
          <w:p w14:paraId="47BD1037"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158 504</w:t>
            </w:r>
          </w:p>
        </w:tc>
        <w:tc>
          <w:tcPr>
            <w:tcW w:w="1014" w:type="dxa"/>
            <w:shd w:val="clear" w:color="auto" w:fill="auto"/>
            <w:vAlign w:val="bottom"/>
          </w:tcPr>
          <w:p w14:paraId="3B23D6E3"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160 909</w:t>
            </w:r>
          </w:p>
        </w:tc>
        <w:tc>
          <w:tcPr>
            <w:tcW w:w="1014" w:type="dxa"/>
            <w:shd w:val="clear" w:color="auto" w:fill="auto"/>
            <w:vAlign w:val="bottom"/>
          </w:tcPr>
          <w:p w14:paraId="68F79230"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158 493</w:t>
            </w:r>
          </w:p>
        </w:tc>
        <w:tc>
          <w:tcPr>
            <w:tcW w:w="1014" w:type="dxa"/>
            <w:shd w:val="clear" w:color="auto" w:fill="auto"/>
            <w:vAlign w:val="bottom"/>
          </w:tcPr>
          <w:p w14:paraId="7CB01F77"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169 301</w:t>
            </w:r>
          </w:p>
        </w:tc>
        <w:tc>
          <w:tcPr>
            <w:tcW w:w="1014" w:type="dxa"/>
            <w:shd w:val="clear" w:color="auto" w:fill="auto"/>
            <w:vAlign w:val="bottom"/>
          </w:tcPr>
          <w:p w14:paraId="0BB404E1"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161 300</w:t>
            </w:r>
          </w:p>
        </w:tc>
        <w:tc>
          <w:tcPr>
            <w:tcW w:w="1010" w:type="dxa"/>
            <w:shd w:val="clear" w:color="auto" w:fill="auto"/>
            <w:vAlign w:val="bottom"/>
          </w:tcPr>
          <w:p w14:paraId="142BEDE7"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171 469</w:t>
            </w:r>
          </w:p>
        </w:tc>
      </w:tr>
      <w:tr w:rsidR="00841C25" w:rsidRPr="005F6C50" w14:paraId="745A9014" w14:textId="77777777" w:rsidTr="00A272FF">
        <w:tc>
          <w:tcPr>
            <w:tcW w:w="2543" w:type="dxa"/>
            <w:shd w:val="clear" w:color="auto" w:fill="auto"/>
          </w:tcPr>
          <w:p w14:paraId="162DF77F" w14:textId="50285A7F" w:rsidR="00841C25" w:rsidRPr="005F6C50" w:rsidRDefault="00841C25" w:rsidP="00A272FF">
            <w:pPr>
              <w:spacing w:before="40" w:after="40" w:line="220" w:lineRule="exact"/>
              <w:ind w:left="28" w:right="28"/>
              <w:rPr>
                <w:rFonts w:cs="Times New Roman"/>
                <w:sz w:val="18"/>
              </w:rPr>
            </w:pPr>
            <w:r w:rsidRPr="005F6C50">
              <w:rPr>
                <w:rFonts w:cs="Times New Roman"/>
                <w:sz w:val="18"/>
              </w:rPr>
              <w:t>Общий коэффициент смертности</w:t>
            </w:r>
            <w:r w:rsidR="00A272FF">
              <w:rPr>
                <w:rFonts w:cs="Times New Roman"/>
                <w:sz w:val="18"/>
              </w:rPr>
              <w:br/>
            </w:r>
            <w:r w:rsidRPr="005F6C50">
              <w:rPr>
                <w:rFonts w:cs="Times New Roman"/>
                <w:sz w:val="18"/>
              </w:rPr>
              <w:t xml:space="preserve">(число смертей на </w:t>
            </w:r>
            <w:r w:rsidR="00A272FF">
              <w:rPr>
                <w:rFonts w:cs="Times New Roman"/>
                <w:sz w:val="18"/>
              </w:rPr>
              <w:br/>
            </w:r>
            <w:r w:rsidRPr="005F6C50">
              <w:rPr>
                <w:rFonts w:cs="Times New Roman"/>
                <w:sz w:val="18"/>
              </w:rPr>
              <w:t>1000 человек)</w:t>
            </w:r>
          </w:p>
        </w:tc>
        <w:tc>
          <w:tcPr>
            <w:tcW w:w="1014" w:type="dxa"/>
            <w:shd w:val="clear" w:color="auto" w:fill="auto"/>
            <w:vAlign w:val="bottom"/>
          </w:tcPr>
          <w:p w14:paraId="7C7C6FCA"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6,7</w:t>
            </w:r>
          </w:p>
        </w:tc>
        <w:tc>
          <w:tcPr>
            <w:tcW w:w="1014" w:type="dxa"/>
            <w:shd w:val="clear" w:color="auto" w:fill="auto"/>
            <w:vAlign w:val="bottom"/>
          </w:tcPr>
          <w:p w14:paraId="4CD9A27A"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6,6</w:t>
            </w:r>
          </w:p>
        </w:tc>
        <w:tc>
          <w:tcPr>
            <w:tcW w:w="1014" w:type="dxa"/>
            <w:shd w:val="clear" w:color="auto" w:fill="auto"/>
            <w:vAlign w:val="bottom"/>
          </w:tcPr>
          <w:p w14:paraId="543AF32B"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6,5</w:t>
            </w:r>
          </w:p>
        </w:tc>
        <w:tc>
          <w:tcPr>
            <w:tcW w:w="1014" w:type="dxa"/>
            <w:shd w:val="clear" w:color="auto" w:fill="auto"/>
            <w:vAlign w:val="bottom"/>
          </w:tcPr>
          <w:p w14:paraId="748F9215"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6,3</w:t>
            </w:r>
          </w:p>
        </w:tc>
        <w:tc>
          <w:tcPr>
            <w:tcW w:w="1014" w:type="dxa"/>
            <w:shd w:val="clear" w:color="auto" w:fill="auto"/>
            <w:vAlign w:val="bottom"/>
          </w:tcPr>
          <w:p w14:paraId="42E42B30"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6,7</w:t>
            </w:r>
          </w:p>
        </w:tc>
        <w:tc>
          <w:tcPr>
            <w:tcW w:w="1014" w:type="dxa"/>
            <w:shd w:val="clear" w:color="auto" w:fill="auto"/>
            <w:vAlign w:val="bottom"/>
          </w:tcPr>
          <w:p w14:paraId="46599825"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6,3</w:t>
            </w:r>
          </w:p>
        </w:tc>
        <w:tc>
          <w:tcPr>
            <w:tcW w:w="1010" w:type="dxa"/>
            <w:shd w:val="clear" w:color="auto" w:fill="auto"/>
            <w:vAlign w:val="bottom"/>
          </w:tcPr>
          <w:p w14:paraId="762E96C2"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6,7</w:t>
            </w:r>
          </w:p>
        </w:tc>
      </w:tr>
      <w:tr w:rsidR="00841C25" w:rsidRPr="005F6C50" w14:paraId="4F3816AF" w14:textId="77777777" w:rsidTr="00A272FF">
        <w:tc>
          <w:tcPr>
            <w:tcW w:w="2543" w:type="dxa"/>
            <w:shd w:val="clear" w:color="auto" w:fill="auto"/>
          </w:tcPr>
          <w:p w14:paraId="73622C4F" w14:textId="622DD8F9" w:rsidR="00841C25" w:rsidRPr="005F6C50" w:rsidRDefault="00841C25" w:rsidP="00A272FF">
            <w:pPr>
              <w:spacing w:before="40" w:after="40" w:line="220" w:lineRule="exact"/>
              <w:ind w:left="28" w:right="28"/>
              <w:rPr>
                <w:rFonts w:cs="Times New Roman"/>
                <w:sz w:val="18"/>
              </w:rPr>
            </w:pPr>
            <w:r w:rsidRPr="005F6C50">
              <w:rPr>
                <w:rFonts w:cs="Times New Roman"/>
                <w:sz w:val="18"/>
              </w:rPr>
              <w:t>Стандартизированный коэффициент смертности</w:t>
            </w:r>
            <w:r w:rsidRPr="00A272FF">
              <w:rPr>
                <w:rFonts w:cs="Times New Roman"/>
                <w:i/>
                <w:iCs/>
                <w:sz w:val="18"/>
                <w:vertAlign w:val="superscript"/>
              </w:rPr>
              <w:t>2</w:t>
            </w:r>
            <w:r w:rsidR="00A272FF">
              <w:rPr>
                <w:rFonts w:cs="Times New Roman"/>
                <w:i/>
                <w:iCs/>
                <w:sz w:val="18"/>
                <w:vertAlign w:val="superscript"/>
              </w:rPr>
              <w:br/>
            </w:r>
            <w:r w:rsidRPr="005F6C50">
              <w:rPr>
                <w:rFonts w:cs="Times New Roman"/>
                <w:sz w:val="18"/>
              </w:rPr>
              <w:t xml:space="preserve">(число смертей на </w:t>
            </w:r>
            <w:r w:rsidR="00A272FF">
              <w:rPr>
                <w:rFonts w:cs="Times New Roman"/>
                <w:sz w:val="18"/>
              </w:rPr>
              <w:br/>
            </w:r>
            <w:r w:rsidRPr="005F6C50">
              <w:rPr>
                <w:rFonts w:cs="Times New Roman"/>
                <w:sz w:val="18"/>
              </w:rPr>
              <w:t>1000 человек)</w:t>
            </w:r>
          </w:p>
        </w:tc>
        <w:tc>
          <w:tcPr>
            <w:tcW w:w="1014" w:type="dxa"/>
            <w:shd w:val="clear" w:color="auto" w:fill="auto"/>
            <w:vAlign w:val="bottom"/>
          </w:tcPr>
          <w:p w14:paraId="184AC724"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5,5</w:t>
            </w:r>
          </w:p>
        </w:tc>
        <w:tc>
          <w:tcPr>
            <w:tcW w:w="1014" w:type="dxa"/>
            <w:shd w:val="clear" w:color="auto" w:fill="auto"/>
            <w:vAlign w:val="bottom"/>
          </w:tcPr>
          <w:p w14:paraId="07C66E0C"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5,4</w:t>
            </w:r>
          </w:p>
        </w:tc>
        <w:tc>
          <w:tcPr>
            <w:tcW w:w="1014" w:type="dxa"/>
            <w:shd w:val="clear" w:color="auto" w:fill="auto"/>
            <w:vAlign w:val="bottom"/>
          </w:tcPr>
          <w:p w14:paraId="62787E26"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5,3</w:t>
            </w:r>
          </w:p>
        </w:tc>
        <w:tc>
          <w:tcPr>
            <w:tcW w:w="1014" w:type="dxa"/>
            <w:shd w:val="clear" w:color="auto" w:fill="auto"/>
            <w:vAlign w:val="bottom"/>
          </w:tcPr>
          <w:p w14:paraId="438C760F"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5,1</w:t>
            </w:r>
          </w:p>
        </w:tc>
        <w:tc>
          <w:tcPr>
            <w:tcW w:w="1014" w:type="dxa"/>
            <w:shd w:val="clear" w:color="auto" w:fill="auto"/>
            <w:vAlign w:val="bottom"/>
          </w:tcPr>
          <w:p w14:paraId="7E99F9C2"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5,3</w:t>
            </w:r>
          </w:p>
        </w:tc>
        <w:tc>
          <w:tcPr>
            <w:tcW w:w="1014" w:type="dxa"/>
            <w:shd w:val="clear" w:color="auto" w:fill="auto"/>
            <w:vAlign w:val="bottom"/>
          </w:tcPr>
          <w:p w14:paraId="740F7F49"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4,9</w:t>
            </w:r>
          </w:p>
        </w:tc>
        <w:tc>
          <w:tcPr>
            <w:tcW w:w="1010" w:type="dxa"/>
            <w:shd w:val="clear" w:color="auto" w:fill="auto"/>
            <w:vAlign w:val="bottom"/>
          </w:tcPr>
          <w:p w14:paraId="1192FE72"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5,1</w:t>
            </w:r>
          </w:p>
        </w:tc>
      </w:tr>
      <w:tr w:rsidR="00841C25" w:rsidRPr="005F6C50" w14:paraId="500CE2D1" w14:textId="77777777" w:rsidTr="00A272FF">
        <w:tc>
          <w:tcPr>
            <w:tcW w:w="2543" w:type="dxa"/>
            <w:shd w:val="clear" w:color="auto" w:fill="auto"/>
          </w:tcPr>
          <w:p w14:paraId="35CB050D" w14:textId="77777777" w:rsidR="00841C25" w:rsidRPr="005F6C50" w:rsidRDefault="00841C25" w:rsidP="005F6C50">
            <w:pPr>
              <w:spacing w:before="40" w:after="40" w:line="220" w:lineRule="exact"/>
              <w:ind w:left="28" w:right="28"/>
              <w:rPr>
                <w:rFonts w:cs="Times New Roman"/>
                <w:sz w:val="18"/>
              </w:rPr>
            </w:pPr>
            <w:r w:rsidRPr="005F6C50">
              <w:rPr>
                <w:rFonts w:cs="Times New Roman"/>
                <w:sz w:val="18"/>
              </w:rPr>
              <w:lastRenderedPageBreak/>
              <w:t>Число случаев смерти младенцев</w:t>
            </w:r>
            <w:r w:rsidRPr="00A272FF">
              <w:rPr>
                <w:rFonts w:cs="Times New Roman"/>
                <w:i/>
                <w:iCs/>
                <w:sz w:val="18"/>
                <w:vertAlign w:val="superscript"/>
              </w:rPr>
              <w:t>3</w:t>
            </w:r>
          </w:p>
        </w:tc>
        <w:tc>
          <w:tcPr>
            <w:tcW w:w="1014" w:type="dxa"/>
            <w:shd w:val="clear" w:color="auto" w:fill="auto"/>
            <w:vAlign w:val="bottom"/>
          </w:tcPr>
          <w:p w14:paraId="488D9685"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991</w:t>
            </w:r>
          </w:p>
        </w:tc>
        <w:tc>
          <w:tcPr>
            <w:tcW w:w="1014" w:type="dxa"/>
            <w:shd w:val="clear" w:color="auto" w:fill="auto"/>
            <w:vAlign w:val="bottom"/>
          </w:tcPr>
          <w:p w14:paraId="7AD43B23"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970</w:t>
            </w:r>
          </w:p>
        </w:tc>
        <w:tc>
          <w:tcPr>
            <w:tcW w:w="1014" w:type="dxa"/>
            <w:shd w:val="clear" w:color="auto" w:fill="auto"/>
            <w:vAlign w:val="bottom"/>
          </w:tcPr>
          <w:p w14:paraId="3AEDB137"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1 019</w:t>
            </w:r>
          </w:p>
        </w:tc>
        <w:tc>
          <w:tcPr>
            <w:tcW w:w="1014" w:type="dxa"/>
            <w:shd w:val="clear" w:color="auto" w:fill="auto"/>
            <w:vAlign w:val="bottom"/>
          </w:tcPr>
          <w:p w14:paraId="4BB45C6D"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988</w:t>
            </w:r>
          </w:p>
        </w:tc>
        <w:tc>
          <w:tcPr>
            <w:tcW w:w="1014" w:type="dxa"/>
            <w:shd w:val="clear" w:color="auto" w:fill="auto"/>
            <w:vAlign w:val="bottom"/>
          </w:tcPr>
          <w:p w14:paraId="614AAC72"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1 009</w:t>
            </w:r>
          </w:p>
        </w:tc>
        <w:tc>
          <w:tcPr>
            <w:tcW w:w="1014" w:type="dxa"/>
            <w:shd w:val="clear" w:color="auto" w:fill="auto"/>
            <w:vAlign w:val="bottom"/>
          </w:tcPr>
          <w:p w14:paraId="08C66C02"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943</w:t>
            </w:r>
          </w:p>
        </w:tc>
        <w:tc>
          <w:tcPr>
            <w:tcW w:w="1010" w:type="dxa"/>
            <w:shd w:val="clear" w:color="auto" w:fill="auto"/>
            <w:vAlign w:val="bottom"/>
          </w:tcPr>
          <w:p w14:paraId="3F2A2CFE"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1 009</w:t>
            </w:r>
          </w:p>
        </w:tc>
      </w:tr>
      <w:tr w:rsidR="00841C25" w:rsidRPr="005F6C50" w14:paraId="50AB6D93" w14:textId="77777777" w:rsidTr="00A272FF">
        <w:tc>
          <w:tcPr>
            <w:tcW w:w="2543" w:type="dxa"/>
            <w:tcBorders>
              <w:bottom w:val="single" w:sz="12" w:space="0" w:color="auto"/>
            </w:tcBorders>
            <w:shd w:val="clear" w:color="auto" w:fill="auto"/>
          </w:tcPr>
          <w:p w14:paraId="02616F75" w14:textId="07D04D9D" w:rsidR="00841C25" w:rsidRPr="005F6C50" w:rsidRDefault="00841C25" w:rsidP="00A272FF">
            <w:pPr>
              <w:spacing w:before="40" w:after="40" w:line="220" w:lineRule="exact"/>
              <w:ind w:left="28" w:right="28"/>
              <w:rPr>
                <w:rFonts w:cs="Times New Roman"/>
                <w:sz w:val="18"/>
              </w:rPr>
            </w:pPr>
            <w:r w:rsidRPr="005F6C50">
              <w:rPr>
                <w:rFonts w:cs="Times New Roman"/>
                <w:sz w:val="18"/>
              </w:rPr>
              <w:t>Уровень смертности среди новорожденных</w:t>
            </w:r>
            <w:r w:rsidR="00A272FF">
              <w:rPr>
                <w:rFonts w:cs="Times New Roman"/>
                <w:sz w:val="18"/>
              </w:rPr>
              <w:br/>
            </w:r>
            <w:r w:rsidRPr="005F6C50">
              <w:rPr>
                <w:rFonts w:cs="Times New Roman"/>
                <w:sz w:val="18"/>
              </w:rPr>
              <w:t xml:space="preserve">(число смертей на </w:t>
            </w:r>
            <w:r w:rsidR="00A272FF">
              <w:rPr>
                <w:rFonts w:cs="Times New Roman"/>
                <w:sz w:val="18"/>
              </w:rPr>
              <w:br/>
            </w:r>
            <w:r w:rsidRPr="005F6C50">
              <w:rPr>
                <w:rFonts w:cs="Times New Roman"/>
                <w:sz w:val="18"/>
              </w:rPr>
              <w:t>1000 живорождений)</w:t>
            </w:r>
          </w:p>
        </w:tc>
        <w:tc>
          <w:tcPr>
            <w:tcW w:w="1014" w:type="dxa"/>
            <w:tcBorders>
              <w:bottom w:val="single" w:sz="12" w:space="0" w:color="auto"/>
            </w:tcBorders>
            <w:shd w:val="clear" w:color="auto" w:fill="auto"/>
            <w:vAlign w:val="bottom"/>
          </w:tcPr>
          <w:p w14:paraId="6EFD993E"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3,2</w:t>
            </w:r>
          </w:p>
        </w:tc>
        <w:tc>
          <w:tcPr>
            <w:tcW w:w="1014" w:type="dxa"/>
            <w:tcBorders>
              <w:bottom w:val="single" w:sz="12" w:space="0" w:color="auto"/>
            </w:tcBorders>
            <w:shd w:val="clear" w:color="auto" w:fill="auto"/>
            <w:vAlign w:val="bottom"/>
          </w:tcPr>
          <w:p w14:paraId="11ECD325"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3,1</w:t>
            </w:r>
          </w:p>
        </w:tc>
        <w:tc>
          <w:tcPr>
            <w:tcW w:w="1014" w:type="dxa"/>
            <w:tcBorders>
              <w:bottom w:val="single" w:sz="12" w:space="0" w:color="auto"/>
            </w:tcBorders>
            <w:shd w:val="clear" w:color="auto" w:fill="auto"/>
            <w:vAlign w:val="bottom"/>
          </w:tcPr>
          <w:p w14:paraId="456CE0F9"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3,3</w:t>
            </w:r>
          </w:p>
        </w:tc>
        <w:tc>
          <w:tcPr>
            <w:tcW w:w="1014" w:type="dxa"/>
            <w:tcBorders>
              <w:bottom w:val="single" w:sz="12" w:space="0" w:color="auto"/>
            </w:tcBorders>
            <w:shd w:val="clear" w:color="auto" w:fill="auto"/>
            <w:vAlign w:val="bottom"/>
          </w:tcPr>
          <w:p w14:paraId="7CFF8293"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3,1</w:t>
            </w:r>
          </w:p>
        </w:tc>
        <w:tc>
          <w:tcPr>
            <w:tcW w:w="1014" w:type="dxa"/>
            <w:tcBorders>
              <w:bottom w:val="single" w:sz="12" w:space="0" w:color="auto"/>
            </w:tcBorders>
            <w:shd w:val="clear" w:color="auto" w:fill="auto"/>
            <w:vAlign w:val="bottom"/>
          </w:tcPr>
          <w:p w14:paraId="71414499"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3,3</w:t>
            </w:r>
          </w:p>
        </w:tc>
        <w:tc>
          <w:tcPr>
            <w:tcW w:w="1014" w:type="dxa"/>
            <w:tcBorders>
              <w:bottom w:val="single" w:sz="12" w:space="0" w:color="auto"/>
            </w:tcBorders>
            <w:shd w:val="clear" w:color="auto" w:fill="auto"/>
            <w:vAlign w:val="bottom"/>
          </w:tcPr>
          <w:p w14:paraId="6FF1A3E1"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3,2</w:t>
            </w:r>
          </w:p>
        </w:tc>
        <w:tc>
          <w:tcPr>
            <w:tcW w:w="1010" w:type="dxa"/>
            <w:tcBorders>
              <w:bottom w:val="single" w:sz="12" w:space="0" w:color="auto"/>
            </w:tcBorders>
            <w:shd w:val="clear" w:color="auto" w:fill="auto"/>
            <w:vAlign w:val="bottom"/>
          </w:tcPr>
          <w:p w14:paraId="2428EA26" w14:textId="77777777" w:rsidR="00841C25" w:rsidRPr="005F6C50" w:rsidRDefault="00841C25" w:rsidP="005F6C50">
            <w:pPr>
              <w:spacing w:before="40" w:after="40" w:line="220" w:lineRule="exact"/>
              <w:ind w:left="28" w:right="28"/>
              <w:jc w:val="right"/>
              <w:rPr>
                <w:rFonts w:cs="Times New Roman"/>
                <w:sz w:val="18"/>
              </w:rPr>
            </w:pPr>
            <w:r w:rsidRPr="005F6C50">
              <w:rPr>
                <w:rFonts w:cs="Times New Roman"/>
                <w:sz w:val="18"/>
              </w:rPr>
              <w:t>3,3</w:t>
            </w:r>
          </w:p>
        </w:tc>
      </w:tr>
    </w:tbl>
    <w:p w14:paraId="5B977BF7" w14:textId="7A3E9F8C" w:rsidR="00841C25" w:rsidRPr="00A272FF" w:rsidRDefault="00841C25" w:rsidP="00A272FF">
      <w:pPr>
        <w:pStyle w:val="SingleTxtG"/>
        <w:spacing w:before="120" w:after="0" w:line="220" w:lineRule="exact"/>
        <w:ind w:left="0" w:right="0" w:firstLine="170"/>
        <w:jc w:val="left"/>
        <w:rPr>
          <w:sz w:val="18"/>
          <w:szCs w:val="18"/>
        </w:rPr>
      </w:pPr>
      <w:r w:rsidRPr="00A272FF">
        <w:rPr>
          <w:i/>
          <w:iCs/>
          <w:sz w:val="18"/>
          <w:szCs w:val="18"/>
          <w:vertAlign w:val="superscript"/>
        </w:rPr>
        <w:t>1</w:t>
      </w:r>
      <w:r w:rsidRPr="00A272FF">
        <w:rPr>
          <w:sz w:val="18"/>
          <w:szCs w:val="18"/>
        </w:rPr>
        <w:t xml:space="preserve"> </w:t>
      </w:r>
      <w:r w:rsidR="00A272FF">
        <w:rPr>
          <w:sz w:val="18"/>
          <w:szCs w:val="18"/>
        </w:rPr>
        <w:t xml:space="preserve"> </w:t>
      </w:r>
      <w:r w:rsidRPr="00A272FF">
        <w:rPr>
          <w:sz w:val="18"/>
          <w:szCs w:val="18"/>
        </w:rPr>
        <w:t>Сумма повозрастных коэффициентов плодовитости представляет собой число детей, которых женщина родила бы в течение своей жизни, если бы в каждом возрасте ее репродуктивной жизни (15–49 лет) наблюдались текущие повозрастные коэффициенты плодовитости.</w:t>
      </w:r>
    </w:p>
    <w:p w14:paraId="5D7B8B38" w14:textId="4F7BBC6A" w:rsidR="00841C25" w:rsidRPr="00A272FF" w:rsidRDefault="00841C25" w:rsidP="00A272FF">
      <w:pPr>
        <w:spacing w:line="220" w:lineRule="exact"/>
        <w:ind w:firstLine="170"/>
        <w:rPr>
          <w:sz w:val="18"/>
          <w:szCs w:val="18"/>
        </w:rPr>
      </w:pPr>
      <w:r w:rsidRPr="00A272FF">
        <w:rPr>
          <w:i/>
          <w:iCs/>
          <w:sz w:val="18"/>
          <w:szCs w:val="18"/>
          <w:vertAlign w:val="superscript"/>
        </w:rPr>
        <w:t>2</w:t>
      </w:r>
      <w:r w:rsidRPr="00A272FF">
        <w:rPr>
          <w:sz w:val="18"/>
          <w:szCs w:val="18"/>
        </w:rPr>
        <w:t xml:space="preserve"> </w:t>
      </w:r>
      <w:r w:rsidR="00A272FF">
        <w:rPr>
          <w:sz w:val="18"/>
          <w:szCs w:val="18"/>
        </w:rPr>
        <w:t xml:space="preserve"> </w:t>
      </w:r>
      <w:r w:rsidRPr="00A272FF">
        <w:rPr>
          <w:sz w:val="18"/>
          <w:szCs w:val="18"/>
        </w:rPr>
        <w:t>С учетом возрастной структуры населения.</w:t>
      </w:r>
    </w:p>
    <w:p w14:paraId="6798D109" w14:textId="58F80067" w:rsidR="00841C25" w:rsidRPr="00A272FF" w:rsidRDefault="00841C25" w:rsidP="00A272FF">
      <w:pPr>
        <w:spacing w:line="220" w:lineRule="exact"/>
        <w:ind w:firstLine="170"/>
        <w:rPr>
          <w:sz w:val="18"/>
          <w:szCs w:val="18"/>
        </w:rPr>
      </w:pPr>
      <w:r w:rsidRPr="00A272FF">
        <w:rPr>
          <w:i/>
          <w:iCs/>
          <w:sz w:val="18"/>
          <w:szCs w:val="18"/>
          <w:vertAlign w:val="superscript"/>
        </w:rPr>
        <w:t>3</w:t>
      </w:r>
      <w:r w:rsidRPr="00A272FF">
        <w:rPr>
          <w:sz w:val="18"/>
          <w:szCs w:val="18"/>
        </w:rPr>
        <w:t xml:space="preserve"> </w:t>
      </w:r>
      <w:r w:rsidR="00A272FF">
        <w:rPr>
          <w:sz w:val="18"/>
          <w:szCs w:val="18"/>
        </w:rPr>
        <w:t xml:space="preserve"> </w:t>
      </w:r>
      <w:r w:rsidRPr="00A272FF">
        <w:rPr>
          <w:sz w:val="18"/>
          <w:szCs w:val="18"/>
        </w:rPr>
        <w:t>Определяется как смерть живорожденного ребенка до достижения им первого дня рождения.</w:t>
      </w:r>
    </w:p>
    <w:p w14:paraId="6C984379" w14:textId="77777777" w:rsidR="00841C25" w:rsidRPr="008F3942" w:rsidRDefault="00841C25" w:rsidP="00A272FF">
      <w:pPr>
        <w:pStyle w:val="SingleTxtG"/>
        <w:spacing w:after="240" w:line="220" w:lineRule="exact"/>
        <w:ind w:left="0" w:right="0" w:firstLine="170"/>
        <w:jc w:val="left"/>
      </w:pPr>
      <w:r w:rsidRPr="00A272FF">
        <w:rPr>
          <w:i/>
          <w:iCs/>
          <w:sz w:val="18"/>
          <w:szCs w:val="18"/>
        </w:rPr>
        <w:t>Источник</w:t>
      </w:r>
      <w:r w:rsidRPr="00A272FF">
        <w:rPr>
          <w:sz w:val="18"/>
          <w:szCs w:val="18"/>
        </w:rPr>
        <w:t>: Австралийское бюро статистики, 3301.0 — рождения, Австралия; Австралийское бюро статистики, 3302.0 — смерти, Австралия</w:t>
      </w:r>
      <w:r>
        <w:t>.</w:t>
      </w:r>
    </w:p>
    <w:p w14:paraId="3BB1AB67" w14:textId="5464A1B1" w:rsidR="00841C25" w:rsidRPr="008F3942" w:rsidRDefault="00A272FF" w:rsidP="00A272FF">
      <w:pPr>
        <w:pStyle w:val="H23G"/>
        <w:rPr>
          <w:bCs/>
        </w:rPr>
      </w:pPr>
      <w:r>
        <w:tab/>
      </w:r>
      <w:r>
        <w:tab/>
      </w:r>
      <w:r w:rsidR="00841C25" w:rsidRPr="00A272FF">
        <w:rPr>
          <w:b w:val="0"/>
          <w:bCs/>
        </w:rPr>
        <w:t>Таблица А3</w:t>
      </w:r>
      <w:r w:rsidRPr="00A272FF">
        <w:rPr>
          <w:b w:val="0"/>
          <w:bCs/>
        </w:rPr>
        <w:br/>
      </w:r>
      <w:r w:rsidR="00841C25">
        <w:rPr>
          <w:bCs/>
        </w:rPr>
        <w:t>Доход и богатство домохозяйств, Австралия, 2009</w:t>
      </w:r>
      <w:r w:rsidR="004F59E4">
        <w:rPr>
          <w:bCs/>
        </w:rPr>
        <w:t>/</w:t>
      </w:r>
      <w:r w:rsidR="00841C25">
        <w:rPr>
          <w:bCs/>
        </w:rPr>
        <w:t>10 и 2019</w:t>
      </w:r>
      <w:r w:rsidR="004F59E4">
        <w:rPr>
          <w:bCs/>
        </w:rPr>
        <w:t>/</w:t>
      </w:r>
      <w:r w:rsidR="00841C25">
        <w:rPr>
          <w:bCs/>
        </w:rPr>
        <w:t>20 годы</w:t>
      </w:r>
    </w:p>
    <w:tbl>
      <w:tblPr>
        <w:tblW w:w="7370" w:type="dxa"/>
        <w:tblInd w:w="1134" w:type="dxa"/>
        <w:tblLayout w:type="fixed"/>
        <w:tblCellMar>
          <w:left w:w="0" w:type="dxa"/>
          <w:right w:w="0" w:type="dxa"/>
        </w:tblCellMar>
        <w:tblLook w:val="04A0" w:firstRow="1" w:lastRow="0" w:firstColumn="1" w:lastColumn="0" w:noHBand="0" w:noVBand="1"/>
      </w:tblPr>
      <w:tblGrid>
        <w:gridCol w:w="4678"/>
        <w:gridCol w:w="1701"/>
        <w:gridCol w:w="991"/>
      </w:tblGrid>
      <w:tr w:rsidR="00841C25" w:rsidRPr="005C3FD3" w14:paraId="5AD4E29F" w14:textId="77777777" w:rsidTr="005C3FD3">
        <w:trPr>
          <w:tblHeader/>
        </w:trPr>
        <w:tc>
          <w:tcPr>
            <w:tcW w:w="4678" w:type="dxa"/>
            <w:tcBorders>
              <w:top w:val="single" w:sz="4" w:space="0" w:color="auto"/>
              <w:bottom w:val="single" w:sz="12" w:space="0" w:color="auto"/>
            </w:tcBorders>
            <w:shd w:val="clear" w:color="auto" w:fill="auto"/>
            <w:vAlign w:val="bottom"/>
          </w:tcPr>
          <w:p w14:paraId="2A095B99" w14:textId="77777777" w:rsidR="00841C25" w:rsidRPr="005C3FD3" w:rsidRDefault="00841C25" w:rsidP="005C3FD3">
            <w:pPr>
              <w:spacing w:before="80" w:after="80" w:line="200" w:lineRule="exact"/>
              <w:ind w:left="28" w:right="28"/>
              <w:rPr>
                <w:rFonts w:cs="Times New Roman"/>
                <w:i/>
                <w:sz w:val="16"/>
              </w:rPr>
            </w:pPr>
            <w:r w:rsidRPr="005C3FD3">
              <w:rPr>
                <w:rFonts w:cs="Times New Roman"/>
                <w:i/>
                <w:sz w:val="16"/>
              </w:rPr>
              <w:t>Показатель</w:t>
            </w:r>
          </w:p>
        </w:tc>
        <w:tc>
          <w:tcPr>
            <w:tcW w:w="1701" w:type="dxa"/>
            <w:tcBorders>
              <w:top w:val="single" w:sz="4" w:space="0" w:color="auto"/>
              <w:bottom w:val="single" w:sz="12" w:space="0" w:color="auto"/>
            </w:tcBorders>
            <w:shd w:val="clear" w:color="auto" w:fill="auto"/>
            <w:vAlign w:val="bottom"/>
          </w:tcPr>
          <w:p w14:paraId="440BB381" w14:textId="3F362676" w:rsidR="00841C25" w:rsidRPr="005C3FD3" w:rsidRDefault="00841C25" w:rsidP="005C3FD3">
            <w:pPr>
              <w:spacing w:before="80" w:after="80" w:line="200" w:lineRule="exact"/>
              <w:ind w:left="28" w:right="28"/>
              <w:jc w:val="right"/>
              <w:rPr>
                <w:rFonts w:cs="Times New Roman"/>
                <w:i/>
                <w:sz w:val="16"/>
              </w:rPr>
            </w:pPr>
            <w:r w:rsidRPr="005C3FD3">
              <w:rPr>
                <w:rFonts w:cs="Times New Roman"/>
                <w:i/>
                <w:sz w:val="16"/>
              </w:rPr>
              <w:t>2009</w:t>
            </w:r>
            <w:r w:rsidR="004F59E4">
              <w:rPr>
                <w:rFonts w:cs="Times New Roman"/>
                <w:i/>
                <w:sz w:val="16"/>
              </w:rPr>
              <w:t>/</w:t>
            </w:r>
            <w:r w:rsidRPr="005C3FD3">
              <w:rPr>
                <w:rFonts w:cs="Times New Roman"/>
                <w:i/>
                <w:sz w:val="16"/>
              </w:rPr>
              <w:t xml:space="preserve">10 </w:t>
            </w:r>
          </w:p>
        </w:tc>
        <w:tc>
          <w:tcPr>
            <w:tcW w:w="991" w:type="dxa"/>
            <w:tcBorders>
              <w:top w:val="single" w:sz="4" w:space="0" w:color="auto"/>
              <w:bottom w:val="single" w:sz="12" w:space="0" w:color="auto"/>
            </w:tcBorders>
            <w:shd w:val="clear" w:color="auto" w:fill="auto"/>
            <w:vAlign w:val="bottom"/>
          </w:tcPr>
          <w:p w14:paraId="0FF23B2D" w14:textId="40C51F15" w:rsidR="00841C25" w:rsidRPr="005C3FD3" w:rsidRDefault="00841C25" w:rsidP="005C3FD3">
            <w:pPr>
              <w:spacing w:before="80" w:after="80" w:line="200" w:lineRule="exact"/>
              <w:ind w:left="28" w:right="28"/>
              <w:jc w:val="right"/>
              <w:rPr>
                <w:rFonts w:cs="Times New Roman"/>
                <w:i/>
                <w:sz w:val="16"/>
              </w:rPr>
            </w:pPr>
            <w:r w:rsidRPr="005C3FD3">
              <w:rPr>
                <w:rFonts w:cs="Times New Roman"/>
                <w:i/>
                <w:sz w:val="16"/>
              </w:rPr>
              <w:t>2019</w:t>
            </w:r>
            <w:r w:rsidR="004F59E4">
              <w:rPr>
                <w:rFonts w:cs="Times New Roman"/>
                <w:i/>
                <w:sz w:val="16"/>
              </w:rPr>
              <w:t>/</w:t>
            </w:r>
            <w:r w:rsidRPr="005C3FD3">
              <w:rPr>
                <w:rFonts w:cs="Times New Roman"/>
                <w:i/>
                <w:sz w:val="16"/>
              </w:rPr>
              <w:t xml:space="preserve">20 </w:t>
            </w:r>
          </w:p>
        </w:tc>
      </w:tr>
      <w:tr w:rsidR="00841C25" w:rsidRPr="005C3FD3" w14:paraId="5988F0D0" w14:textId="77777777" w:rsidTr="005C3FD3">
        <w:trPr>
          <w:tblHeader/>
        </w:trPr>
        <w:tc>
          <w:tcPr>
            <w:tcW w:w="4678" w:type="dxa"/>
            <w:tcBorders>
              <w:top w:val="single" w:sz="12" w:space="0" w:color="auto"/>
            </w:tcBorders>
            <w:shd w:val="clear" w:color="auto" w:fill="auto"/>
          </w:tcPr>
          <w:p w14:paraId="3406CD39"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Основной источник дохода домохозяйств</w:t>
            </w:r>
          </w:p>
        </w:tc>
        <w:tc>
          <w:tcPr>
            <w:tcW w:w="1701" w:type="dxa"/>
            <w:tcBorders>
              <w:top w:val="single" w:sz="12" w:space="0" w:color="auto"/>
            </w:tcBorders>
            <w:shd w:val="clear" w:color="auto" w:fill="auto"/>
            <w:vAlign w:val="bottom"/>
          </w:tcPr>
          <w:p w14:paraId="03FBC6EC" w14:textId="77777777" w:rsidR="00841C25" w:rsidRPr="005C3FD3" w:rsidRDefault="00841C25" w:rsidP="005C3FD3">
            <w:pPr>
              <w:spacing w:before="40" w:after="40" w:line="220" w:lineRule="exact"/>
              <w:ind w:left="28" w:right="28"/>
              <w:jc w:val="right"/>
              <w:rPr>
                <w:rFonts w:cs="Times New Roman"/>
                <w:sz w:val="18"/>
              </w:rPr>
            </w:pPr>
          </w:p>
        </w:tc>
        <w:tc>
          <w:tcPr>
            <w:tcW w:w="991" w:type="dxa"/>
            <w:tcBorders>
              <w:top w:val="single" w:sz="12" w:space="0" w:color="auto"/>
            </w:tcBorders>
            <w:shd w:val="clear" w:color="auto" w:fill="auto"/>
            <w:vAlign w:val="bottom"/>
          </w:tcPr>
          <w:p w14:paraId="6D0AFC96" w14:textId="77777777" w:rsidR="00841C25" w:rsidRPr="005C3FD3" w:rsidRDefault="00841C25" w:rsidP="005C3FD3">
            <w:pPr>
              <w:spacing w:before="40" w:after="40" w:line="220" w:lineRule="exact"/>
              <w:ind w:left="28" w:right="28"/>
              <w:jc w:val="right"/>
              <w:rPr>
                <w:rFonts w:cs="Times New Roman"/>
                <w:sz w:val="18"/>
              </w:rPr>
            </w:pPr>
          </w:p>
        </w:tc>
      </w:tr>
      <w:tr w:rsidR="00841C25" w:rsidRPr="005C3FD3" w14:paraId="2E00CC4B" w14:textId="77777777" w:rsidTr="005C3FD3">
        <w:tc>
          <w:tcPr>
            <w:tcW w:w="4678" w:type="dxa"/>
            <w:shd w:val="clear" w:color="auto" w:fill="auto"/>
          </w:tcPr>
          <w:p w14:paraId="758B522C" w14:textId="77777777" w:rsidR="00841C25" w:rsidRPr="005C3FD3" w:rsidRDefault="00841C25" w:rsidP="005C3FD3">
            <w:pPr>
              <w:spacing w:before="40" w:after="40" w:line="220" w:lineRule="exact"/>
              <w:ind w:left="281" w:right="28"/>
              <w:rPr>
                <w:rFonts w:cs="Times New Roman"/>
                <w:sz w:val="18"/>
              </w:rPr>
            </w:pPr>
            <w:r w:rsidRPr="005C3FD3">
              <w:rPr>
                <w:rFonts w:cs="Times New Roman"/>
                <w:sz w:val="18"/>
              </w:rPr>
              <w:t>Доход лиц, работающих по найму</w:t>
            </w:r>
          </w:p>
        </w:tc>
        <w:tc>
          <w:tcPr>
            <w:tcW w:w="1701" w:type="dxa"/>
            <w:shd w:val="clear" w:color="auto" w:fill="auto"/>
            <w:vAlign w:val="bottom"/>
          </w:tcPr>
          <w:p w14:paraId="7CDC506D" w14:textId="30E13356"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60,8</w:t>
            </w:r>
            <w:r w:rsidR="008348B3">
              <w:rPr>
                <w:rFonts w:cs="Times New Roman"/>
                <w:sz w:val="18"/>
              </w:rPr>
              <w:t xml:space="preserve"> %</w:t>
            </w:r>
          </w:p>
        </w:tc>
        <w:tc>
          <w:tcPr>
            <w:tcW w:w="991" w:type="dxa"/>
            <w:shd w:val="clear" w:color="auto" w:fill="auto"/>
            <w:vAlign w:val="bottom"/>
          </w:tcPr>
          <w:p w14:paraId="2B065BE9" w14:textId="756E511E"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61,9</w:t>
            </w:r>
            <w:r w:rsidR="008348B3">
              <w:rPr>
                <w:rFonts w:cs="Times New Roman"/>
                <w:sz w:val="18"/>
              </w:rPr>
              <w:t xml:space="preserve"> %</w:t>
            </w:r>
          </w:p>
        </w:tc>
      </w:tr>
      <w:tr w:rsidR="00841C25" w:rsidRPr="005C3FD3" w14:paraId="5549F774" w14:textId="77777777" w:rsidTr="005C3FD3">
        <w:tc>
          <w:tcPr>
            <w:tcW w:w="4678" w:type="dxa"/>
            <w:shd w:val="clear" w:color="auto" w:fill="auto"/>
          </w:tcPr>
          <w:p w14:paraId="6FAA1A22" w14:textId="77777777" w:rsidR="00841C25" w:rsidRPr="005C3FD3" w:rsidRDefault="00841C25" w:rsidP="005C3FD3">
            <w:pPr>
              <w:spacing w:before="40" w:after="40" w:line="220" w:lineRule="exact"/>
              <w:ind w:left="281" w:right="28"/>
              <w:rPr>
                <w:rFonts w:cs="Times New Roman"/>
                <w:sz w:val="18"/>
              </w:rPr>
            </w:pPr>
            <w:r w:rsidRPr="005C3FD3">
              <w:rPr>
                <w:rFonts w:cs="Times New Roman"/>
                <w:sz w:val="18"/>
              </w:rPr>
              <w:t>Государственная пенсия или пособие</w:t>
            </w:r>
          </w:p>
        </w:tc>
        <w:tc>
          <w:tcPr>
            <w:tcW w:w="1701" w:type="dxa"/>
            <w:shd w:val="clear" w:color="auto" w:fill="auto"/>
            <w:vAlign w:val="bottom"/>
          </w:tcPr>
          <w:p w14:paraId="6BB96FBA" w14:textId="1CAADEE3"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25,2</w:t>
            </w:r>
            <w:r w:rsidR="008348B3">
              <w:rPr>
                <w:rFonts w:cs="Times New Roman"/>
                <w:sz w:val="18"/>
              </w:rPr>
              <w:t xml:space="preserve"> %</w:t>
            </w:r>
          </w:p>
        </w:tc>
        <w:tc>
          <w:tcPr>
            <w:tcW w:w="991" w:type="dxa"/>
            <w:shd w:val="clear" w:color="auto" w:fill="auto"/>
            <w:vAlign w:val="bottom"/>
          </w:tcPr>
          <w:p w14:paraId="440029A2" w14:textId="38C5A5A8"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22</w:t>
            </w:r>
            <w:r w:rsidR="008348B3">
              <w:rPr>
                <w:rFonts w:cs="Times New Roman"/>
                <w:sz w:val="18"/>
              </w:rPr>
              <w:t>,</w:t>
            </w:r>
            <w:r w:rsidRPr="005C3FD3">
              <w:rPr>
                <w:rFonts w:cs="Times New Roman"/>
                <w:sz w:val="18"/>
              </w:rPr>
              <w:t>3</w:t>
            </w:r>
            <w:r w:rsidR="008348B3">
              <w:rPr>
                <w:rFonts w:cs="Times New Roman"/>
                <w:sz w:val="18"/>
              </w:rPr>
              <w:t xml:space="preserve"> %</w:t>
            </w:r>
          </w:p>
        </w:tc>
      </w:tr>
      <w:tr w:rsidR="00841C25" w:rsidRPr="005C3FD3" w14:paraId="454D5318" w14:textId="77777777" w:rsidTr="005C3FD3">
        <w:tc>
          <w:tcPr>
            <w:tcW w:w="4678" w:type="dxa"/>
            <w:shd w:val="clear" w:color="auto" w:fill="auto"/>
          </w:tcPr>
          <w:p w14:paraId="11A7018C" w14:textId="77777777" w:rsidR="00841C25" w:rsidRPr="005C3FD3" w:rsidRDefault="00841C25" w:rsidP="005C3FD3">
            <w:pPr>
              <w:spacing w:before="40" w:after="40" w:line="220" w:lineRule="exact"/>
              <w:ind w:left="281" w:right="28"/>
              <w:rPr>
                <w:rFonts w:cs="Times New Roman"/>
                <w:sz w:val="18"/>
              </w:rPr>
            </w:pPr>
            <w:r w:rsidRPr="005C3FD3">
              <w:rPr>
                <w:rFonts w:cs="Times New Roman"/>
                <w:sz w:val="18"/>
              </w:rPr>
              <w:t>Другие источники</w:t>
            </w:r>
          </w:p>
        </w:tc>
        <w:tc>
          <w:tcPr>
            <w:tcW w:w="1701" w:type="dxa"/>
            <w:shd w:val="clear" w:color="auto" w:fill="auto"/>
            <w:vAlign w:val="bottom"/>
          </w:tcPr>
          <w:p w14:paraId="4EF31A9F" w14:textId="35CDD89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8,7</w:t>
            </w:r>
            <w:r w:rsidR="008348B3">
              <w:rPr>
                <w:rFonts w:cs="Times New Roman"/>
                <w:sz w:val="18"/>
              </w:rPr>
              <w:t xml:space="preserve"> %</w:t>
            </w:r>
          </w:p>
        </w:tc>
        <w:tc>
          <w:tcPr>
            <w:tcW w:w="991" w:type="dxa"/>
            <w:shd w:val="clear" w:color="auto" w:fill="auto"/>
            <w:vAlign w:val="bottom"/>
          </w:tcPr>
          <w:p w14:paraId="5F511988" w14:textId="18BF198A"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12,1</w:t>
            </w:r>
            <w:r w:rsidR="008348B3">
              <w:rPr>
                <w:rFonts w:cs="Times New Roman"/>
                <w:sz w:val="18"/>
              </w:rPr>
              <w:t xml:space="preserve"> %</w:t>
            </w:r>
          </w:p>
        </w:tc>
      </w:tr>
      <w:tr w:rsidR="00841C25" w:rsidRPr="005C3FD3" w14:paraId="5AFC2327" w14:textId="77777777" w:rsidTr="005C3FD3">
        <w:tc>
          <w:tcPr>
            <w:tcW w:w="4678" w:type="dxa"/>
            <w:shd w:val="clear" w:color="auto" w:fill="auto"/>
          </w:tcPr>
          <w:p w14:paraId="42798DA5"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Медианный еженедельный валовой доход домохозяйств</w:t>
            </w:r>
          </w:p>
        </w:tc>
        <w:tc>
          <w:tcPr>
            <w:tcW w:w="1701" w:type="dxa"/>
            <w:shd w:val="clear" w:color="auto" w:fill="auto"/>
            <w:vAlign w:val="bottom"/>
          </w:tcPr>
          <w:p w14:paraId="4C3BC92F"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$2 058</w:t>
            </w:r>
          </w:p>
        </w:tc>
        <w:tc>
          <w:tcPr>
            <w:tcW w:w="991" w:type="dxa"/>
            <w:shd w:val="clear" w:color="auto" w:fill="auto"/>
            <w:vAlign w:val="bottom"/>
          </w:tcPr>
          <w:p w14:paraId="2CA1EC8A"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$2 329</w:t>
            </w:r>
          </w:p>
        </w:tc>
      </w:tr>
      <w:tr w:rsidR="00841C25" w:rsidRPr="005C3FD3" w14:paraId="64108083" w14:textId="77777777" w:rsidTr="005C3FD3">
        <w:tc>
          <w:tcPr>
            <w:tcW w:w="4678" w:type="dxa"/>
            <w:shd w:val="clear" w:color="auto" w:fill="auto"/>
          </w:tcPr>
          <w:p w14:paraId="15DD71C7"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Медианный еженедельный эквивалентный располагаемый доход домохозяйств</w:t>
            </w:r>
            <w:r w:rsidRPr="008348B3">
              <w:rPr>
                <w:rFonts w:cs="Times New Roman"/>
                <w:sz w:val="18"/>
                <w:vertAlign w:val="superscript"/>
              </w:rPr>
              <w:t>1</w:t>
            </w:r>
          </w:p>
        </w:tc>
        <w:tc>
          <w:tcPr>
            <w:tcW w:w="1701" w:type="dxa"/>
            <w:shd w:val="clear" w:color="auto" w:fill="auto"/>
            <w:vAlign w:val="bottom"/>
          </w:tcPr>
          <w:p w14:paraId="6B629444"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$1 034</w:t>
            </w:r>
          </w:p>
        </w:tc>
        <w:tc>
          <w:tcPr>
            <w:tcW w:w="991" w:type="dxa"/>
            <w:shd w:val="clear" w:color="auto" w:fill="auto"/>
            <w:vAlign w:val="bottom"/>
          </w:tcPr>
          <w:p w14:paraId="3FDEDEA7"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$1 124</w:t>
            </w:r>
          </w:p>
        </w:tc>
      </w:tr>
      <w:tr w:rsidR="00841C25" w:rsidRPr="005C3FD3" w14:paraId="26ED1F50" w14:textId="77777777" w:rsidTr="005C3FD3">
        <w:tc>
          <w:tcPr>
            <w:tcW w:w="4678" w:type="dxa"/>
            <w:shd w:val="clear" w:color="auto" w:fill="auto"/>
          </w:tcPr>
          <w:p w14:paraId="681F053E" w14:textId="4F323E94" w:rsidR="00841C25" w:rsidRPr="005C3FD3" w:rsidRDefault="00841C25" w:rsidP="005C3FD3">
            <w:pPr>
              <w:spacing w:before="40" w:after="40" w:line="220" w:lineRule="exact"/>
              <w:ind w:left="28" w:right="28"/>
              <w:rPr>
                <w:rFonts w:cs="Times New Roman"/>
                <w:sz w:val="18"/>
              </w:rPr>
            </w:pPr>
            <w:r w:rsidRPr="005C3FD3">
              <w:rPr>
                <w:rFonts w:cs="Times New Roman"/>
                <w:sz w:val="18"/>
              </w:rPr>
              <w:t>Коэффициент Джини для эквивалентного располагаемого дохода домохозяйств</w:t>
            </w:r>
            <w:r w:rsidR="008348B3" w:rsidRPr="008348B3">
              <w:rPr>
                <w:rFonts w:cs="Times New Roman"/>
                <w:i/>
                <w:iCs/>
                <w:sz w:val="18"/>
                <w:vertAlign w:val="superscript"/>
              </w:rPr>
              <w:t>2</w:t>
            </w:r>
          </w:p>
        </w:tc>
        <w:tc>
          <w:tcPr>
            <w:tcW w:w="1701" w:type="dxa"/>
            <w:shd w:val="clear" w:color="auto" w:fill="auto"/>
            <w:vAlign w:val="bottom"/>
          </w:tcPr>
          <w:p w14:paraId="09190BB2"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0,329</w:t>
            </w:r>
          </w:p>
        </w:tc>
        <w:tc>
          <w:tcPr>
            <w:tcW w:w="991" w:type="dxa"/>
            <w:shd w:val="clear" w:color="auto" w:fill="auto"/>
            <w:vAlign w:val="bottom"/>
          </w:tcPr>
          <w:p w14:paraId="20E25BEC"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0,324</w:t>
            </w:r>
          </w:p>
        </w:tc>
      </w:tr>
      <w:tr w:rsidR="00841C25" w:rsidRPr="005C3FD3" w14:paraId="321A1C3A" w14:textId="77777777" w:rsidTr="005C3FD3">
        <w:tc>
          <w:tcPr>
            <w:tcW w:w="4678" w:type="dxa"/>
            <w:shd w:val="clear" w:color="auto" w:fill="auto"/>
          </w:tcPr>
          <w:p w14:paraId="71D70AD7"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Коэффициент Джини для чистой стоимости имущества домохозяйств</w:t>
            </w:r>
          </w:p>
        </w:tc>
        <w:tc>
          <w:tcPr>
            <w:tcW w:w="1701" w:type="dxa"/>
            <w:shd w:val="clear" w:color="auto" w:fill="auto"/>
            <w:vAlign w:val="bottom"/>
          </w:tcPr>
          <w:p w14:paraId="61C7BE95" w14:textId="76865F41"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0</w:t>
            </w:r>
            <w:r w:rsidR="008348B3">
              <w:rPr>
                <w:rFonts w:cs="Times New Roman"/>
                <w:sz w:val="18"/>
              </w:rPr>
              <w:t>,</w:t>
            </w:r>
            <w:r w:rsidRPr="005C3FD3">
              <w:rPr>
                <w:rFonts w:cs="Times New Roman"/>
                <w:sz w:val="18"/>
              </w:rPr>
              <w:t>428 (2005–06)</w:t>
            </w:r>
          </w:p>
        </w:tc>
        <w:tc>
          <w:tcPr>
            <w:tcW w:w="991" w:type="dxa"/>
            <w:shd w:val="clear" w:color="auto" w:fill="auto"/>
            <w:vAlign w:val="bottom"/>
          </w:tcPr>
          <w:p w14:paraId="46E74A4C" w14:textId="77777777"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0,436</w:t>
            </w:r>
          </w:p>
        </w:tc>
      </w:tr>
      <w:tr w:rsidR="00841C25" w:rsidRPr="005C3FD3" w14:paraId="5D2B13B7" w14:textId="77777777" w:rsidTr="005C3FD3">
        <w:tc>
          <w:tcPr>
            <w:tcW w:w="4678" w:type="dxa"/>
            <w:shd w:val="clear" w:color="auto" w:fill="auto"/>
          </w:tcPr>
          <w:p w14:paraId="2EB9B603"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Доля домохозяйств, имеющих задолженность</w:t>
            </w:r>
          </w:p>
        </w:tc>
        <w:tc>
          <w:tcPr>
            <w:tcW w:w="1701" w:type="dxa"/>
            <w:shd w:val="clear" w:color="auto" w:fill="auto"/>
            <w:vAlign w:val="bottom"/>
          </w:tcPr>
          <w:p w14:paraId="25885BDF" w14:textId="16BF5E1D"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72,2</w:t>
            </w:r>
            <w:r w:rsidR="008348B3">
              <w:rPr>
                <w:rFonts w:cs="Times New Roman"/>
                <w:sz w:val="18"/>
              </w:rPr>
              <w:t xml:space="preserve"> %</w:t>
            </w:r>
            <w:r w:rsidRPr="005C3FD3">
              <w:rPr>
                <w:rFonts w:cs="Times New Roman"/>
                <w:sz w:val="18"/>
              </w:rPr>
              <w:t xml:space="preserve"> (2005–06)</w:t>
            </w:r>
          </w:p>
        </w:tc>
        <w:tc>
          <w:tcPr>
            <w:tcW w:w="991" w:type="dxa"/>
            <w:shd w:val="clear" w:color="auto" w:fill="auto"/>
            <w:vAlign w:val="bottom"/>
          </w:tcPr>
          <w:p w14:paraId="7B393820" w14:textId="3DC7791C"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74,6</w:t>
            </w:r>
            <w:r w:rsidR="008348B3">
              <w:rPr>
                <w:rFonts w:cs="Times New Roman"/>
                <w:sz w:val="18"/>
              </w:rPr>
              <w:t xml:space="preserve"> %</w:t>
            </w:r>
          </w:p>
        </w:tc>
      </w:tr>
      <w:tr w:rsidR="00841C25" w:rsidRPr="005C3FD3" w14:paraId="3F61FA71" w14:textId="77777777" w:rsidTr="005C3FD3">
        <w:tc>
          <w:tcPr>
            <w:tcW w:w="4678" w:type="dxa"/>
            <w:tcBorders>
              <w:bottom w:val="single" w:sz="12" w:space="0" w:color="auto"/>
            </w:tcBorders>
            <w:shd w:val="clear" w:color="auto" w:fill="auto"/>
          </w:tcPr>
          <w:p w14:paraId="58A0497E" w14:textId="77777777" w:rsidR="00841C25" w:rsidRPr="005C3FD3" w:rsidRDefault="00841C25" w:rsidP="005C3FD3">
            <w:pPr>
              <w:spacing w:before="40" w:after="40" w:line="220" w:lineRule="exact"/>
              <w:ind w:left="28" w:right="28"/>
              <w:rPr>
                <w:rFonts w:cs="Times New Roman"/>
                <w:sz w:val="18"/>
              </w:rPr>
            </w:pPr>
            <w:r w:rsidRPr="005C3FD3">
              <w:rPr>
                <w:rFonts w:cs="Times New Roman"/>
                <w:sz w:val="18"/>
              </w:rPr>
              <w:t>Доля домохозяйств, у которых задолженность в три или более раз превышает доход</w:t>
            </w:r>
          </w:p>
        </w:tc>
        <w:tc>
          <w:tcPr>
            <w:tcW w:w="1701" w:type="dxa"/>
            <w:tcBorders>
              <w:bottom w:val="single" w:sz="12" w:space="0" w:color="auto"/>
            </w:tcBorders>
            <w:shd w:val="clear" w:color="auto" w:fill="auto"/>
            <w:vAlign w:val="bottom"/>
          </w:tcPr>
          <w:p w14:paraId="183043D6" w14:textId="02927D71"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23,4</w:t>
            </w:r>
            <w:r w:rsidR="008348B3">
              <w:rPr>
                <w:rFonts w:cs="Times New Roman"/>
                <w:sz w:val="18"/>
              </w:rPr>
              <w:t xml:space="preserve"> %</w:t>
            </w:r>
            <w:r w:rsidRPr="005C3FD3">
              <w:rPr>
                <w:rFonts w:cs="Times New Roman"/>
                <w:sz w:val="18"/>
              </w:rPr>
              <w:t xml:space="preserve"> (2005–06)</w:t>
            </w:r>
          </w:p>
        </w:tc>
        <w:tc>
          <w:tcPr>
            <w:tcW w:w="991" w:type="dxa"/>
            <w:tcBorders>
              <w:bottom w:val="single" w:sz="12" w:space="0" w:color="auto"/>
            </w:tcBorders>
            <w:shd w:val="clear" w:color="auto" w:fill="auto"/>
            <w:vAlign w:val="bottom"/>
          </w:tcPr>
          <w:p w14:paraId="0EA73326" w14:textId="491B8D45" w:rsidR="00841C25" w:rsidRPr="005C3FD3" w:rsidRDefault="00841C25" w:rsidP="005C3FD3">
            <w:pPr>
              <w:spacing w:before="40" w:after="40" w:line="220" w:lineRule="exact"/>
              <w:ind w:left="28" w:right="28"/>
              <w:jc w:val="right"/>
              <w:rPr>
                <w:rFonts w:cs="Times New Roman"/>
                <w:sz w:val="18"/>
              </w:rPr>
            </w:pPr>
            <w:r w:rsidRPr="005C3FD3">
              <w:rPr>
                <w:rFonts w:cs="Times New Roman"/>
                <w:sz w:val="18"/>
              </w:rPr>
              <w:t>30,3</w:t>
            </w:r>
            <w:r w:rsidR="008348B3">
              <w:rPr>
                <w:rFonts w:cs="Times New Roman"/>
                <w:sz w:val="18"/>
              </w:rPr>
              <w:t xml:space="preserve"> %</w:t>
            </w:r>
          </w:p>
        </w:tc>
      </w:tr>
    </w:tbl>
    <w:p w14:paraId="2CD19F63" w14:textId="517C0215" w:rsidR="00841C25" w:rsidRPr="005C3FD3" w:rsidRDefault="00841C25" w:rsidP="005C3FD3">
      <w:pPr>
        <w:pStyle w:val="SingleTxtG"/>
        <w:spacing w:before="120" w:after="0" w:line="220" w:lineRule="exact"/>
        <w:ind w:firstLine="142"/>
        <w:jc w:val="left"/>
        <w:rPr>
          <w:sz w:val="18"/>
          <w:szCs w:val="18"/>
        </w:rPr>
      </w:pPr>
      <w:r w:rsidRPr="005C3FD3">
        <w:rPr>
          <w:i/>
          <w:iCs/>
          <w:sz w:val="18"/>
          <w:szCs w:val="18"/>
          <w:vertAlign w:val="superscript"/>
        </w:rPr>
        <w:t>1</w:t>
      </w:r>
      <w:r w:rsidRPr="005C3FD3">
        <w:rPr>
          <w:sz w:val="18"/>
          <w:szCs w:val="18"/>
        </w:rPr>
        <w:t xml:space="preserve"> </w:t>
      </w:r>
      <w:r w:rsidR="005C3FD3">
        <w:rPr>
          <w:sz w:val="18"/>
          <w:szCs w:val="18"/>
        </w:rPr>
        <w:t xml:space="preserve"> </w:t>
      </w:r>
      <w:r w:rsidRPr="005C3FD3">
        <w:rPr>
          <w:sz w:val="18"/>
          <w:szCs w:val="18"/>
        </w:rPr>
        <w:t>Эквивалентный располагаемый доход домохозяйств, скорректированный с учетом различий в размере и составе домохозяйств, а также с учетом экономии за счет масштаба, возникающей при совместном использовании жилья.</w:t>
      </w:r>
    </w:p>
    <w:p w14:paraId="00DC66BF" w14:textId="54CB4BD6" w:rsidR="00841C25" w:rsidRPr="005C3FD3" w:rsidRDefault="00841C25" w:rsidP="005C3FD3">
      <w:pPr>
        <w:pStyle w:val="SingleTxtG"/>
        <w:spacing w:after="0" w:line="220" w:lineRule="exact"/>
        <w:ind w:firstLine="142"/>
        <w:jc w:val="left"/>
        <w:rPr>
          <w:sz w:val="18"/>
          <w:szCs w:val="18"/>
        </w:rPr>
      </w:pPr>
      <w:r w:rsidRPr="005C3FD3">
        <w:rPr>
          <w:i/>
          <w:iCs/>
          <w:sz w:val="18"/>
          <w:szCs w:val="18"/>
          <w:vertAlign w:val="superscript"/>
        </w:rPr>
        <w:t>2</w:t>
      </w:r>
      <w:r w:rsidR="005C3FD3">
        <w:rPr>
          <w:i/>
          <w:iCs/>
          <w:sz w:val="18"/>
          <w:szCs w:val="18"/>
          <w:vertAlign w:val="superscript"/>
        </w:rPr>
        <w:t xml:space="preserve"> </w:t>
      </w:r>
      <w:r w:rsidRPr="005C3FD3">
        <w:rPr>
          <w:sz w:val="18"/>
          <w:szCs w:val="18"/>
        </w:rPr>
        <w:t xml:space="preserve"> Международно признанная суммарная мера неравенства — значения варьируются </w:t>
      </w:r>
      <w:r w:rsidR="005C3FD3">
        <w:rPr>
          <w:sz w:val="18"/>
          <w:szCs w:val="18"/>
        </w:rPr>
        <w:br/>
      </w:r>
      <w:r w:rsidRPr="005C3FD3">
        <w:rPr>
          <w:sz w:val="18"/>
          <w:szCs w:val="18"/>
        </w:rPr>
        <w:t>от 0 до 1, при этом значения ближе к 0 означают более высокий уровень равенства.</w:t>
      </w:r>
    </w:p>
    <w:p w14:paraId="225E4F55" w14:textId="77777777" w:rsidR="00841C25" w:rsidRPr="005C3FD3" w:rsidRDefault="00841C25" w:rsidP="005C3FD3">
      <w:pPr>
        <w:pStyle w:val="SingleTxtG"/>
        <w:spacing w:after="0" w:line="220" w:lineRule="exact"/>
        <w:ind w:firstLine="142"/>
        <w:jc w:val="left"/>
        <w:rPr>
          <w:sz w:val="18"/>
          <w:szCs w:val="18"/>
        </w:rPr>
      </w:pPr>
      <w:r w:rsidRPr="005C3FD3">
        <w:rPr>
          <w:i/>
          <w:iCs/>
          <w:sz w:val="18"/>
          <w:szCs w:val="18"/>
        </w:rPr>
        <w:t>Источник</w:t>
      </w:r>
      <w:r w:rsidRPr="005C3FD3">
        <w:rPr>
          <w:sz w:val="18"/>
          <w:szCs w:val="18"/>
        </w:rPr>
        <w:t>: Австралийское бюро статистики, 6523.0 — доходы и богатство домохозяйств.</w:t>
      </w:r>
    </w:p>
    <w:p w14:paraId="48F8047B" w14:textId="7C925E93" w:rsidR="00841C25" w:rsidRPr="008F3942" w:rsidRDefault="005C3FD3" w:rsidP="005C3FD3">
      <w:pPr>
        <w:pStyle w:val="H23G"/>
        <w:rPr>
          <w:bCs/>
        </w:rPr>
      </w:pPr>
      <w:r>
        <w:tab/>
      </w:r>
      <w:r>
        <w:tab/>
      </w:r>
      <w:r w:rsidR="00841C25" w:rsidRPr="005C3FD3">
        <w:rPr>
          <w:b w:val="0"/>
          <w:bCs/>
        </w:rPr>
        <w:t>Таблица A4</w:t>
      </w:r>
      <w:r>
        <w:br/>
      </w:r>
      <w:r w:rsidR="00841C25">
        <w:rPr>
          <w:bCs/>
        </w:rPr>
        <w:t xml:space="preserve">Расходы и экономическое благосостояние домохозяйств, Австралия, </w:t>
      </w:r>
      <w:r>
        <w:rPr>
          <w:bCs/>
        </w:rPr>
        <w:br/>
      </w:r>
      <w:r w:rsidR="00841C25">
        <w:rPr>
          <w:bCs/>
        </w:rPr>
        <w:t>2009</w:t>
      </w:r>
      <w:r w:rsidR="004F59E4">
        <w:rPr>
          <w:bCs/>
        </w:rPr>
        <w:t>/</w:t>
      </w:r>
      <w:r w:rsidR="00841C25">
        <w:rPr>
          <w:bCs/>
        </w:rPr>
        <w:t>10 и 2015</w:t>
      </w:r>
      <w:r w:rsidR="004F59E4">
        <w:rPr>
          <w:bCs/>
        </w:rPr>
        <w:t>/</w:t>
      </w:r>
      <w:r w:rsidR="00841C25">
        <w:rPr>
          <w:bCs/>
        </w:rPr>
        <w:t>16 годы</w:t>
      </w:r>
    </w:p>
    <w:tbl>
      <w:tblPr>
        <w:tblW w:w="7370" w:type="dxa"/>
        <w:tblInd w:w="1134" w:type="dxa"/>
        <w:tblLayout w:type="fixed"/>
        <w:tblCellMar>
          <w:left w:w="0" w:type="dxa"/>
          <w:right w:w="0" w:type="dxa"/>
        </w:tblCellMar>
        <w:tblLook w:val="04A0" w:firstRow="1" w:lastRow="0" w:firstColumn="1" w:lastColumn="0" w:noHBand="0" w:noVBand="1"/>
      </w:tblPr>
      <w:tblGrid>
        <w:gridCol w:w="4614"/>
        <w:gridCol w:w="1378"/>
        <w:gridCol w:w="1378"/>
      </w:tblGrid>
      <w:tr w:rsidR="00841C25" w:rsidRPr="008348B3" w14:paraId="65EB17B2" w14:textId="77777777" w:rsidTr="008348B3">
        <w:trPr>
          <w:tblHeader/>
        </w:trPr>
        <w:tc>
          <w:tcPr>
            <w:tcW w:w="4614" w:type="dxa"/>
            <w:tcBorders>
              <w:top w:val="single" w:sz="4" w:space="0" w:color="auto"/>
              <w:bottom w:val="single" w:sz="12" w:space="0" w:color="auto"/>
            </w:tcBorders>
            <w:shd w:val="clear" w:color="auto" w:fill="auto"/>
            <w:vAlign w:val="bottom"/>
          </w:tcPr>
          <w:p w14:paraId="6DD0B49D" w14:textId="77777777" w:rsidR="00841C25" w:rsidRPr="008348B3" w:rsidRDefault="00841C25" w:rsidP="008348B3">
            <w:pPr>
              <w:spacing w:before="80" w:after="80" w:line="200" w:lineRule="exact"/>
              <w:ind w:left="28" w:right="28"/>
              <w:rPr>
                <w:rFonts w:cs="Times New Roman"/>
                <w:i/>
                <w:sz w:val="16"/>
              </w:rPr>
            </w:pPr>
            <w:r w:rsidRPr="008348B3">
              <w:rPr>
                <w:rFonts w:cs="Times New Roman"/>
                <w:i/>
                <w:sz w:val="16"/>
              </w:rPr>
              <w:t>Показатель</w:t>
            </w:r>
          </w:p>
        </w:tc>
        <w:tc>
          <w:tcPr>
            <w:tcW w:w="1378" w:type="dxa"/>
            <w:tcBorders>
              <w:top w:val="single" w:sz="4" w:space="0" w:color="auto"/>
              <w:bottom w:val="single" w:sz="12" w:space="0" w:color="auto"/>
            </w:tcBorders>
            <w:shd w:val="clear" w:color="auto" w:fill="auto"/>
            <w:vAlign w:val="bottom"/>
          </w:tcPr>
          <w:p w14:paraId="7AADEFF4" w14:textId="53C1A31A" w:rsidR="00841C25" w:rsidRPr="008348B3" w:rsidRDefault="00841C25" w:rsidP="008348B3">
            <w:pPr>
              <w:spacing w:before="80" w:after="80" w:line="200" w:lineRule="exact"/>
              <w:ind w:left="28" w:right="28"/>
              <w:jc w:val="right"/>
              <w:rPr>
                <w:rFonts w:cs="Times New Roman"/>
                <w:i/>
                <w:sz w:val="16"/>
              </w:rPr>
            </w:pPr>
            <w:r w:rsidRPr="008348B3">
              <w:rPr>
                <w:rFonts w:cs="Times New Roman"/>
                <w:i/>
                <w:sz w:val="16"/>
              </w:rPr>
              <w:t>2009</w:t>
            </w:r>
            <w:r w:rsidR="008348B3" w:rsidRPr="008348B3">
              <w:rPr>
                <w:rFonts w:cs="Times New Roman"/>
                <w:i/>
                <w:sz w:val="16"/>
              </w:rPr>
              <w:t>/</w:t>
            </w:r>
            <w:r w:rsidRPr="008348B3">
              <w:rPr>
                <w:rFonts w:cs="Times New Roman"/>
                <w:i/>
                <w:sz w:val="16"/>
              </w:rPr>
              <w:t>10</w:t>
            </w:r>
          </w:p>
        </w:tc>
        <w:tc>
          <w:tcPr>
            <w:tcW w:w="1378" w:type="dxa"/>
            <w:tcBorders>
              <w:top w:val="single" w:sz="4" w:space="0" w:color="auto"/>
              <w:bottom w:val="single" w:sz="12" w:space="0" w:color="auto"/>
            </w:tcBorders>
            <w:shd w:val="clear" w:color="auto" w:fill="auto"/>
            <w:vAlign w:val="bottom"/>
          </w:tcPr>
          <w:p w14:paraId="7DDB6CD5" w14:textId="407FD05B" w:rsidR="00841C25" w:rsidRPr="008348B3" w:rsidRDefault="00841C25" w:rsidP="008348B3">
            <w:pPr>
              <w:spacing w:before="80" w:after="80" w:line="200" w:lineRule="exact"/>
              <w:ind w:left="28" w:right="28"/>
              <w:jc w:val="right"/>
              <w:rPr>
                <w:rFonts w:cs="Times New Roman"/>
                <w:i/>
                <w:sz w:val="16"/>
              </w:rPr>
            </w:pPr>
            <w:r w:rsidRPr="008348B3">
              <w:rPr>
                <w:rFonts w:cs="Times New Roman"/>
                <w:i/>
                <w:sz w:val="16"/>
              </w:rPr>
              <w:t>2015</w:t>
            </w:r>
            <w:r w:rsidR="008348B3" w:rsidRPr="008348B3">
              <w:rPr>
                <w:rFonts w:cs="Times New Roman"/>
                <w:i/>
                <w:sz w:val="16"/>
              </w:rPr>
              <w:t>/</w:t>
            </w:r>
            <w:r w:rsidRPr="008348B3">
              <w:rPr>
                <w:rFonts w:cs="Times New Roman"/>
                <w:i/>
                <w:sz w:val="16"/>
              </w:rPr>
              <w:t>16</w:t>
            </w:r>
          </w:p>
        </w:tc>
      </w:tr>
      <w:tr w:rsidR="00841C25" w:rsidRPr="008348B3" w14:paraId="2D768852" w14:textId="77777777" w:rsidTr="008348B3">
        <w:tc>
          <w:tcPr>
            <w:tcW w:w="4614" w:type="dxa"/>
            <w:tcBorders>
              <w:top w:val="single" w:sz="12" w:space="0" w:color="auto"/>
            </w:tcBorders>
            <w:shd w:val="clear" w:color="auto" w:fill="auto"/>
          </w:tcPr>
          <w:p w14:paraId="06F8EC4C" w14:textId="77777777" w:rsidR="00841C25" w:rsidRPr="008348B3" w:rsidRDefault="00841C25" w:rsidP="008348B3">
            <w:pPr>
              <w:spacing w:before="40" w:after="40" w:line="220" w:lineRule="exact"/>
              <w:ind w:left="28" w:right="28"/>
              <w:rPr>
                <w:rFonts w:cs="Times New Roman"/>
                <w:sz w:val="18"/>
              </w:rPr>
            </w:pPr>
            <w:r w:rsidRPr="008348B3">
              <w:rPr>
                <w:rFonts w:cs="Times New Roman"/>
                <w:sz w:val="18"/>
              </w:rPr>
              <w:t xml:space="preserve">Медианные расходы домохозяйства в неделю </w:t>
            </w:r>
          </w:p>
        </w:tc>
        <w:tc>
          <w:tcPr>
            <w:tcW w:w="1378" w:type="dxa"/>
            <w:tcBorders>
              <w:top w:val="single" w:sz="12" w:space="0" w:color="auto"/>
            </w:tcBorders>
            <w:shd w:val="clear" w:color="auto" w:fill="auto"/>
            <w:vAlign w:val="bottom"/>
          </w:tcPr>
          <w:p w14:paraId="168DD0EA" w14:textId="77777777"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$1 034</w:t>
            </w:r>
          </w:p>
        </w:tc>
        <w:tc>
          <w:tcPr>
            <w:tcW w:w="1378" w:type="dxa"/>
            <w:tcBorders>
              <w:top w:val="single" w:sz="12" w:space="0" w:color="auto"/>
            </w:tcBorders>
            <w:shd w:val="clear" w:color="auto" w:fill="auto"/>
            <w:vAlign w:val="bottom"/>
          </w:tcPr>
          <w:p w14:paraId="5994686A" w14:textId="77777777"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$1 185</w:t>
            </w:r>
          </w:p>
        </w:tc>
      </w:tr>
      <w:tr w:rsidR="00841C25" w:rsidRPr="008348B3" w14:paraId="5C42C0EA" w14:textId="77777777" w:rsidTr="008348B3">
        <w:tc>
          <w:tcPr>
            <w:tcW w:w="4614" w:type="dxa"/>
            <w:shd w:val="clear" w:color="auto" w:fill="auto"/>
          </w:tcPr>
          <w:p w14:paraId="37587527" w14:textId="77777777" w:rsidR="00841C25" w:rsidRPr="008348B3" w:rsidRDefault="00841C25" w:rsidP="008348B3">
            <w:pPr>
              <w:spacing w:before="40" w:after="40" w:line="220" w:lineRule="exact"/>
              <w:ind w:left="28" w:right="28"/>
              <w:rPr>
                <w:rFonts w:cs="Times New Roman"/>
                <w:sz w:val="18"/>
              </w:rPr>
            </w:pPr>
            <w:r w:rsidRPr="008348B3">
              <w:rPr>
                <w:rFonts w:cs="Times New Roman"/>
                <w:sz w:val="18"/>
              </w:rPr>
              <w:t>Средние расходы домохозяйства в неделю</w:t>
            </w:r>
          </w:p>
        </w:tc>
        <w:tc>
          <w:tcPr>
            <w:tcW w:w="1378" w:type="dxa"/>
            <w:shd w:val="clear" w:color="auto" w:fill="auto"/>
            <w:vAlign w:val="bottom"/>
          </w:tcPr>
          <w:p w14:paraId="579317F5" w14:textId="77777777"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$1 236</w:t>
            </w:r>
          </w:p>
        </w:tc>
        <w:tc>
          <w:tcPr>
            <w:tcW w:w="1378" w:type="dxa"/>
            <w:shd w:val="clear" w:color="auto" w:fill="auto"/>
            <w:vAlign w:val="bottom"/>
          </w:tcPr>
          <w:p w14:paraId="410AF416" w14:textId="77777777"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$1 422</w:t>
            </w:r>
          </w:p>
        </w:tc>
      </w:tr>
      <w:tr w:rsidR="00841C25" w:rsidRPr="008348B3" w14:paraId="3842B4EB" w14:textId="77777777" w:rsidTr="008348B3">
        <w:tc>
          <w:tcPr>
            <w:tcW w:w="4614" w:type="dxa"/>
            <w:shd w:val="clear" w:color="auto" w:fill="auto"/>
          </w:tcPr>
          <w:p w14:paraId="07EFB172" w14:textId="77777777" w:rsidR="00841C25" w:rsidRPr="008348B3" w:rsidRDefault="00841C25" w:rsidP="008348B3">
            <w:pPr>
              <w:spacing w:before="40" w:after="40" w:line="220" w:lineRule="exact"/>
              <w:ind w:left="28" w:right="28"/>
              <w:rPr>
                <w:rFonts w:cs="Times New Roman"/>
                <w:sz w:val="18"/>
              </w:rPr>
            </w:pPr>
            <w:r w:rsidRPr="008348B3">
              <w:rPr>
                <w:rFonts w:cs="Times New Roman"/>
                <w:sz w:val="18"/>
              </w:rPr>
              <w:t>Расходы на товары и услуги</w:t>
            </w:r>
          </w:p>
          <w:p w14:paraId="11770D20" w14:textId="1C4A3421" w:rsidR="00841C25" w:rsidRPr="008348B3" w:rsidRDefault="00E0204C" w:rsidP="008348B3">
            <w:pPr>
              <w:spacing w:before="40" w:after="40" w:line="220" w:lineRule="exact"/>
              <w:ind w:left="28" w:right="28"/>
              <w:rPr>
                <w:rFonts w:cs="Times New Roman"/>
                <w:sz w:val="18"/>
              </w:rPr>
            </w:pPr>
            <w:r w:rsidRPr="008348B3">
              <w:rPr>
                <w:rFonts w:cs="Times New Roman"/>
                <w:sz w:val="18"/>
              </w:rPr>
              <w:t xml:space="preserve"> </w:t>
            </w:r>
            <w:r w:rsidR="005C3FD3" w:rsidRPr="008348B3">
              <w:rPr>
                <w:rFonts w:cs="Times New Roman"/>
                <w:sz w:val="18"/>
              </w:rPr>
              <w:t xml:space="preserve">  </w:t>
            </w:r>
            <w:r w:rsidR="00841C25" w:rsidRPr="008348B3">
              <w:rPr>
                <w:rFonts w:cs="Times New Roman"/>
                <w:sz w:val="18"/>
              </w:rPr>
              <w:t>Жилищные расходы</w:t>
            </w:r>
            <w:r w:rsidR="00841C25" w:rsidRPr="00A4109C">
              <w:rPr>
                <w:rStyle w:val="aa"/>
                <w:rFonts w:cs="Times New Roman"/>
              </w:rPr>
              <w:footnoteReference w:id="128"/>
            </w:r>
          </w:p>
          <w:p w14:paraId="1F3F4CA2" w14:textId="59BACB41" w:rsidR="00841C25" w:rsidRPr="008348B3" w:rsidRDefault="005C3FD3" w:rsidP="008348B3">
            <w:pPr>
              <w:spacing w:before="40" w:after="40" w:line="220" w:lineRule="exact"/>
              <w:ind w:left="28" w:right="28"/>
              <w:rPr>
                <w:rFonts w:cs="Times New Roman"/>
                <w:sz w:val="18"/>
              </w:rPr>
            </w:pPr>
            <w:r w:rsidRPr="008348B3">
              <w:rPr>
                <w:rFonts w:cs="Times New Roman"/>
                <w:sz w:val="18"/>
              </w:rPr>
              <w:t xml:space="preserve">  </w:t>
            </w:r>
            <w:r w:rsidR="00E0204C" w:rsidRPr="008348B3">
              <w:rPr>
                <w:rFonts w:cs="Times New Roman"/>
                <w:sz w:val="18"/>
              </w:rPr>
              <w:t xml:space="preserve"> </w:t>
            </w:r>
            <w:r w:rsidR="00841C25" w:rsidRPr="008348B3">
              <w:rPr>
                <w:rFonts w:cs="Times New Roman"/>
                <w:sz w:val="18"/>
              </w:rPr>
              <w:t>Продукты питания и безалкогольные напитки</w:t>
            </w:r>
          </w:p>
          <w:p w14:paraId="5A6BABAE" w14:textId="1FDD73F1" w:rsidR="00841C25" w:rsidRPr="008348B3" w:rsidRDefault="00E0204C" w:rsidP="008348B3">
            <w:pPr>
              <w:spacing w:before="40" w:after="40" w:line="220" w:lineRule="exact"/>
              <w:ind w:left="28" w:right="28"/>
              <w:rPr>
                <w:rFonts w:cs="Times New Roman"/>
                <w:sz w:val="18"/>
              </w:rPr>
            </w:pPr>
            <w:r w:rsidRPr="008348B3">
              <w:rPr>
                <w:rFonts w:cs="Times New Roman"/>
                <w:sz w:val="18"/>
              </w:rPr>
              <w:lastRenderedPageBreak/>
              <w:t xml:space="preserve"> </w:t>
            </w:r>
            <w:r w:rsidR="005C3FD3" w:rsidRPr="008348B3">
              <w:rPr>
                <w:rFonts w:cs="Times New Roman"/>
                <w:sz w:val="18"/>
              </w:rPr>
              <w:t xml:space="preserve">  </w:t>
            </w:r>
            <w:r w:rsidR="00841C25" w:rsidRPr="008348B3">
              <w:rPr>
                <w:rFonts w:cs="Times New Roman"/>
                <w:sz w:val="18"/>
              </w:rPr>
              <w:t>Расходы на медицинские услуги и охрану здоровья</w:t>
            </w:r>
          </w:p>
          <w:p w14:paraId="6FA62154" w14:textId="0B98CA94" w:rsidR="00841C25" w:rsidRPr="008348B3" w:rsidRDefault="00E0204C" w:rsidP="008348B3">
            <w:pPr>
              <w:spacing w:before="40" w:after="40" w:line="220" w:lineRule="exact"/>
              <w:ind w:left="28" w:right="28"/>
              <w:rPr>
                <w:rFonts w:cs="Times New Roman"/>
                <w:sz w:val="18"/>
              </w:rPr>
            </w:pPr>
            <w:r w:rsidRPr="008348B3">
              <w:rPr>
                <w:rFonts w:cs="Times New Roman"/>
                <w:sz w:val="18"/>
              </w:rPr>
              <w:t xml:space="preserve"> </w:t>
            </w:r>
            <w:r w:rsidR="005C3FD3" w:rsidRPr="008348B3">
              <w:rPr>
                <w:rFonts w:cs="Times New Roman"/>
                <w:sz w:val="18"/>
              </w:rPr>
              <w:t xml:space="preserve">  </w:t>
            </w:r>
            <w:r w:rsidR="00841C25" w:rsidRPr="008348B3">
              <w:rPr>
                <w:rFonts w:cs="Times New Roman"/>
                <w:sz w:val="18"/>
              </w:rPr>
              <w:t>Транспорт</w:t>
            </w:r>
          </w:p>
          <w:p w14:paraId="53597BAA" w14:textId="4417DDFC" w:rsidR="00841C25" w:rsidRPr="008348B3" w:rsidRDefault="00E0204C" w:rsidP="008348B3">
            <w:pPr>
              <w:spacing w:before="40" w:after="40" w:line="220" w:lineRule="exact"/>
              <w:ind w:left="28" w:right="28"/>
              <w:rPr>
                <w:rFonts w:cs="Times New Roman"/>
                <w:sz w:val="18"/>
              </w:rPr>
            </w:pPr>
            <w:r w:rsidRPr="008348B3">
              <w:rPr>
                <w:rFonts w:cs="Times New Roman"/>
                <w:sz w:val="18"/>
              </w:rPr>
              <w:t xml:space="preserve"> </w:t>
            </w:r>
            <w:r w:rsidR="005C3FD3" w:rsidRPr="008348B3">
              <w:rPr>
                <w:rFonts w:cs="Times New Roman"/>
                <w:sz w:val="18"/>
              </w:rPr>
              <w:t xml:space="preserve">  </w:t>
            </w:r>
            <w:r w:rsidR="00841C25" w:rsidRPr="008348B3">
              <w:rPr>
                <w:rFonts w:cs="Times New Roman"/>
                <w:sz w:val="18"/>
              </w:rPr>
              <w:t>Образование</w:t>
            </w:r>
          </w:p>
          <w:p w14:paraId="2AEA152E" w14:textId="79DA1CCE" w:rsidR="00841C25" w:rsidRPr="008348B3" w:rsidRDefault="00E0204C" w:rsidP="008348B3">
            <w:pPr>
              <w:spacing w:before="40" w:after="40" w:line="220" w:lineRule="exact"/>
              <w:ind w:left="28" w:right="28"/>
              <w:rPr>
                <w:rFonts w:cs="Times New Roman"/>
                <w:sz w:val="18"/>
              </w:rPr>
            </w:pPr>
            <w:r w:rsidRPr="008348B3">
              <w:rPr>
                <w:rFonts w:cs="Times New Roman"/>
                <w:sz w:val="18"/>
              </w:rPr>
              <w:t xml:space="preserve"> </w:t>
            </w:r>
            <w:r w:rsidR="005C3FD3" w:rsidRPr="008348B3">
              <w:rPr>
                <w:rFonts w:cs="Times New Roman"/>
                <w:sz w:val="18"/>
              </w:rPr>
              <w:t xml:space="preserve">  </w:t>
            </w:r>
            <w:r w:rsidR="00841C25" w:rsidRPr="008348B3">
              <w:rPr>
                <w:rFonts w:cs="Times New Roman"/>
                <w:sz w:val="18"/>
              </w:rPr>
              <w:t>Прочие расходы</w:t>
            </w:r>
            <w:r w:rsidR="00841C25" w:rsidRPr="00A4109C">
              <w:rPr>
                <w:rStyle w:val="aa"/>
                <w:rFonts w:cs="Times New Roman"/>
              </w:rPr>
              <w:footnoteReference w:id="129"/>
            </w:r>
          </w:p>
        </w:tc>
        <w:tc>
          <w:tcPr>
            <w:tcW w:w="1378" w:type="dxa"/>
            <w:shd w:val="clear" w:color="auto" w:fill="auto"/>
            <w:vAlign w:val="bottom"/>
          </w:tcPr>
          <w:p w14:paraId="713B592E" w14:textId="77777777" w:rsidR="00841C25" w:rsidRPr="008348B3" w:rsidRDefault="00841C25" w:rsidP="008348B3">
            <w:pPr>
              <w:spacing w:before="40" w:after="40" w:line="220" w:lineRule="exact"/>
              <w:ind w:left="28" w:right="28"/>
              <w:jc w:val="right"/>
              <w:rPr>
                <w:rFonts w:cs="Times New Roman"/>
                <w:sz w:val="18"/>
              </w:rPr>
            </w:pPr>
          </w:p>
          <w:p w14:paraId="0CD920E4" w14:textId="7961F6C0"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28,0</w:t>
            </w:r>
            <w:r w:rsidR="008348B3" w:rsidRPr="008348B3">
              <w:rPr>
                <w:rFonts w:cs="Times New Roman"/>
                <w:sz w:val="18"/>
              </w:rPr>
              <w:t xml:space="preserve"> %</w:t>
            </w:r>
          </w:p>
          <w:p w14:paraId="00CF82F4" w14:textId="5688E05F"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16,5</w:t>
            </w:r>
            <w:r w:rsidR="008348B3" w:rsidRPr="008348B3">
              <w:rPr>
                <w:rFonts w:cs="Times New Roman"/>
                <w:sz w:val="18"/>
              </w:rPr>
              <w:t xml:space="preserve"> %</w:t>
            </w:r>
          </w:p>
          <w:p w14:paraId="33DF7FFE" w14:textId="17E20E4F"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lastRenderedPageBreak/>
              <w:t>5,3</w:t>
            </w:r>
            <w:r w:rsidR="008348B3" w:rsidRPr="008348B3">
              <w:rPr>
                <w:rFonts w:cs="Times New Roman"/>
                <w:sz w:val="18"/>
              </w:rPr>
              <w:t xml:space="preserve"> %</w:t>
            </w:r>
          </w:p>
          <w:p w14:paraId="203DF357" w14:textId="31BF2851"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15,6</w:t>
            </w:r>
            <w:r w:rsidR="008348B3" w:rsidRPr="008348B3">
              <w:rPr>
                <w:rFonts w:cs="Times New Roman"/>
                <w:sz w:val="18"/>
              </w:rPr>
              <w:t xml:space="preserve"> %</w:t>
            </w:r>
          </w:p>
          <w:p w14:paraId="03AD1B33" w14:textId="3065B2BB"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2,5</w:t>
            </w:r>
            <w:r w:rsidR="008348B3" w:rsidRPr="008348B3">
              <w:rPr>
                <w:rFonts w:cs="Times New Roman"/>
                <w:sz w:val="18"/>
              </w:rPr>
              <w:t xml:space="preserve"> %</w:t>
            </w:r>
          </w:p>
          <w:p w14:paraId="22F93368" w14:textId="693886F1"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32,0</w:t>
            </w:r>
            <w:r w:rsidR="008348B3" w:rsidRPr="008348B3">
              <w:rPr>
                <w:rFonts w:cs="Times New Roman"/>
                <w:sz w:val="18"/>
              </w:rPr>
              <w:t xml:space="preserve"> %</w:t>
            </w:r>
          </w:p>
        </w:tc>
        <w:tc>
          <w:tcPr>
            <w:tcW w:w="1378" w:type="dxa"/>
            <w:shd w:val="clear" w:color="auto" w:fill="auto"/>
            <w:vAlign w:val="bottom"/>
          </w:tcPr>
          <w:p w14:paraId="4D35DDA2" w14:textId="77777777" w:rsidR="00841C25" w:rsidRPr="008348B3" w:rsidRDefault="00841C25" w:rsidP="008348B3">
            <w:pPr>
              <w:spacing w:before="40" w:after="40" w:line="220" w:lineRule="exact"/>
              <w:ind w:left="28" w:right="28"/>
              <w:jc w:val="right"/>
              <w:rPr>
                <w:rFonts w:cs="Times New Roman"/>
                <w:sz w:val="18"/>
              </w:rPr>
            </w:pPr>
          </w:p>
          <w:p w14:paraId="26845E91" w14:textId="13DE937E"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29,8</w:t>
            </w:r>
            <w:r w:rsidR="008348B3" w:rsidRPr="008348B3">
              <w:rPr>
                <w:rFonts w:cs="Times New Roman"/>
                <w:sz w:val="18"/>
              </w:rPr>
              <w:t xml:space="preserve"> %</w:t>
            </w:r>
          </w:p>
          <w:p w14:paraId="3F2CA037" w14:textId="416B789A"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16,6</w:t>
            </w:r>
            <w:r w:rsidR="008348B3" w:rsidRPr="008348B3">
              <w:rPr>
                <w:rFonts w:cs="Times New Roman"/>
                <w:sz w:val="18"/>
              </w:rPr>
              <w:t xml:space="preserve"> %</w:t>
            </w:r>
          </w:p>
          <w:p w14:paraId="2E0B3905" w14:textId="0648C543"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lastRenderedPageBreak/>
              <w:t>5,8</w:t>
            </w:r>
            <w:r w:rsidR="008348B3" w:rsidRPr="008348B3">
              <w:rPr>
                <w:rFonts w:cs="Times New Roman"/>
                <w:sz w:val="18"/>
              </w:rPr>
              <w:t xml:space="preserve"> %</w:t>
            </w:r>
          </w:p>
          <w:p w14:paraId="7F9742E3" w14:textId="735BB8C3"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14,5</w:t>
            </w:r>
            <w:r w:rsidR="008348B3" w:rsidRPr="008348B3">
              <w:rPr>
                <w:rFonts w:cs="Times New Roman"/>
                <w:sz w:val="18"/>
              </w:rPr>
              <w:t xml:space="preserve"> %</w:t>
            </w:r>
          </w:p>
          <w:p w14:paraId="68EE0901" w14:textId="4F018CD1" w:rsidR="00841C25" w:rsidRPr="008348B3" w:rsidRDefault="00841C25" w:rsidP="008348B3">
            <w:pPr>
              <w:spacing w:before="40" w:after="40" w:line="220" w:lineRule="exact"/>
              <w:ind w:left="28" w:right="28"/>
              <w:jc w:val="right"/>
              <w:rPr>
                <w:rFonts w:cs="Times New Roman"/>
                <w:sz w:val="18"/>
              </w:rPr>
            </w:pPr>
            <w:r w:rsidRPr="008348B3">
              <w:rPr>
                <w:rFonts w:cs="Times New Roman"/>
                <w:sz w:val="18"/>
              </w:rPr>
              <w:t>3,1</w:t>
            </w:r>
            <w:r w:rsidR="008348B3" w:rsidRPr="008348B3">
              <w:rPr>
                <w:rFonts w:cs="Times New Roman"/>
                <w:sz w:val="18"/>
              </w:rPr>
              <w:t xml:space="preserve"> %</w:t>
            </w:r>
          </w:p>
          <w:p w14:paraId="0EDC6606" w14:textId="6E95B807" w:rsidR="00841C25" w:rsidRPr="008348B3" w:rsidRDefault="007C22DE" w:rsidP="008348B3">
            <w:pPr>
              <w:spacing w:before="40" w:after="40" w:line="220" w:lineRule="exact"/>
              <w:ind w:left="28" w:right="28"/>
              <w:jc w:val="right"/>
              <w:rPr>
                <w:rFonts w:cs="Times New Roman"/>
                <w:sz w:val="18"/>
              </w:rPr>
            </w:pPr>
            <w:r>
              <w:rPr>
                <w:rFonts w:cs="Times New Roman"/>
                <w:sz w:val="18"/>
              </w:rPr>
              <w:t>30</w:t>
            </w:r>
            <w:r w:rsidR="00841C25" w:rsidRPr="008348B3">
              <w:rPr>
                <w:rFonts w:cs="Times New Roman"/>
                <w:sz w:val="18"/>
              </w:rPr>
              <w:t>,4</w:t>
            </w:r>
            <w:r w:rsidR="008348B3" w:rsidRPr="008348B3">
              <w:rPr>
                <w:rFonts w:cs="Times New Roman"/>
                <w:sz w:val="18"/>
              </w:rPr>
              <w:t xml:space="preserve"> %</w:t>
            </w:r>
          </w:p>
        </w:tc>
      </w:tr>
      <w:tr w:rsidR="008348B3" w:rsidRPr="008348B3" w14:paraId="3E7B3770" w14:textId="77777777" w:rsidTr="008348B3">
        <w:tc>
          <w:tcPr>
            <w:tcW w:w="4614" w:type="dxa"/>
            <w:shd w:val="clear" w:color="auto" w:fill="auto"/>
          </w:tcPr>
          <w:p w14:paraId="7C359E48" w14:textId="10BBF258" w:rsidR="008348B3" w:rsidRPr="008348B3" w:rsidRDefault="008348B3" w:rsidP="008348B3">
            <w:pPr>
              <w:spacing w:before="40" w:after="40" w:line="220" w:lineRule="exact"/>
              <w:ind w:left="28" w:right="28"/>
              <w:rPr>
                <w:rFonts w:cs="Times New Roman"/>
                <w:sz w:val="18"/>
              </w:rPr>
            </w:pPr>
            <w:r w:rsidRPr="008348B3">
              <w:rPr>
                <w:rFonts w:cs="Times New Roman"/>
                <w:sz w:val="18"/>
              </w:rPr>
              <w:lastRenderedPageBreak/>
              <w:t>Испытывали финансовые трудности в течение последних 12 месяцев</w:t>
            </w:r>
          </w:p>
        </w:tc>
        <w:tc>
          <w:tcPr>
            <w:tcW w:w="1378" w:type="dxa"/>
            <w:shd w:val="clear" w:color="auto" w:fill="auto"/>
            <w:vAlign w:val="bottom"/>
          </w:tcPr>
          <w:p w14:paraId="30061E3A" w14:textId="00C1DB02" w:rsidR="008348B3" w:rsidRPr="008348B3" w:rsidRDefault="008348B3" w:rsidP="007C22DE">
            <w:pPr>
              <w:spacing w:before="40" w:after="40" w:line="220" w:lineRule="exact"/>
              <w:ind w:left="28" w:right="28"/>
              <w:jc w:val="right"/>
              <w:rPr>
                <w:rFonts w:cs="Times New Roman"/>
                <w:sz w:val="18"/>
              </w:rPr>
            </w:pPr>
            <w:r w:rsidRPr="008348B3">
              <w:rPr>
                <w:rFonts w:cs="Times New Roman"/>
                <w:sz w:val="18"/>
              </w:rPr>
              <w:t>16,4</w:t>
            </w:r>
          </w:p>
        </w:tc>
        <w:tc>
          <w:tcPr>
            <w:tcW w:w="1378" w:type="dxa"/>
            <w:shd w:val="clear" w:color="auto" w:fill="auto"/>
            <w:vAlign w:val="bottom"/>
          </w:tcPr>
          <w:p w14:paraId="75C26A76" w14:textId="27FB95F3" w:rsidR="008348B3" w:rsidRPr="008348B3" w:rsidRDefault="008348B3" w:rsidP="007C22DE">
            <w:pPr>
              <w:spacing w:before="40" w:after="40" w:line="220" w:lineRule="exact"/>
              <w:ind w:left="28" w:right="28"/>
              <w:jc w:val="right"/>
              <w:rPr>
                <w:rFonts w:cs="Times New Roman"/>
                <w:sz w:val="18"/>
              </w:rPr>
            </w:pPr>
            <w:r w:rsidRPr="008348B3">
              <w:rPr>
                <w:rFonts w:cs="Times New Roman"/>
                <w:sz w:val="18"/>
              </w:rPr>
              <w:t>14,9 %</w:t>
            </w:r>
          </w:p>
        </w:tc>
      </w:tr>
      <w:tr w:rsidR="008348B3" w:rsidRPr="008348B3" w14:paraId="59BBD072" w14:textId="77777777" w:rsidTr="008348B3">
        <w:tc>
          <w:tcPr>
            <w:tcW w:w="4614" w:type="dxa"/>
            <w:shd w:val="clear" w:color="auto" w:fill="auto"/>
          </w:tcPr>
          <w:p w14:paraId="3135ECA0" w14:textId="053263AA" w:rsidR="008348B3" w:rsidRPr="008348B3" w:rsidRDefault="008348B3" w:rsidP="008348B3">
            <w:pPr>
              <w:spacing w:before="40" w:after="40" w:line="220" w:lineRule="exact"/>
              <w:ind w:left="199" w:right="28"/>
              <w:rPr>
                <w:rFonts w:cs="Times New Roman"/>
                <w:sz w:val="18"/>
              </w:rPr>
            </w:pPr>
            <w:r w:rsidRPr="008348B3">
              <w:rPr>
                <w:rFonts w:cs="Times New Roman"/>
                <w:sz w:val="18"/>
              </w:rPr>
              <w:t>Квинтиль с наименьшим эквивалентным располагаемым доходом</w:t>
            </w:r>
          </w:p>
        </w:tc>
        <w:tc>
          <w:tcPr>
            <w:tcW w:w="1378" w:type="dxa"/>
            <w:shd w:val="clear" w:color="auto" w:fill="auto"/>
            <w:vAlign w:val="bottom"/>
          </w:tcPr>
          <w:p w14:paraId="7CC37A62" w14:textId="373D40ED"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32,5</w:t>
            </w:r>
          </w:p>
        </w:tc>
        <w:tc>
          <w:tcPr>
            <w:tcW w:w="1378" w:type="dxa"/>
            <w:shd w:val="clear" w:color="auto" w:fill="auto"/>
            <w:vAlign w:val="bottom"/>
          </w:tcPr>
          <w:p w14:paraId="723AEDA5" w14:textId="105E6261"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30,7 %</w:t>
            </w:r>
          </w:p>
        </w:tc>
      </w:tr>
      <w:tr w:rsidR="008348B3" w:rsidRPr="008348B3" w14:paraId="23A8EAFF" w14:textId="77777777" w:rsidTr="008348B3">
        <w:tc>
          <w:tcPr>
            <w:tcW w:w="4614" w:type="dxa"/>
            <w:shd w:val="clear" w:color="auto" w:fill="auto"/>
          </w:tcPr>
          <w:p w14:paraId="7CE323F9" w14:textId="3812B101" w:rsidR="008348B3" w:rsidRPr="008348B3" w:rsidRDefault="008348B3" w:rsidP="008348B3">
            <w:pPr>
              <w:spacing w:before="40" w:after="40" w:line="220" w:lineRule="exact"/>
              <w:ind w:left="199" w:right="28"/>
              <w:rPr>
                <w:rFonts w:cs="Times New Roman"/>
                <w:sz w:val="18"/>
              </w:rPr>
            </w:pPr>
            <w:r w:rsidRPr="008348B3">
              <w:rPr>
                <w:rFonts w:cs="Times New Roman"/>
                <w:sz w:val="18"/>
              </w:rPr>
              <w:t>Квинтиль со вторым по величине эквивалентным располагаемым доходом</w:t>
            </w:r>
          </w:p>
        </w:tc>
        <w:tc>
          <w:tcPr>
            <w:tcW w:w="1378" w:type="dxa"/>
            <w:shd w:val="clear" w:color="auto" w:fill="auto"/>
            <w:vAlign w:val="bottom"/>
          </w:tcPr>
          <w:p w14:paraId="30E7FE5F" w14:textId="288BF812"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21,3</w:t>
            </w:r>
          </w:p>
        </w:tc>
        <w:tc>
          <w:tcPr>
            <w:tcW w:w="1378" w:type="dxa"/>
            <w:shd w:val="clear" w:color="auto" w:fill="auto"/>
            <w:vAlign w:val="bottom"/>
          </w:tcPr>
          <w:p w14:paraId="4F16402D" w14:textId="0FF0EB9F"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18,3 %</w:t>
            </w:r>
          </w:p>
        </w:tc>
      </w:tr>
      <w:tr w:rsidR="008348B3" w:rsidRPr="008348B3" w14:paraId="06A50D99" w14:textId="77777777" w:rsidTr="008348B3">
        <w:tc>
          <w:tcPr>
            <w:tcW w:w="4614" w:type="dxa"/>
            <w:shd w:val="clear" w:color="auto" w:fill="auto"/>
          </w:tcPr>
          <w:p w14:paraId="386E239E" w14:textId="6F63740E" w:rsidR="008348B3" w:rsidRPr="008348B3" w:rsidRDefault="008348B3" w:rsidP="008348B3">
            <w:pPr>
              <w:spacing w:before="40" w:after="40" w:line="220" w:lineRule="exact"/>
              <w:ind w:left="199" w:right="28"/>
              <w:rPr>
                <w:rFonts w:cs="Times New Roman"/>
                <w:sz w:val="18"/>
              </w:rPr>
            </w:pPr>
            <w:r w:rsidRPr="008348B3">
              <w:rPr>
                <w:rFonts w:cs="Times New Roman"/>
                <w:sz w:val="18"/>
              </w:rPr>
              <w:t>Квинтиль с третьим по величине эквивалентным располагаемым доходом</w:t>
            </w:r>
          </w:p>
        </w:tc>
        <w:tc>
          <w:tcPr>
            <w:tcW w:w="1378" w:type="dxa"/>
            <w:shd w:val="clear" w:color="auto" w:fill="auto"/>
            <w:vAlign w:val="bottom"/>
          </w:tcPr>
          <w:p w14:paraId="74592728" w14:textId="1CB8A50E"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13,8</w:t>
            </w:r>
          </w:p>
        </w:tc>
        <w:tc>
          <w:tcPr>
            <w:tcW w:w="1378" w:type="dxa"/>
            <w:shd w:val="clear" w:color="auto" w:fill="auto"/>
            <w:vAlign w:val="bottom"/>
          </w:tcPr>
          <w:p w14:paraId="1999E1ED" w14:textId="77777777"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13,8 %</w:t>
            </w:r>
          </w:p>
          <w:p w14:paraId="1B4023AB" w14:textId="77777777" w:rsidR="008348B3" w:rsidRPr="008348B3" w:rsidRDefault="008348B3" w:rsidP="008348B3">
            <w:pPr>
              <w:spacing w:before="40" w:after="40" w:line="220" w:lineRule="exact"/>
              <w:ind w:left="199" w:right="28"/>
              <w:jc w:val="right"/>
              <w:rPr>
                <w:rFonts w:cs="Times New Roman"/>
                <w:sz w:val="18"/>
              </w:rPr>
            </w:pPr>
          </w:p>
        </w:tc>
      </w:tr>
      <w:tr w:rsidR="008348B3" w:rsidRPr="008348B3" w14:paraId="41DF450B" w14:textId="77777777" w:rsidTr="008348B3">
        <w:tc>
          <w:tcPr>
            <w:tcW w:w="4614" w:type="dxa"/>
            <w:shd w:val="clear" w:color="auto" w:fill="auto"/>
          </w:tcPr>
          <w:p w14:paraId="49DB4781" w14:textId="17D85766" w:rsidR="008348B3" w:rsidRPr="008348B3" w:rsidRDefault="008348B3" w:rsidP="008348B3">
            <w:pPr>
              <w:spacing w:before="40" w:after="40" w:line="220" w:lineRule="exact"/>
              <w:ind w:left="199" w:right="28"/>
              <w:rPr>
                <w:rFonts w:cs="Times New Roman"/>
                <w:sz w:val="18"/>
              </w:rPr>
            </w:pPr>
            <w:r w:rsidRPr="008348B3">
              <w:rPr>
                <w:rFonts w:cs="Times New Roman"/>
                <w:sz w:val="18"/>
              </w:rPr>
              <w:t>Квинтиль с четвертым по величине эквивалентным располагаемым доходом</w:t>
            </w:r>
          </w:p>
        </w:tc>
        <w:tc>
          <w:tcPr>
            <w:tcW w:w="1378" w:type="dxa"/>
            <w:shd w:val="clear" w:color="auto" w:fill="auto"/>
            <w:vAlign w:val="bottom"/>
          </w:tcPr>
          <w:p w14:paraId="7C52F2F5" w14:textId="79B443EC" w:rsidR="008348B3" w:rsidRPr="008348B3" w:rsidRDefault="008348B3" w:rsidP="007C22DE">
            <w:pPr>
              <w:spacing w:before="40" w:after="40" w:line="220" w:lineRule="exact"/>
              <w:ind w:left="199" w:right="28"/>
              <w:jc w:val="right"/>
              <w:rPr>
                <w:rFonts w:cs="Times New Roman"/>
                <w:sz w:val="18"/>
              </w:rPr>
            </w:pPr>
            <w:r w:rsidRPr="008348B3">
              <w:rPr>
                <w:rFonts w:cs="Times New Roman"/>
                <w:sz w:val="18"/>
              </w:rPr>
              <w:t>9,0</w:t>
            </w:r>
          </w:p>
        </w:tc>
        <w:tc>
          <w:tcPr>
            <w:tcW w:w="1378" w:type="dxa"/>
            <w:shd w:val="clear" w:color="auto" w:fill="auto"/>
            <w:vAlign w:val="bottom"/>
          </w:tcPr>
          <w:p w14:paraId="153F8BB4" w14:textId="139EA65E" w:rsidR="008348B3" w:rsidRPr="008348B3" w:rsidRDefault="008348B3" w:rsidP="007C22DE">
            <w:pPr>
              <w:spacing w:before="40" w:after="40" w:line="220" w:lineRule="exact"/>
              <w:ind w:left="199" w:right="28"/>
              <w:jc w:val="right"/>
              <w:rPr>
                <w:rFonts w:cs="Times New Roman"/>
                <w:sz w:val="18"/>
              </w:rPr>
            </w:pPr>
            <w:r w:rsidRPr="008348B3">
              <w:rPr>
                <w:rFonts w:cs="Times New Roman"/>
                <w:sz w:val="18"/>
              </w:rPr>
              <w:t>6,4 %</w:t>
            </w:r>
          </w:p>
        </w:tc>
      </w:tr>
      <w:tr w:rsidR="008348B3" w:rsidRPr="008348B3" w14:paraId="1DC5AD1B" w14:textId="77777777" w:rsidTr="008348B3">
        <w:tc>
          <w:tcPr>
            <w:tcW w:w="4614" w:type="dxa"/>
            <w:tcBorders>
              <w:bottom w:val="single" w:sz="12" w:space="0" w:color="auto"/>
            </w:tcBorders>
            <w:shd w:val="clear" w:color="auto" w:fill="auto"/>
          </w:tcPr>
          <w:p w14:paraId="276DD96E" w14:textId="4DFEBCC1" w:rsidR="008348B3" w:rsidRPr="008348B3" w:rsidRDefault="008348B3" w:rsidP="008348B3">
            <w:pPr>
              <w:spacing w:before="40" w:after="40" w:line="220" w:lineRule="exact"/>
              <w:ind w:left="199" w:right="28"/>
              <w:rPr>
                <w:rFonts w:cs="Times New Roman"/>
                <w:sz w:val="18"/>
              </w:rPr>
            </w:pPr>
            <w:r w:rsidRPr="008348B3">
              <w:rPr>
                <w:rFonts w:cs="Times New Roman"/>
                <w:sz w:val="18"/>
              </w:rPr>
              <w:t>Квинтиль с наибольшим эквивалентным располагаемым доходом</w:t>
            </w:r>
          </w:p>
        </w:tc>
        <w:tc>
          <w:tcPr>
            <w:tcW w:w="1378" w:type="dxa"/>
            <w:tcBorders>
              <w:bottom w:val="single" w:sz="12" w:space="0" w:color="auto"/>
            </w:tcBorders>
            <w:shd w:val="clear" w:color="auto" w:fill="auto"/>
            <w:vAlign w:val="bottom"/>
          </w:tcPr>
          <w:p w14:paraId="3C3B1A2B" w14:textId="7EF1AB91"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2,1</w:t>
            </w:r>
          </w:p>
        </w:tc>
        <w:tc>
          <w:tcPr>
            <w:tcW w:w="1378" w:type="dxa"/>
            <w:tcBorders>
              <w:bottom w:val="single" w:sz="12" w:space="0" w:color="auto"/>
            </w:tcBorders>
            <w:shd w:val="clear" w:color="auto" w:fill="auto"/>
            <w:vAlign w:val="bottom"/>
          </w:tcPr>
          <w:p w14:paraId="4267A8DB" w14:textId="512CA034" w:rsidR="008348B3" w:rsidRPr="008348B3" w:rsidRDefault="008348B3" w:rsidP="008348B3">
            <w:pPr>
              <w:spacing w:before="40" w:after="40" w:line="220" w:lineRule="exact"/>
              <w:ind w:left="199" w:right="28"/>
              <w:jc w:val="right"/>
              <w:rPr>
                <w:rFonts w:cs="Times New Roman"/>
                <w:sz w:val="18"/>
              </w:rPr>
            </w:pPr>
            <w:r w:rsidRPr="008348B3">
              <w:rPr>
                <w:rFonts w:cs="Times New Roman"/>
                <w:sz w:val="18"/>
              </w:rPr>
              <w:t>1,8 %</w:t>
            </w:r>
          </w:p>
        </w:tc>
      </w:tr>
    </w:tbl>
    <w:p w14:paraId="4BA4B1DE" w14:textId="4CBF549E" w:rsidR="00841C25" w:rsidRDefault="00841C25" w:rsidP="003B51C9">
      <w:pPr>
        <w:pStyle w:val="SingleTxtG"/>
        <w:spacing w:before="120" w:line="220" w:lineRule="exact"/>
        <w:ind w:firstLine="142"/>
        <w:jc w:val="left"/>
      </w:pPr>
      <w:r w:rsidRPr="00E11789">
        <w:rPr>
          <w:i/>
          <w:iCs/>
          <w:sz w:val="18"/>
          <w:szCs w:val="18"/>
        </w:rPr>
        <w:t>Источник</w:t>
      </w:r>
      <w:r w:rsidRPr="00E11789">
        <w:rPr>
          <w:sz w:val="18"/>
          <w:szCs w:val="18"/>
        </w:rPr>
        <w:t>: Австралийское бюро статистики, 6530.0 — обследование расходов домохозяйств, 2017 год</w:t>
      </w:r>
      <w:r>
        <w:t>.</w:t>
      </w:r>
    </w:p>
    <w:p w14:paraId="14093000" w14:textId="77777777" w:rsidR="00026474" w:rsidRDefault="00026474">
      <w:pPr>
        <w:suppressAutoHyphens w:val="0"/>
        <w:spacing w:line="240" w:lineRule="auto"/>
        <w:sectPr w:rsidR="00026474" w:rsidSect="005C3FD3">
          <w:footerReference w:type="first" r:id="rId35"/>
          <w:footnotePr>
            <w:numRestart w:val="eachSect"/>
          </w:footnotePr>
          <w:endnotePr>
            <w:numFmt w:val="decimal"/>
          </w:endnotePr>
          <w:pgSz w:w="11906" w:h="16838" w:code="9"/>
          <w:pgMar w:top="1418" w:right="1134" w:bottom="1134" w:left="1134" w:header="851" w:footer="567" w:gutter="0"/>
          <w:cols w:space="708"/>
          <w:docGrid w:linePitch="360"/>
        </w:sectPr>
      </w:pPr>
    </w:p>
    <w:p w14:paraId="387918E3" w14:textId="79AA3D1B" w:rsidR="00026474" w:rsidRDefault="00026474">
      <w:pPr>
        <w:suppressAutoHyphens w:val="0"/>
        <w:spacing w:line="240" w:lineRule="auto"/>
      </w:pPr>
    </w:p>
    <w:tbl>
      <w:tblPr>
        <w:tblW w:w="13868" w:type="dxa"/>
        <w:tblInd w:w="283" w:type="dxa"/>
        <w:tblLayout w:type="fixed"/>
        <w:tblCellMar>
          <w:left w:w="0" w:type="dxa"/>
          <w:right w:w="0" w:type="dxa"/>
        </w:tblCellMar>
        <w:tblLook w:val="04A0" w:firstRow="1" w:lastRow="0" w:firstColumn="1" w:lastColumn="0" w:noHBand="0" w:noVBand="1"/>
      </w:tblPr>
      <w:tblGrid>
        <w:gridCol w:w="687"/>
        <w:gridCol w:w="3895"/>
        <w:gridCol w:w="1349"/>
        <w:gridCol w:w="1349"/>
        <w:gridCol w:w="92"/>
        <w:gridCol w:w="3780"/>
        <w:gridCol w:w="1358"/>
        <w:gridCol w:w="1358"/>
      </w:tblGrid>
      <w:tr w:rsidR="00E11789" w:rsidRPr="00E11789" w14:paraId="070B9FFA" w14:textId="77777777" w:rsidTr="00E11789">
        <w:trPr>
          <w:tblHeader/>
        </w:trPr>
        <w:tc>
          <w:tcPr>
            <w:tcW w:w="687" w:type="dxa"/>
            <w:tcBorders>
              <w:top w:val="single" w:sz="4" w:space="0" w:color="auto"/>
            </w:tcBorders>
            <w:shd w:val="clear" w:color="auto" w:fill="auto"/>
            <w:vAlign w:val="bottom"/>
          </w:tcPr>
          <w:p w14:paraId="72DB2449" w14:textId="77777777" w:rsidR="00E11789" w:rsidRPr="00E11789" w:rsidRDefault="00E11789" w:rsidP="00E11789">
            <w:pPr>
              <w:spacing w:before="80" w:after="80" w:line="200" w:lineRule="exact"/>
              <w:ind w:left="28"/>
              <w:rPr>
                <w:rFonts w:cs="Times New Roman"/>
                <w:sz w:val="16"/>
              </w:rPr>
            </w:pPr>
          </w:p>
        </w:tc>
        <w:tc>
          <w:tcPr>
            <w:tcW w:w="6593" w:type="dxa"/>
            <w:gridSpan w:val="3"/>
            <w:tcBorders>
              <w:top w:val="single" w:sz="4" w:space="0" w:color="auto"/>
              <w:bottom w:val="single" w:sz="4" w:space="0" w:color="auto"/>
            </w:tcBorders>
            <w:shd w:val="clear" w:color="auto" w:fill="auto"/>
            <w:vAlign w:val="bottom"/>
          </w:tcPr>
          <w:p w14:paraId="5C0BF3B6" w14:textId="77777777" w:rsidR="00E11789" w:rsidRPr="00E11789" w:rsidRDefault="00E11789" w:rsidP="00E11789">
            <w:pPr>
              <w:spacing w:before="80" w:after="80" w:line="200" w:lineRule="exact"/>
              <w:ind w:left="28"/>
              <w:jc w:val="center"/>
              <w:rPr>
                <w:rFonts w:cs="Times New Roman"/>
                <w:i/>
                <w:sz w:val="16"/>
              </w:rPr>
            </w:pPr>
            <w:r w:rsidRPr="00E11789">
              <w:rPr>
                <w:rFonts w:cs="Times New Roman"/>
                <w:i/>
                <w:sz w:val="16"/>
              </w:rPr>
              <w:t>Мужчины</w:t>
            </w:r>
          </w:p>
          <w:p w14:paraId="51917C3C" w14:textId="77777777" w:rsidR="00E11789" w:rsidRPr="00E11789" w:rsidRDefault="00E11789" w:rsidP="00E11789">
            <w:pPr>
              <w:spacing w:before="80" w:after="80" w:line="200" w:lineRule="exact"/>
              <w:ind w:left="28"/>
              <w:jc w:val="center"/>
              <w:rPr>
                <w:rFonts w:cs="Times New Roman"/>
                <w:i/>
                <w:sz w:val="16"/>
              </w:rPr>
            </w:pPr>
            <w:r w:rsidRPr="00E11789">
              <w:rPr>
                <w:rFonts w:cs="Times New Roman"/>
                <w:i/>
                <w:sz w:val="16"/>
              </w:rPr>
              <w:t>Общее число смертей в 2019 году: 89 401</w:t>
            </w:r>
          </w:p>
        </w:tc>
        <w:tc>
          <w:tcPr>
            <w:tcW w:w="92" w:type="dxa"/>
            <w:tcBorders>
              <w:top w:val="single" w:sz="4" w:space="0" w:color="auto"/>
            </w:tcBorders>
            <w:shd w:val="clear" w:color="auto" w:fill="auto"/>
          </w:tcPr>
          <w:p w14:paraId="0A8B663C" w14:textId="77777777" w:rsidR="00E11789" w:rsidRPr="00E11789" w:rsidRDefault="00E11789" w:rsidP="00E11789">
            <w:pPr>
              <w:spacing w:before="80" w:after="80" w:line="200" w:lineRule="exact"/>
              <w:ind w:left="28"/>
              <w:jc w:val="center"/>
              <w:rPr>
                <w:rFonts w:cs="Times New Roman"/>
                <w:i/>
                <w:sz w:val="16"/>
              </w:rPr>
            </w:pPr>
          </w:p>
        </w:tc>
        <w:tc>
          <w:tcPr>
            <w:tcW w:w="6496" w:type="dxa"/>
            <w:gridSpan w:val="3"/>
            <w:tcBorders>
              <w:top w:val="single" w:sz="4" w:space="0" w:color="auto"/>
              <w:bottom w:val="single" w:sz="4" w:space="0" w:color="auto"/>
            </w:tcBorders>
            <w:shd w:val="clear" w:color="auto" w:fill="auto"/>
            <w:vAlign w:val="bottom"/>
          </w:tcPr>
          <w:p w14:paraId="5557F1F2" w14:textId="63609044" w:rsidR="00E11789" w:rsidRPr="00E11789" w:rsidRDefault="00E11789" w:rsidP="00E11789">
            <w:pPr>
              <w:spacing w:before="80" w:after="80" w:line="200" w:lineRule="exact"/>
              <w:ind w:left="28"/>
              <w:jc w:val="center"/>
              <w:rPr>
                <w:rFonts w:cs="Times New Roman"/>
                <w:i/>
                <w:sz w:val="16"/>
              </w:rPr>
            </w:pPr>
            <w:r w:rsidRPr="00E11789">
              <w:rPr>
                <w:rFonts w:cs="Times New Roman"/>
                <w:i/>
                <w:sz w:val="16"/>
              </w:rPr>
              <w:t>Женщины</w:t>
            </w:r>
          </w:p>
          <w:p w14:paraId="29E9BD30" w14:textId="77777777" w:rsidR="00E11789" w:rsidRPr="00E11789" w:rsidRDefault="00E11789" w:rsidP="00E11789">
            <w:pPr>
              <w:spacing w:before="80" w:after="80" w:line="200" w:lineRule="exact"/>
              <w:ind w:left="28"/>
              <w:jc w:val="center"/>
              <w:rPr>
                <w:rFonts w:cs="Times New Roman"/>
                <w:i/>
                <w:sz w:val="16"/>
              </w:rPr>
            </w:pPr>
            <w:r w:rsidRPr="00E11789">
              <w:rPr>
                <w:rFonts w:cs="Times New Roman"/>
                <w:i/>
                <w:sz w:val="16"/>
              </w:rPr>
              <w:t>Общее число смертей в 2021 году: 82,068</w:t>
            </w:r>
          </w:p>
        </w:tc>
      </w:tr>
      <w:tr w:rsidR="00E11789" w:rsidRPr="00E11789" w14:paraId="37DAC9DE" w14:textId="77777777" w:rsidTr="00E11789">
        <w:trPr>
          <w:tblHeader/>
        </w:trPr>
        <w:tc>
          <w:tcPr>
            <w:tcW w:w="687" w:type="dxa"/>
            <w:tcBorders>
              <w:bottom w:val="single" w:sz="12" w:space="0" w:color="auto"/>
            </w:tcBorders>
            <w:shd w:val="clear" w:color="auto" w:fill="auto"/>
          </w:tcPr>
          <w:p w14:paraId="6404DC83" w14:textId="77777777" w:rsidR="00E11789" w:rsidRPr="00E11789" w:rsidRDefault="00E11789" w:rsidP="00E11789">
            <w:pPr>
              <w:spacing w:before="80" w:after="80" w:line="200" w:lineRule="exact"/>
              <w:ind w:left="28"/>
              <w:rPr>
                <w:rFonts w:cs="Times New Roman"/>
                <w:i/>
                <w:sz w:val="16"/>
              </w:rPr>
            </w:pPr>
            <w:r w:rsidRPr="00E11789">
              <w:rPr>
                <w:rFonts w:cs="Times New Roman"/>
                <w:i/>
                <w:sz w:val="16"/>
              </w:rPr>
              <w:t>Место</w:t>
            </w:r>
          </w:p>
        </w:tc>
        <w:tc>
          <w:tcPr>
            <w:tcW w:w="3895" w:type="dxa"/>
            <w:tcBorders>
              <w:top w:val="single" w:sz="4" w:space="0" w:color="auto"/>
              <w:bottom w:val="single" w:sz="12" w:space="0" w:color="auto"/>
            </w:tcBorders>
            <w:shd w:val="clear" w:color="auto" w:fill="auto"/>
            <w:vAlign w:val="bottom"/>
          </w:tcPr>
          <w:p w14:paraId="298C6B40" w14:textId="77777777" w:rsidR="00E11789" w:rsidRPr="00E11789" w:rsidRDefault="00E11789" w:rsidP="007C22DE">
            <w:pPr>
              <w:spacing w:before="80" w:after="80" w:line="200" w:lineRule="exact"/>
              <w:ind w:left="28"/>
              <w:rPr>
                <w:rFonts w:cs="Times New Roman"/>
                <w:i/>
                <w:sz w:val="16"/>
              </w:rPr>
            </w:pPr>
            <w:r w:rsidRPr="00E11789">
              <w:rPr>
                <w:rFonts w:cs="Times New Roman"/>
                <w:i/>
                <w:sz w:val="16"/>
              </w:rPr>
              <w:t>Причина смерти</w:t>
            </w:r>
          </w:p>
        </w:tc>
        <w:tc>
          <w:tcPr>
            <w:tcW w:w="1349" w:type="dxa"/>
            <w:tcBorders>
              <w:top w:val="single" w:sz="4" w:space="0" w:color="auto"/>
              <w:bottom w:val="single" w:sz="12" w:space="0" w:color="auto"/>
            </w:tcBorders>
            <w:shd w:val="clear" w:color="auto" w:fill="auto"/>
            <w:vAlign w:val="bottom"/>
          </w:tcPr>
          <w:p w14:paraId="0AFB520A" w14:textId="77777777" w:rsidR="00E11789" w:rsidRPr="00E11789" w:rsidRDefault="00E11789" w:rsidP="00E11789">
            <w:pPr>
              <w:spacing w:before="80" w:after="80" w:line="200" w:lineRule="exact"/>
              <w:ind w:left="28"/>
              <w:jc w:val="right"/>
              <w:rPr>
                <w:rFonts w:cs="Times New Roman"/>
                <w:i/>
                <w:sz w:val="16"/>
              </w:rPr>
            </w:pPr>
            <w:r w:rsidRPr="00E11789">
              <w:rPr>
                <w:rFonts w:cs="Times New Roman"/>
                <w:i/>
                <w:sz w:val="16"/>
              </w:rPr>
              <w:t>Число</w:t>
            </w:r>
          </w:p>
        </w:tc>
        <w:tc>
          <w:tcPr>
            <w:tcW w:w="1349" w:type="dxa"/>
            <w:tcBorders>
              <w:top w:val="single" w:sz="4" w:space="0" w:color="auto"/>
              <w:bottom w:val="single" w:sz="12" w:space="0" w:color="auto"/>
            </w:tcBorders>
            <w:shd w:val="clear" w:color="auto" w:fill="auto"/>
            <w:vAlign w:val="bottom"/>
          </w:tcPr>
          <w:p w14:paraId="668710AA" w14:textId="77777777" w:rsidR="00E11789" w:rsidRPr="00E11789" w:rsidRDefault="00E11789" w:rsidP="00E11789">
            <w:pPr>
              <w:spacing w:before="80" w:after="80" w:line="200" w:lineRule="exact"/>
              <w:ind w:left="28"/>
              <w:jc w:val="right"/>
              <w:rPr>
                <w:rFonts w:cs="Times New Roman"/>
                <w:i/>
                <w:sz w:val="16"/>
              </w:rPr>
            </w:pPr>
            <w:r w:rsidRPr="00E11789">
              <w:rPr>
                <w:rFonts w:cs="Times New Roman"/>
                <w:i/>
                <w:sz w:val="16"/>
              </w:rPr>
              <w:t>Процентная доля</w:t>
            </w:r>
          </w:p>
        </w:tc>
        <w:tc>
          <w:tcPr>
            <w:tcW w:w="92" w:type="dxa"/>
            <w:tcBorders>
              <w:bottom w:val="single" w:sz="12" w:space="0" w:color="auto"/>
            </w:tcBorders>
            <w:shd w:val="clear" w:color="auto" w:fill="auto"/>
          </w:tcPr>
          <w:p w14:paraId="76B4C9F3" w14:textId="77777777" w:rsidR="00E11789" w:rsidRPr="00E11789" w:rsidRDefault="00E11789" w:rsidP="00E11789">
            <w:pPr>
              <w:spacing w:before="80" w:after="80" w:line="200" w:lineRule="exact"/>
              <w:ind w:left="28"/>
              <w:jc w:val="right"/>
              <w:rPr>
                <w:rFonts w:cs="Times New Roman"/>
                <w:i/>
                <w:sz w:val="16"/>
              </w:rPr>
            </w:pPr>
          </w:p>
        </w:tc>
        <w:tc>
          <w:tcPr>
            <w:tcW w:w="3780" w:type="dxa"/>
            <w:tcBorders>
              <w:top w:val="single" w:sz="4" w:space="0" w:color="auto"/>
              <w:bottom w:val="single" w:sz="12" w:space="0" w:color="auto"/>
            </w:tcBorders>
            <w:shd w:val="clear" w:color="auto" w:fill="auto"/>
            <w:vAlign w:val="bottom"/>
          </w:tcPr>
          <w:p w14:paraId="66972B16" w14:textId="20DDC3FF" w:rsidR="00E11789" w:rsidRPr="00E11789" w:rsidRDefault="00E11789" w:rsidP="007C22DE">
            <w:pPr>
              <w:spacing w:before="80" w:after="80" w:line="200" w:lineRule="exact"/>
              <w:ind w:left="28"/>
              <w:rPr>
                <w:rFonts w:cs="Times New Roman"/>
                <w:i/>
                <w:sz w:val="16"/>
              </w:rPr>
            </w:pPr>
            <w:r w:rsidRPr="00E11789">
              <w:rPr>
                <w:rFonts w:cs="Times New Roman"/>
                <w:i/>
                <w:sz w:val="16"/>
              </w:rPr>
              <w:t>Причина смерти</w:t>
            </w:r>
          </w:p>
        </w:tc>
        <w:tc>
          <w:tcPr>
            <w:tcW w:w="1358" w:type="dxa"/>
            <w:tcBorders>
              <w:top w:val="single" w:sz="4" w:space="0" w:color="auto"/>
              <w:bottom w:val="single" w:sz="12" w:space="0" w:color="auto"/>
            </w:tcBorders>
            <w:shd w:val="clear" w:color="auto" w:fill="auto"/>
            <w:vAlign w:val="bottom"/>
          </w:tcPr>
          <w:p w14:paraId="505CE952" w14:textId="77777777" w:rsidR="00E11789" w:rsidRPr="00E11789" w:rsidRDefault="00E11789" w:rsidP="00E11789">
            <w:pPr>
              <w:spacing w:before="80" w:after="80" w:line="200" w:lineRule="exact"/>
              <w:ind w:left="28"/>
              <w:jc w:val="right"/>
              <w:rPr>
                <w:rFonts w:cs="Times New Roman"/>
                <w:i/>
                <w:sz w:val="16"/>
              </w:rPr>
            </w:pPr>
            <w:r w:rsidRPr="00E11789">
              <w:rPr>
                <w:rFonts w:cs="Times New Roman"/>
                <w:i/>
                <w:sz w:val="16"/>
              </w:rPr>
              <w:t>Число</w:t>
            </w:r>
          </w:p>
        </w:tc>
        <w:tc>
          <w:tcPr>
            <w:tcW w:w="1358" w:type="dxa"/>
            <w:tcBorders>
              <w:top w:val="single" w:sz="4" w:space="0" w:color="auto"/>
              <w:bottom w:val="single" w:sz="12" w:space="0" w:color="auto"/>
            </w:tcBorders>
            <w:shd w:val="clear" w:color="auto" w:fill="auto"/>
            <w:vAlign w:val="bottom"/>
          </w:tcPr>
          <w:p w14:paraId="176FD212" w14:textId="77777777" w:rsidR="00E11789" w:rsidRPr="00E11789" w:rsidRDefault="00E11789" w:rsidP="00E11789">
            <w:pPr>
              <w:spacing w:before="80" w:after="80" w:line="200" w:lineRule="exact"/>
              <w:ind w:left="28"/>
              <w:jc w:val="right"/>
              <w:rPr>
                <w:rFonts w:cs="Times New Roman"/>
                <w:i/>
                <w:sz w:val="16"/>
              </w:rPr>
            </w:pPr>
            <w:r w:rsidRPr="00E11789">
              <w:rPr>
                <w:rFonts w:cs="Times New Roman"/>
                <w:i/>
                <w:sz w:val="16"/>
              </w:rPr>
              <w:t>Процентная доля</w:t>
            </w:r>
          </w:p>
        </w:tc>
      </w:tr>
      <w:tr w:rsidR="00E11789" w:rsidRPr="00E11789" w14:paraId="15AC8732" w14:textId="77777777" w:rsidTr="00E11789">
        <w:tc>
          <w:tcPr>
            <w:tcW w:w="687" w:type="dxa"/>
            <w:tcBorders>
              <w:top w:val="single" w:sz="12" w:space="0" w:color="auto"/>
            </w:tcBorders>
            <w:shd w:val="clear" w:color="auto" w:fill="auto"/>
          </w:tcPr>
          <w:p w14:paraId="5F7F0E82"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1</w:t>
            </w:r>
          </w:p>
        </w:tc>
        <w:tc>
          <w:tcPr>
            <w:tcW w:w="3895" w:type="dxa"/>
            <w:tcBorders>
              <w:top w:val="single" w:sz="12" w:space="0" w:color="auto"/>
            </w:tcBorders>
            <w:shd w:val="clear" w:color="auto" w:fill="auto"/>
            <w:vAlign w:val="bottom"/>
          </w:tcPr>
          <w:p w14:paraId="285C684C"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Ишемическая болезнь сердца</w:t>
            </w:r>
          </w:p>
        </w:tc>
        <w:tc>
          <w:tcPr>
            <w:tcW w:w="1349" w:type="dxa"/>
            <w:tcBorders>
              <w:top w:val="single" w:sz="12" w:space="0" w:color="auto"/>
            </w:tcBorders>
            <w:shd w:val="clear" w:color="auto" w:fill="auto"/>
            <w:vAlign w:val="bottom"/>
          </w:tcPr>
          <w:p w14:paraId="7C19E1A1"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10 371</w:t>
            </w:r>
          </w:p>
        </w:tc>
        <w:tc>
          <w:tcPr>
            <w:tcW w:w="1349" w:type="dxa"/>
            <w:tcBorders>
              <w:top w:val="single" w:sz="12" w:space="0" w:color="auto"/>
            </w:tcBorders>
            <w:shd w:val="clear" w:color="auto" w:fill="auto"/>
            <w:vAlign w:val="bottom"/>
          </w:tcPr>
          <w:p w14:paraId="07F1DC45" w14:textId="4F9AA962"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11,6</w:t>
            </w:r>
            <w:r w:rsidR="007C22DE">
              <w:rPr>
                <w:rFonts w:cs="Times New Roman"/>
                <w:sz w:val="18"/>
              </w:rPr>
              <w:t xml:space="preserve"> %</w:t>
            </w:r>
          </w:p>
        </w:tc>
        <w:tc>
          <w:tcPr>
            <w:tcW w:w="92" w:type="dxa"/>
            <w:tcBorders>
              <w:top w:val="single" w:sz="12" w:space="0" w:color="auto"/>
            </w:tcBorders>
          </w:tcPr>
          <w:p w14:paraId="766A64BD" w14:textId="77777777" w:rsidR="00E11789" w:rsidRPr="00E11789" w:rsidRDefault="00E11789" w:rsidP="00E11789">
            <w:pPr>
              <w:spacing w:before="40" w:after="40" w:line="220" w:lineRule="exact"/>
              <w:ind w:left="28" w:right="28"/>
              <w:jc w:val="right"/>
              <w:rPr>
                <w:rFonts w:cs="Times New Roman"/>
                <w:sz w:val="18"/>
              </w:rPr>
            </w:pPr>
          </w:p>
        </w:tc>
        <w:tc>
          <w:tcPr>
            <w:tcW w:w="3780" w:type="dxa"/>
            <w:tcBorders>
              <w:top w:val="single" w:sz="12" w:space="0" w:color="auto"/>
            </w:tcBorders>
            <w:shd w:val="clear" w:color="auto" w:fill="auto"/>
            <w:vAlign w:val="bottom"/>
          </w:tcPr>
          <w:p w14:paraId="649C036E" w14:textId="10B477F3" w:rsidR="00E11789" w:rsidRPr="00E11789" w:rsidRDefault="00E11789" w:rsidP="007C22DE">
            <w:pPr>
              <w:spacing w:before="40" w:after="40" w:line="220" w:lineRule="exact"/>
              <w:ind w:left="28" w:right="28"/>
              <w:rPr>
                <w:rFonts w:cs="Times New Roman"/>
                <w:sz w:val="18"/>
              </w:rPr>
            </w:pPr>
            <w:r w:rsidRPr="00E11789">
              <w:rPr>
                <w:rFonts w:cs="Times New Roman"/>
                <w:sz w:val="18"/>
              </w:rPr>
              <w:t>Деменция и болезнь Альцгеймера</w:t>
            </w:r>
          </w:p>
        </w:tc>
        <w:tc>
          <w:tcPr>
            <w:tcW w:w="1358" w:type="dxa"/>
            <w:tcBorders>
              <w:top w:val="single" w:sz="12" w:space="0" w:color="auto"/>
            </w:tcBorders>
            <w:shd w:val="clear" w:color="auto" w:fill="auto"/>
            <w:vAlign w:val="bottom"/>
          </w:tcPr>
          <w:p w14:paraId="503C6DEC"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10 276</w:t>
            </w:r>
          </w:p>
        </w:tc>
        <w:tc>
          <w:tcPr>
            <w:tcW w:w="1358" w:type="dxa"/>
            <w:tcBorders>
              <w:top w:val="single" w:sz="12" w:space="0" w:color="auto"/>
            </w:tcBorders>
            <w:shd w:val="clear" w:color="auto" w:fill="auto"/>
            <w:vAlign w:val="bottom"/>
          </w:tcPr>
          <w:p w14:paraId="3951E435" w14:textId="51716DAB"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12,5</w:t>
            </w:r>
            <w:r w:rsidR="007C22DE">
              <w:rPr>
                <w:rFonts w:cs="Times New Roman"/>
                <w:sz w:val="18"/>
              </w:rPr>
              <w:t xml:space="preserve"> %</w:t>
            </w:r>
          </w:p>
        </w:tc>
      </w:tr>
      <w:tr w:rsidR="00E11789" w:rsidRPr="00E11789" w14:paraId="116CB917" w14:textId="77777777" w:rsidTr="00E11789">
        <w:tc>
          <w:tcPr>
            <w:tcW w:w="687" w:type="dxa"/>
            <w:shd w:val="clear" w:color="auto" w:fill="auto"/>
          </w:tcPr>
          <w:p w14:paraId="16CB36A6"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w:t>
            </w:r>
          </w:p>
        </w:tc>
        <w:tc>
          <w:tcPr>
            <w:tcW w:w="3895" w:type="dxa"/>
            <w:shd w:val="clear" w:color="auto" w:fill="auto"/>
            <w:vAlign w:val="bottom"/>
          </w:tcPr>
          <w:p w14:paraId="0CFC3B99"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Деменция и болезнь Альцгеймера </w:t>
            </w:r>
          </w:p>
        </w:tc>
        <w:tc>
          <w:tcPr>
            <w:tcW w:w="1349" w:type="dxa"/>
            <w:shd w:val="clear" w:color="auto" w:fill="auto"/>
            <w:vAlign w:val="bottom"/>
          </w:tcPr>
          <w:p w14:paraId="43872663"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5 664</w:t>
            </w:r>
          </w:p>
        </w:tc>
        <w:tc>
          <w:tcPr>
            <w:tcW w:w="1349" w:type="dxa"/>
            <w:shd w:val="clear" w:color="auto" w:fill="auto"/>
            <w:vAlign w:val="bottom"/>
          </w:tcPr>
          <w:p w14:paraId="32D87A95" w14:textId="335B1A00"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6,3</w:t>
            </w:r>
            <w:r w:rsidR="007C22DE">
              <w:rPr>
                <w:rFonts w:cs="Times New Roman"/>
                <w:sz w:val="18"/>
              </w:rPr>
              <w:t xml:space="preserve"> %</w:t>
            </w:r>
          </w:p>
        </w:tc>
        <w:tc>
          <w:tcPr>
            <w:tcW w:w="92" w:type="dxa"/>
          </w:tcPr>
          <w:p w14:paraId="3BDBE811"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35E37F12" w14:textId="6AA7A117" w:rsidR="00E11789" w:rsidRPr="00E11789" w:rsidRDefault="00E11789" w:rsidP="007C22DE">
            <w:pPr>
              <w:spacing w:before="40" w:after="40" w:line="220" w:lineRule="exact"/>
              <w:ind w:left="28" w:right="28"/>
              <w:rPr>
                <w:rFonts w:cs="Times New Roman"/>
                <w:sz w:val="18"/>
              </w:rPr>
            </w:pPr>
            <w:r w:rsidRPr="00E11789">
              <w:rPr>
                <w:rFonts w:cs="Times New Roman"/>
                <w:sz w:val="18"/>
              </w:rPr>
              <w:t>Ишемическая болезнь сердца</w:t>
            </w:r>
          </w:p>
        </w:tc>
        <w:tc>
          <w:tcPr>
            <w:tcW w:w="1358" w:type="dxa"/>
            <w:shd w:val="clear" w:color="auto" w:fill="auto"/>
            <w:vAlign w:val="bottom"/>
          </w:tcPr>
          <w:p w14:paraId="738EA051"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6 960</w:t>
            </w:r>
          </w:p>
        </w:tc>
        <w:tc>
          <w:tcPr>
            <w:tcW w:w="1358" w:type="dxa"/>
            <w:shd w:val="clear" w:color="auto" w:fill="auto"/>
            <w:vAlign w:val="bottom"/>
          </w:tcPr>
          <w:p w14:paraId="41A927E8" w14:textId="52F7FB11"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8,4</w:t>
            </w:r>
            <w:r w:rsidR="007C22DE">
              <w:rPr>
                <w:rFonts w:cs="Times New Roman"/>
                <w:sz w:val="18"/>
              </w:rPr>
              <w:t xml:space="preserve"> %</w:t>
            </w:r>
          </w:p>
        </w:tc>
      </w:tr>
      <w:tr w:rsidR="00E11789" w:rsidRPr="00E11789" w14:paraId="7C49300D" w14:textId="77777777" w:rsidTr="00E11789">
        <w:tc>
          <w:tcPr>
            <w:tcW w:w="687" w:type="dxa"/>
            <w:shd w:val="clear" w:color="auto" w:fill="auto"/>
          </w:tcPr>
          <w:p w14:paraId="1305579D"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3</w:t>
            </w:r>
          </w:p>
        </w:tc>
        <w:tc>
          <w:tcPr>
            <w:tcW w:w="3895" w:type="dxa"/>
            <w:shd w:val="clear" w:color="auto" w:fill="auto"/>
            <w:vAlign w:val="bottom"/>
          </w:tcPr>
          <w:p w14:paraId="4EFED49C"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Рак легких</w:t>
            </w:r>
          </w:p>
        </w:tc>
        <w:tc>
          <w:tcPr>
            <w:tcW w:w="1349" w:type="dxa"/>
            <w:shd w:val="clear" w:color="auto" w:fill="auto"/>
            <w:vAlign w:val="bottom"/>
          </w:tcPr>
          <w:p w14:paraId="212F55D1"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4 968</w:t>
            </w:r>
          </w:p>
        </w:tc>
        <w:tc>
          <w:tcPr>
            <w:tcW w:w="1349" w:type="dxa"/>
            <w:shd w:val="clear" w:color="auto" w:fill="auto"/>
            <w:vAlign w:val="bottom"/>
          </w:tcPr>
          <w:p w14:paraId="2FFBF10B" w14:textId="3A41E44B"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5,5</w:t>
            </w:r>
            <w:r w:rsidR="007C22DE">
              <w:rPr>
                <w:rFonts w:cs="Times New Roman"/>
                <w:sz w:val="18"/>
              </w:rPr>
              <w:t xml:space="preserve"> %</w:t>
            </w:r>
          </w:p>
        </w:tc>
        <w:tc>
          <w:tcPr>
            <w:tcW w:w="92" w:type="dxa"/>
          </w:tcPr>
          <w:p w14:paraId="288FDA16"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6F5AFCB9" w14:textId="7E629F8D" w:rsidR="00E11789" w:rsidRPr="00E11789" w:rsidRDefault="00E11789" w:rsidP="007C22DE">
            <w:pPr>
              <w:spacing w:before="40" w:after="40" w:line="220" w:lineRule="exact"/>
              <w:ind w:left="28" w:right="28"/>
              <w:rPr>
                <w:rFonts w:cs="Times New Roman"/>
                <w:sz w:val="18"/>
              </w:rPr>
            </w:pPr>
            <w:r w:rsidRPr="00E11789">
              <w:rPr>
                <w:rFonts w:cs="Times New Roman"/>
                <w:sz w:val="18"/>
              </w:rPr>
              <w:t>Цереброваскулярное заболевание</w:t>
            </w:r>
          </w:p>
        </w:tc>
        <w:tc>
          <w:tcPr>
            <w:tcW w:w="1358" w:type="dxa"/>
            <w:shd w:val="clear" w:color="auto" w:fill="auto"/>
            <w:vAlign w:val="bottom"/>
          </w:tcPr>
          <w:p w14:paraId="109E3B39"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5 620</w:t>
            </w:r>
          </w:p>
        </w:tc>
        <w:tc>
          <w:tcPr>
            <w:tcW w:w="1358" w:type="dxa"/>
            <w:shd w:val="clear" w:color="auto" w:fill="auto"/>
            <w:vAlign w:val="bottom"/>
          </w:tcPr>
          <w:p w14:paraId="2152B07B" w14:textId="04BAC322"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6,8</w:t>
            </w:r>
            <w:r w:rsidR="007C22DE">
              <w:rPr>
                <w:rFonts w:cs="Times New Roman"/>
                <w:sz w:val="18"/>
              </w:rPr>
              <w:t xml:space="preserve"> %</w:t>
            </w:r>
          </w:p>
        </w:tc>
      </w:tr>
      <w:tr w:rsidR="00E11789" w:rsidRPr="00E11789" w14:paraId="56FE857A" w14:textId="77777777" w:rsidTr="00E11789">
        <w:tc>
          <w:tcPr>
            <w:tcW w:w="687" w:type="dxa"/>
            <w:shd w:val="clear" w:color="auto" w:fill="auto"/>
          </w:tcPr>
          <w:p w14:paraId="1EC56CF8"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4</w:t>
            </w:r>
          </w:p>
        </w:tc>
        <w:tc>
          <w:tcPr>
            <w:tcW w:w="3895" w:type="dxa"/>
            <w:shd w:val="clear" w:color="auto" w:fill="auto"/>
            <w:vAlign w:val="bottom"/>
          </w:tcPr>
          <w:p w14:paraId="16F21E85"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Цереброваскулярное заболевание</w:t>
            </w:r>
          </w:p>
        </w:tc>
        <w:tc>
          <w:tcPr>
            <w:tcW w:w="1349" w:type="dxa"/>
            <w:shd w:val="clear" w:color="auto" w:fill="auto"/>
            <w:vAlign w:val="bottom"/>
          </w:tcPr>
          <w:p w14:paraId="61897F2C"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4 180</w:t>
            </w:r>
          </w:p>
        </w:tc>
        <w:tc>
          <w:tcPr>
            <w:tcW w:w="1349" w:type="dxa"/>
            <w:shd w:val="clear" w:color="auto" w:fill="auto"/>
            <w:vAlign w:val="bottom"/>
          </w:tcPr>
          <w:p w14:paraId="72E0B74A" w14:textId="2C7058E5"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4,6</w:t>
            </w:r>
            <w:r w:rsidR="007C22DE">
              <w:rPr>
                <w:rFonts w:cs="Times New Roman"/>
                <w:sz w:val="18"/>
              </w:rPr>
              <w:t xml:space="preserve"> %</w:t>
            </w:r>
          </w:p>
        </w:tc>
        <w:tc>
          <w:tcPr>
            <w:tcW w:w="92" w:type="dxa"/>
          </w:tcPr>
          <w:p w14:paraId="06D42A6B"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31E478D6" w14:textId="31AE4D31"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Хронические заболевания нижних дыхательных путей </w:t>
            </w:r>
          </w:p>
        </w:tc>
        <w:tc>
          <w:tcPr>
            <w:tcW w:w="1358" w:type="dxa"/>
            <w:shd w:val="clear" w:color="auto" w:fill="auto"/>
            <w:vAlign w:val="bottom"/>
          </w:tcPr>
          <w:p w14:paraId="24FC7366"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3 854</w:t>
            </w:r>
          </w:p>
        </w:tc>
        <w:tc>
          <w:tcPr>
            <w:tcW w:w="1358" w:type="dxa"/>
            <w:shd w:val="clear" w:color="auto" w:fill="auto"/>
            <w:vAlign w:val="bottom"/>
          </w:tcPr>
          <w:p w14:paraId="03E3D8BD" w14:textId="7447AF0C"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4,7</w:t>
            </w:r>
            <w:r w:rsidR="007C22DE">
              <w:rPr>
                <w:rFonts w:cs="Times New Roman"/>
                <w:sz w:val="18"/>
              </w:rPr>
              <w:t xml:space="preserve"> %</w:t>
            </w:r>
          </w:p>
        </w:tc>
      </w:tr>
      <w:tr w:rsidR="00E11789" w:rsidRPr="00E11789" w14:paraId="11A6DB9C" w14:textId="77777777" w:rsidTr="00E11789">
        <w:tc>
          <w:tcPr>
            <w:tcW w:w="687" w:type="dxa"/>
            <w:shd w:val="clear" w:color="auto" w:fill="auto"/>
          </w:tcPr>
          <w:p w14:paraId="7D5389B6"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5</w:t>
            </w:r>
          </w:p>
        </w:tc>
        <w:tc>
          <w:tcPr>
            <w:tcW w:w="3895" w:type="dxa"/>
            <w:shd w:val="clear" w:color="auto" w:fill="auto"/>
            <w:vAlign w:val="bottom"/>
          </w:tcPr>
          <w:p w14:paraId="08D6F6A5"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Хронические заболевания нижних дыхательных путей</w:t>
            </w:r>
          </w:p>
        </w:tc>
        <w:tc>
          <w:tcPr>
            <w:tcW w:w="1349" w:type="dxa"/>
            <w:shd w:val="clear" w:color="auto" w:fill="auto"/>
            <w:vAlign w:val="bottom"/>
          </w:tcPr>
          <w:p w14:paraId="39C0BE3B"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3 951</w:t>
            </w:r>
          </w:p>
        </w:tc>
        <w:tc>
          <w:tcPr>
            <w:tcW w:w="1349" w:type="dxa"/>
            <w:shd w:val="clear" w:color="auto" w:fill="auto"/>
            <w:vAlign w:val="bottom"/>
          </w:tcPr>
          <w:p w14:paraId="324EB04E" w14:textId="69CA7A21"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4,4</w:t>
            </w:r>
            <w:r w:rsidR="007C22DE">
              <w:rPr>
                <w:rFonts w:cs="Times New Roman"/>
                <w:sz w:val="18"/>
              </w:rPr>
              <w:t xml:space="preserve"> %</w:t>
            </w:r>
          </w:p>
        </w:tc>
        <w:tc>
          <w:tcPr>
            <w:tcW w:w="92" w:type="dxa"/>
          </w:tcPr>
          <w:p w14:paraId="0F6DDDF9"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0FCE7622" w14:textId="146C07A4" w:rsidR="00E11789" w:rsidRPr="00E11789" w:rsidRDefault="00E11789" w:rsidP="007C22DE">
            <w:pPr>
              <w:spacing w:before="40" w:after="40" w:line="220" w:lineRule="exact"/>
              <w:ind w:left="28" w:right="28"/>
              <w:rPr>
                <w:rFonts w:cs="Times New Roman"/>
                <w:sz w:val="18"/>
              </w:rPr>
            </w:pPr>
            <w:r w:rsidRPr="00E11789">
              <w:rPr>
                <w:rFonts w:cs="Times New Roman"/>
                <w:sz w:val="18"/>
              </w:rPr>
              <w:t>Рак легких</w:t>
            </w:r>
          </w:p>
        </w:tc>
        <w:tc>
          <w:tcPr>
            <w:tcW w:w="1358" w:type="dxa"/>
            <w:shd w:val="clear" w:color="auto" w:fill="auto"/>
            <w:vAlign w:val="bottom"/>
          </w:tcPr>
          <w:p w14:paraId="7E96A900"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3 706</w:t>
            </w:r>
          </w:p>
        </w:tc>
        <w:tc>
          <w:tcPr>
            <w:tcW w:w="1358" w:type="dxa"/>
            <w:shd w:val="clear" w:color="auto" w:fill="auto"/>
            <w:vAlign w:val="bottom"/>
          </w:tcPr>
          <w:p w14:paraId="74DE5D1B" w14:textId="28D68869"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4,5</w:t>
            </w:r>
            <w:r w:rsidR="007C22DE">
              <w:rPr>
                <w:rFonts w:cs="Times New Roman"/>
                <w:sz w:val="18"/>
              </w:rPr>
              <w:t xml:space="preserve"> %</w:t>
            </w:r>
          </w:p>
        </w:tc>
      </w:tr>
      <w:tr w:rsidR="00E11789" w:rsidRPr="00E11789" w14:paraId="61BAEE71" w14:textId="77777777" w:rsidTr="00E11789">
        <w:tc>
          <w:tcPr>
            <w:tcW w:w="687" w:type="dxa"/>
            <w:shd w:val="clear" w:color="auto" w:fill="auto"/>
          </w:tcPr>
          <w:p w14:paraId="49439A75"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6</w:t>
            </w:r>
          </w:p>
        </w:tc>
        <w:tc>
          <w:tcPr>
            <w:tcW w:w="3895" w:type="dxa"/>
            <w:shd w:val="clear" w:color="auto" w:fill="auto"/>
            <w:vAlign w:val="bottom"/>
          </w:tcPr>
          <w:p w14:paraId="4189497B"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Рак предстательной железы</w:t>
            </w:r>
          </w:p>
        </w:tc>
        <w:tc>
          <w:tcPr>
            <w:tcW w:w="1349" w:type="dxa"/>
            <w:shd w:val="clear" w:color="auto" w:fill="auto"/>
            <w:vAlign w:val="bottom"/>
          </w:tcPr>
          <w:p w14:paraId="4AD4B864"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3 620</w:t>
            </w:r>
          </w:p>
        </w:tc>
        <w:tc>
          <w:tcPr>
            <w:tcW w:w="1349" w:type="dxa"/>
            <w:shd w:val="clear" w:color="auto" w:fill="auto"/>
            <w:vAlign w:val="bottom"/>
          </w:tcPr>
          <w:p w14:paraId="5DB2C3D2" w14:textId="1B8BD53E"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4,0</w:t>
            </w:r>
            <w:r w:rsidR="007C22DE">
              <w:rPr>
                <w:rFonts w:cs="Times New Roman"/>
                <w:sz w:val="18"/>
              </w:rPr>
              <w:t xml:space="preserve"> %</w:t>
            </w:r>
          </w:p>
        </w:tc>
        <w:tc>
          <w:tcPr>
            <w:tcW w:w="92" w:type="dxa"/>
          </w:tcPr>
          <w:p w14:paraId="0350947C"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2E0F33EB" w14:textId="04E94033" w:rsidR="00E11789" w:rsidRPr="00E11789" w:rsidRDefault="00E11789" w:rsidP="007C22DE">
            <w:pPr>
              <w:spacing w:before="40" w:after="40" w:line="220" w:lineRule="exact"/>
              <w:ind w:left="28" w:right="28"/>
              <w:rPr>
                <w:rFonts w:cs="Times New Roman"/>
                <w:sz w:val="18"/>
              </w:rPr>
            </w:pPr>
            <w:r w:rsidRPr="00E11789">
              <w:rPr>
                <w:rFonts w:cs="Times New Roman"/>
                <w:sz w:val="18"/>
              </w:rPr>
              <w:t>Рак груди</w:t>
            </w:r>
          </w:p>
        </w:tc>
        <w:tc>
          <w:tcPr>
            <w:tcW w:w="1358" w:type="dxa"/>
            <w:shd w:val="clear" w:color="auto" w:fill="auto"/>
            <w:vAlign w:val="bottom"/>
          </w:tcPr>
          <w:p w14:paraId="1847960A"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3 129</w:t>
            </w:r>
          </w:p>
        </w:tc>
        <w:tc>
          <w:tcPr>
            <w:tcW w:w="1358" w:type="dxa"/>
            <w:shd w:val="clear" w:color="auto" w:fill="auto"/>
            <w:vAlign w:val="bottom"/>
          </w:tcPr>
          <w:p w14:paraId="0D53C50B" w14:textId="7E6A4D6D"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3,8</w:t>
            </w:r>
            <w:r w:rsidR="007C22DE">
              <w:rPr>
                <w:rFonts w:cs="Times New Roman"/>
                <w:sz w:val="18"/>
              </w:rPr>
              <w:t xml:space="preserve"> %</w:t>
            </w:r>
          </w:p>
        </w:tc>
      </w:tr>
      <w:tr w:rsidR="00E11789" w:rsidRPr="00E11789" w14:paraId="50BAE5CE" w14:textId="77777777" w:rsidTr="00E11789">
        <w:tc>
          <w:tcPr>
            <w:tcW w:w="687" w:type="dxa"/>
            <w:shd w:val="clear" w:color="auto" w:fill="auto"/>
          </w:tcPr>
          <w:p w14:paraId="5B5A4EC6"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7</w:t>
            </w:r>
          </w:p>
        </w:tc>
        <w:tc>
          <w:tcPr>
            <w:tcW w:w="3895" w:type="dxa"/>
            <w:shd w:val="clear" w:color="auto" w:fill="auto"/>
            <w:vAlign w:val="bottom"/>
          </w:tcPr>
          <w:p w14:paraId="328CE716"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Раковые заболевания крови, костного мозга и лимфатической системы</w:t>
            </w:r>
          </w:p>
        </w:tc>
        <w:tc>
          <w:tcPr>
            <w:tcW w:w="1349" w:type="dxa"/>
            <w:shd w:val="clear" w:color="auto" w:fill="auto"/>
            <w:vAlign w:val="bottom"/>
          </w:tcPr>
          <w:p w14:paraId="6289F2B5"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3 083</w:t>
            </w:r>
          </w:p>
        </w:tc>
        <w:tc>
          <w:tcPr>
            <w:tcW w:w="1349" w:type="dxa"/>
            <w:shd w:val="clear" w:color="auto" w:fill="auto"/>
            <w:vAlign w:val="bottom"/>
          </w:tcPr>
          <w:p w14:paraId="6131010A" w14:textId="7E98A20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3,4</w:t>
            </w:r>
            <w:r w:rsidR="007C22DE">
              <w:rPr>
                <w:rFonts w:cs="Times New Roman"/>
                <w:sz w:val="18"/>
              </w:rPr>
              <w:t xml:space="preserve"> %</w:t>
            </w:r>
          </w:p>
        </w:tc>
        <w:tc>
          <w:tcPr>
            <w:tcW w:w="92" w:type="dxa"/>
          </w:tcPr>
          <w:p w14:paraId="1F2631CD"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3001BD11" w14:textId="455D161D"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Колоректальный рак </w:t>
            </w:r>
          </w:p>
        </w:tc>
        <w:tc>
          <w:tcPr>
            <w:tcW w:w="1358" w:type="dxa"/>
            <w:shd w:val="clear" w:color="auto" w:fill="auto"/>
            <w:vAlign w:val="bottom"/>
          </w:tcPr>
          <w:p w14:paraId="4DBF063F"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2 580</w:t>
            </w:r>
          </w:p>
        </w:tc>
        <w:tc>
          <w:tcPr>
            <w:tcW w:w="1358" w:type="dxa"/>
            <w:shd w:val="clear" w:color="auto" w:fill="auto"/>
            <w:vAlign w:val="bottom"/>
          </w:tcPr>
          <w:p w14:paraId="345F8D42" w14:textId="769CF4A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3,1</w:t>
            </w:r>
            <w:r w:rsidR="007C22DE">
              <w:rPr>
                <w:rFonts w:cs="Times New Roman"/>
                <w:sz w:val="18"/>
              </w:rPr>
              <w:t xml:space="preserve"> %</w:t>
            </w:r>
          </w:p>
        </w:tc>
      </w:tr>
      <w:tr w:rsidR="00E11789" w:rsidRPr="00E11789" w14:paraId="772991C1" w14:textId="77777777" w:rsidTr="00E11789">
        <w:tc>
          <w:tcPr>
            <w:tcW w:w="687" w:type="dxa"/>
            <w:shd w:val="clear" w:color="auto" w:fill="auto"/>
          </w:tcPr>
          <w:p w14:paraId="2D0EFEF5"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8</w:t>
            </w:r>
          </w:p>
        </w:tc>
        <w:tc>
          <w:tcPr>
            <w:tcW w:w="3895" w:type="dxa"/>
            <w:shd w:val="clear" w:color="auto" w:fill="auto"/>
            <w:vAlign w:val="bottom"/>
          </w:tcPr>
          <w:p w14:paraId="3357BECB"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Диабет</w:t>
            </w:r>
          </w:p>
        </w:tc>
        <w:tc>
          <w:tcPr>
            <w:tcW w:w="1349" w:type="dxa"/>
            <w:shd w:val="clear" w:color="auto" w:fill="auto"/>
            <w:vAlign w:val="bottom"/>
          </w:tcPr>
          <w:p w14:paraId="483F37A7"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2 953</w:t>
            </w:r>
          </w:p>
        </w:tc>
        <w:tc>
          <w:tcPr>
            <w:tcW w:w="1349" w:type="dxa"/>
            <w:shd w:val="clear" w:color="auto" w:fill="auto"/>
            <w:vAlign w:val="bottom"/>
          </w:tcPr>
          <w:p w14:paraId="3C46ED91" w14:textId="29D7A39F"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3,3</w:t>
            </w:r>
            <w:r w:rsidR="007C22DE">
              <w:rPr>
                <w:rFonts w:cs="Times New Roman"/>
                <w:sz w:val="18"/>
              </w:rPr>
              <w:t xml:space="preserve"> %</w:t>
            </w:r>
          </w:p>
        </w:tc>
        <w:tc>
          <w:tcPr>
            <w:tcW w:w="92" w:type="dxa"/>
          </w:tcPr>
          <w:p w14:paraId="26D3BC78"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08149CBC" w14:textId="17515918"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Диабет </w:t>
            </w:r>
          </w:p>
        </w:tc>
        <w:tc>
          <w:tcPr>
            <w:tcW w:w="1358" w:type="dxa"/>
            <w:shd w:val="clear" w:color="auto" w:fill="auto"/>
            <w:vAlign w:val="bottom"/>
          </w:tcPr>
          <w:p w14:paraId="19CD8F99"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2 451</w:t>
            </w:r>
          </w:p>
        </w:tc>
        <w:tc>
          <w:tcPr>
            <w:tcW w:w="1358" w:type="dxa"/>
            <w:shd w:val="clear" w:color="auto" w:fill="auto"/>
            <w:vAlign w:val="bottom"/>
          </w:tcPr>
          <w:p w14:paraId="7E0A9601" w14:textId="0FEDE61C"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2,9</w:t>
            </w:r>
            <w:r w:rsidR="007C22DE">
              <w:rPr>
                <w:rFonts w:cs="Times New Roman"/>
                <w:sz w:val="18"/>
              </w:rPr>
              <w:t xml:space="preserve"> %</w:t>
            </w:r>
          </w:p>
        </w:tc>
      </w:tr>
      <w:tr w:rsidR="00E11789" w:rsidRPr="00E11789" w14:paraId="5F80EC62" w14:textId="77777777" w:rsidTr="00E11789">
        <w:tc>
          <w:tcPr>
            <w:tcW w:w="687" w:type="dxa"/>
            <w:shd w:val="clear" w:color="auto" w:fill="auto"/>
          </w:tcPr>
          <w:p w14:paraId="10C9A0D0"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9</w:t>
            </w:r>
          </w:p>
        </w:tc>
        <w:tc>
          <w:tcPr>
            <w:tcW w:w="3895" w:type="dxa"/>
            <w:shd w:val="clear" w:color="auto" w:fill="auto"/>
            <w:vAlign w:val="bottom"/>
          </w:tcPr>
          <w:p w14:paraId="222AFD3E"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Колоректальный рак </w:t>
            </w:r>
          </w:p>
        </w:tc>
        <w:tc>
          <w:tcPr>
            <w:tcW w:w="1349" w:type="dxa"/>
            <w:shd w:val="clear" w:color="auto" w:fill="auto"/>
            <w:vAlign w:val="bottom"/>
          </w:tcPr>
          <w:p w14:paraId="6641F768"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2 893</w:t>
            </w:r>
          </w:p>
        </w:tc>
        <w:tc>
          <w:tcPr>
            <w:tcW w:w="1349" w:type="dxa"/>
            <w:shd w:val="clear" w:color="auto" w:fill="auto"/>
            <w:vAlign w:val="bottom"/>
          </w:tcPr>
          <w:p w14:paraId="0BBD405A" w14:textId="30883CDC"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3,2</w:t>
            </w:r>
            <w:r w:rsidR="007C22DE">
              <w:rPr>
                <w:rFonts w:cs="Times New Roman"/>
                <w:sz w:val="18"/>
              </w:rPr>
              <w:t xml:space="preserve"> %</w:t>
            </w:r>
          </w:p>
        </w:tc>
        <w:tc>
          <w:tcPr>
            <w:tcW w:w="92" w:type="dxa"/>
          </w:tcPr>
          <w:p w14:paraId="1A6C9756" w14:textId="77777777" w:rsidR="00E11789" w:rsidRPr="00E11789" w:rsidRDefault="00E11789" w:rsidP="00E11789">
            <w:pPr>
              <w:spacing w:before="40" w:after="40" w:line="220" w:lineRule="exact"/>
              <w:ind w:left="28" w:right="28"/>
              <w:jc w:val="right"/>
              <w:rPr>
                <w:rFonts w:cs="Times New Roman"/>
                <w:sz w:val="18"/>
              </w:rPr>
            </w:pPr>
          </w:p>
        </w:tc>
        <w:tc>
          <w:tcPr>
            <w:tcW w:w="3780" w:type="dxa"/>
            <w:shd w:val="clear" w:color="auto" w:fill="auto"/>
            <w:vAlign w:val="bottom"/>
          </w:tcPr>
          <w:p w14:paraId="765A81ED" w14:textId="23F21DC3" w:rsidR="00E11789" w:rsidRPr="00E11789" w:rsidRDefault="00E11789" w:rsidP="007C22DE">
            <w:pPr>
              <w:spacing w:before="40" w:after="40" w:line="220" w:lineRule="exact"/>
              <w:ind w:left="28" w:right="28"/>
              <w:rPr>
                <w:rFonts w:cs="Times New Roman"/>
                <w:sz w:val="18"/>
              </w:rPr>
            </w:pPr>
            <w:r w:rsidRPr="00E11789">
              <w:rPr>
                <w:rFonts w:cs="Times New Roman"/>
                <w:sz w:val="18"/>
              </w:rPr>
              <w:t>Заболевания мочевыделительной системы</w:t>
            </w:r>
          </w:p>
        </w:tc>
        <w:tc>
          <w:tcPr>
            <w:tcW w:w="1358" w:type="dxa"/>
            <w:shd w:val="clear" w:color="auto" w:fill="auto"/>
            <w:vAlign w:val="bottom"/>
          </w:tcPr>
          <w:p w14:paraId="09375B02"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2 319</w:t>
            </w:r>
          </w:p>
        </w:tc>
        <w:tc>
          <w:tcPr>
            <w:tcW w:w="1358" w:type="dxa"/>
            <w:shd w:val="clear" w:color="auto" w:fill="auto"/>
            <w:vAlign w:val="bottom"/>
          </w:tcPr>
          <w:p w14:paraId="2BAB2396" w14:textId="368EC7C3"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2,8</w:t>
            </w:r>
            <w:r w:rsidR="007C22DE">
              <w:rPr>
                <w:rFonts w:cs="Times New Roman"/>
                <w:sz w:val="18"/>
              </w:rPr>
              <w:t xml:space="preserve"> %</w:t>
            </w:r>
          </w:p>
        </w:tc>
      </w:tr>
      <w:tr w:rsidR="00E11789" w:rsidRPr="00E11789" w14:paraId="4D70E261" w14:textId="77777777" w:rsidTr="00E11789">
        <w:tc>
          <w:tcPr>
            <w:tcW w:w="687" w:type="dxa"/>
            <w:tcBorders>
              <w:bottom w:val="single" w:sz="12" w:space="0" w:color="auto"/>
            </w:tcBorders>
            <w:shd w:val="clear" w:color="auto" w:fill="auto"/>
          </w:tcPr>
          <w:p w14:paraId="6FF962F6"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10</w:t>
            </w:r>
          </w:p>
        </w:tc>
        <w:tc>
          <w:tcPr>
            <w:tcW w:w="3895" w:type="dxa"/>
            <w:tcBorders>
              <w:bottom w:val="single" w:sz="12" w:space="0" w:color="auto"/>
            </w:tcBorders>
            <w:shd w:val="clear" w:color="auto" w:fill="auto"/>
            <w:vAlign w:val="bottom"/>
          </w:tcPr>
          <w:p w14:paraId="4D565EC5" w14:textId="77777777" w:rsidR="00E11789" w:rsidRPr="00E11789" w:rsidRDefault="00E11789" w:rsidP="007C22DE">
            <w:pPr>
              <w:spacing w:before="40" w:after="40" w:line="220" w:lineRule="exact"/>
              <w:ind w:left="28" w:right="28"/>
              <w:rPr>
                <w:rFonts w:cs="Times New Roman"/>
                <w:sz w:val="18"/>
              </w:rPr>
            </w:pPr>
            <w:r w:rsidRPr="00E11789">
              <w:rPr>
                <w:rFonts w:cs="Times New Roman"/>
                <w:sz w:val="18"/>
              </w:rPr>
              <w:t xml:space="preserve">Суицид </w:t>
            </w:r>
          </w:p>
        </w:tc>
        <w:tc>
          <w:tcPr>
            <w:tcW w:w="1349" w:type="dxa"/>
            <w:tcBorders>
              <w:bottom w:val="single" w:sz="12" w:space="0" w:color="auto"/>
            </w:tcBorders>
            <w:shd w:val="clear" w:color="auto" w:fill="auto"/>
            <w:vAlign w:val="bottom"/>
          </w:tcPr>
          <w:p w14:paraId="057E7886"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2 358</w:t>
            </w:r>
          </w:p>
        </w:tc>
        <w:tc>
          <w:tcPr>
            <w:tcW w:w="1349" w:type="dxa"/>
            <w:tcBorders>
              <w:bottom w:val="single" w:sz="12" w:space="0" w:color="auto"/>
            </w:tcBorders>
            <w:shd w:val="clear" w:color="auto" w:fill="auto"/>
            <w:vAlign w:val="bottom"/>
          </w:tcPr>
          <w:p w14:paraId="5FE24EB2" w14:textId="6C9FD63B"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2,6</w:t>
            </w:r>
            <w:r w:rsidR="007C22DE">
              <w:rPr>
                <w:rFonts w:cs="Times New Roman"/>
                <w:sz w:val="18"/>
              </w:rPr>
              <w:t xml:space="preserve"> %</w:t>
            </w:r>
          </w:p>
        </w:tc>
        <w:tc>
          <w:tcPr>
            <w:tcW w:w="92" w:type="dxa"/>
            <w:tcBorders>
              <w:bottom w:val="single" w:sz="12" w:space="0" w:color="auto"/>
            </w:tcBorders>
          </w:tcPr>
          <w:p w14:paraId="54E840D5" w14:textId="77777777" w:rsidR="00E11789" w:rsidRPr="00E11789" w:rsidRDefault="00E11789" w:rsidP="00E11789">
            <w:pPr>
              <w:spacing w:before="40" w:after="40" w:line="220" w:lineRule="exact"/>
              <w:ind w:left="28" w:right="28"/>
              <w:jc w:val="right"/>
              <w:rPr>
                <w:rFonts w:cs="Times New Roman"/>
                <w:sz w:val="18"/>
              </w:rPr>
            </w:pPr>
          </w:p>
        </w:tc>
        <w:tc>
          <w:tcPr>
            <w:tcW w:w="3780" w:type="dxa"/>
            <w:tcBorders>
              <w:bottom w:val="single" w:sz="12" w:space="0" w:color="auto"/>
            </w:tcBorders>
            <w:shd w:val="clear" w:color="auto" w:fill="auto"/>
            <w:vAlign w:val="bottom"/>
          </w:tcPr>
          <w:p w14:paraId="07F1EE57" w14:textId="52F67B62" w:rsidR="00E11789" w:rsidRPr="00E11789" w:rsidRDefault="00E11789" w:rsidP="007C22DE">
            <w:pPr>
              <w:spacing w:before="40" w:after="40" w:line="220" w:lineRule="exact"/>
              <w:ind w:left="28" w:right="28"/>
              <w:rPr>
                <w:rFonts w:cs="Times New Roman"/>
                <w:sz w:val="18"/>
              </w:rPr>
            </w:pPr>
            <w:r w:rsidRPr="00E11789">
              <w:rPr>
                <w:rFonts w:cs="Times New Roman"/>
                <w:sz w:val="18"/>
              </w:rPr>
              <w:t>Сердечные заболевания</w:t>
            </w:r>
          </w:p>
        </w:tc>
        <w:tc>
          <w:tcPr>
            <w:tcW w:w="1358" w:type="dxa"/>
            <w:tcBorders>
              <w:bottom w:val="single" w:sz="12" w:space="0" w:color="auto"/>
            </w:tcBorders>
            <w:shd w:val="clear" w:color="auto" w:fill="auto"/>
            <w:vAlign w:val="bottom"/>
          </w:tcPr>
          <w:p w14:paraId="675133C1" w14:textId="7777777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2 022</w:t>
            </w:r>
          </w:p>
        </w:tc>
        <w:tc>
          <w:tcPr>
            <w:tcW w:w="1358" w:type="dxa"/>
            <w:tcBorders>
              <w:bottom w:val="single" w:sz="12" w:space="0" w:color="auto"/>
            </w:tcBorders>
            <w:shd w:val="clear" w:color="auto" w:fill="auto"/>
            <w:vAlign w:val="bottom"/>
          </w:tcPr>
          <w:p w14:paraId="313B5D23" w14:textId="21A140D0"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2,5</w:t>
            </w:r>
            <w:r w:rsidR="007C22DE">
              <w:rPr>
                <w:rFonts w:cs="Times New Roman"/>
                <w:sz w:val="18"/>
              </w:rPr>
              <w:t xml:space="preserve"> %</w:t>
            </w:r>
          </w:p>
        </w:tc>
      </w:tr>
    </w:tbl>
    <w:p w14:paraId="7EA974D5" w14:textId="77777777" w:rsidR="00026474" w:rsidRPr="00E11789" w:rsidRDefault="00026474" w:rsidP="00E11789">
      <w:pPr>
        <w:spacing w:before="120" w:after="240"/>
        <w:ind w:left="142" w:right="1134" w:firstLine="284"/>
        <w:rPr>
          <w:sz w:val="18"/>
          <w:szCs w:val="18"/>
        </w:rPr>
      </w:pPr>
      <w:r w:rsidRPr="00E11789">
        <w:rPr>
          <w:i/>
          <w:iCs/>
          <w:sz w:val="18"/>
          <w:szCs w:val="18"/>
        </w:rPr>
        <w:t>Источник</w:t>
      </w:r>
      <w:r w:rsidRPr="00E11789">
        <w:rPr>
          <w:sz w:val="18"/>
          <w:szCs w:val="18"/>
        </w:rPr>
        <w:t>: Австралийское бюро статистики, 3303.0 — причины смертей, Австралия, 2021 год.</w:t>
      </w:r>
    </w:p>
    <w:p w14:paraId="3041164F" w14:textId="77777777" w:rsidR="00E0204C" w:rsidRDefault="00E0204C" w:rsidP="00026474">
      <w:pPr>
        <w:rPr>
          <w:rFonts w:eastAsia="Times New Roman" w:cs="Times New Roman"/>
          <w:szCs w:val="20"/>
          <w:lang w:eastAsia="ru-RU"/>
        </w:rPr>
        <w:sectPr w:rsidR="00E0204C" w:rsidSect="00026474">
          <w:headerReference w:type="even" r:id="rId36"/>
          <w:headerReference w:type="default" r:id="rId37"/>
          <w:footerReference w:type="even" r:id="rId38"/>
          <w:footerReference w:type="default" r:id="rId39"/>
          <w:endnotePr>
            <w:numFmt w:val="decimal"/>
          </w:endnotePr>
          <w:pgSz w:w="16838" w:h="11906" w:orient="landscape" w:code="9"/>
          <w:pgMar w:top="1134" w:right="1417" w:bottom="1134" w:left="1134" w:header="567" w:footer="567" w:gutter="0"/>
          <w:cols w:space="708"/>
          <w:docGrid w:linePitch="360"/>
        </w:sectPr>
      </w:pPr>
    </w:p>
    <w:p w14:paraId="395737E6" w14:textId="4240307F" w:rsidR="00E0204C" w:rsidRPr="008F3942" w:rsidRDefault="00E11789" w:rsidP="00E11789">
      <w:pPr>
        <w:pStyle w:val="H23G"/>
        <w:rPr>
          <w:bCs/>
        </w:rPr>
      </w:pPr>
      <w:r>
        <w:lastRenderedPageBreak/>
        <w:tab/>
      </w:r>
      <w:r>
        <w:tab/>
      </w:r>
      <w:r w:rsidR="00E0204C" w:rsidRPr="00E11789">
        <w:rPr>
          <w:b w:val="0"/>
          <w:bCs/>
        </w:rPr>
        <w:t>Рис. A1</w:t>
      </w:r>
      <w:r w:rsidRPr="00E11789">
        <w:rPr>
          <w:b w:val="0"/>
          <w:bCs/>
        </w:rPr>
        <w:br/>
      </w:r>
      <w:r w:rsidR="00E0204C">
        <w:rPr>
          <w:bCs/>
        </w:rPr>
        <w:t xml:space="preserve">Главные причины заболеваемости (годы жизни с поправкой на инвалидность, на тысячу человек, в процентах от общей численности возрастной группы) </w:t>
      </w:r>
      <w:r w:rsidR="007C22DE">
        <w:rPr>
          <w:bCs/>
        </w:rPr>
        <w:br/>
      </w:r>
      <w:r w:rsidR="00E0204C">
        <w:rPr>
          <w:bCs/>
        </w:rPr>
        <w:t>с разбивкой по полу и возрастным группам, Австралия, 2022 год</w:t>
      </w:r>
    </w:p>
    <w:p w14:paraId="1AEFA631" w14:textId="77777777" w:rsidR="00E0204C" w:rsidRDefault="00E0204C" w:rsidP="00E0204C">
      <w:pPr>
        <w:jc w:val="center"/>
        <w:rPr>
          <w:color w:val="000000" w:themeColor="text1"/>
        </w:rPr>
      </w:pPr>
      <w:r w:rsidRPr="00D62FAA">
        <w:rPr>
          <w:noProof/>
          <w:color w:val="000000" w:themeColor="text1"/>
        </w:rPr>
        <w:drawing>
          <wp:inline distT="0" distB="0" distL="0" distR="0" wp14:anchorId="749F60FD" wp14:editId="2158B489">
            <wp:extent cx="5732145" cy="5499735"/>
            <wp:effectExtent l="0" t="0" r="1905" b="5715"/>
            <wp:docPr id="1585595077" name="Picture 1585595077" descr="A table of information with different colored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595077" name="Picture 1585595077" descr="A table of information with different colored squares&#10;&#10;Description automatically generated with medium confidence"/>
                    <pic:cNvPicPr/>
                  </pic:nvPicPr>
                  <pic:blipFill>
                    <a:blip r:embed="rId40"/>
                    <a:stretch>
                      <a:fillRect/>
                    </a:stretch>
                  </pic:blipFill>
                  <pic:spPr>
                    <a:xfrm>
                      <a:off x="0" y="0"/>
                      <a:ext cx="5732145" cy="5499735"/>
                    </a:xfrm>
                    <a:prstGeom prst="rect">
                      <a:avLst/>
                    </a:prstGeom>
                  </pic:spPr>
                </pic:pic>
              </a:graphicData>
            </a:graphic>
          </wp:inline>
        </w:drawing>
      </w:r>
    </w:p>
    <w:p w14:paraId="1247F2C2" w14:textId="69A3AE3F" w:rsidR="00E0204C" w:rsidRPr="00E11789" w:rsidRDefault="00E0204C" w:rsidP="00E11789">
      <w:pPr>
        <w:pStyle w:val="SingleTxtG"/>
        <w:spacing w:before="120" w:after="0" w:line="220" w:lineRule="exact"/>
        <w:ind w:firstLine="142"/>
        <w:jc w:val="left"/>
        <w:rPr>
          <w:sz w:val="18"/>
          <w:szCs w:val="18"/>
        </w:rPr>
      </w:pPr>
      <w:r w:rsidRPr="00E11789">
        <w:rPr>
          <w:sz w:val="18"/>
          <w:szCs w:val="18"/>
        </w:rPr>
        <w:t>LBW: низкая масса тела при рождении; RTI: дорожно-транспортное происшествие; COPD: хроническая обструктивная болезнь легких; SIDS: синдром внезапной смерти младенца</w:t>
      </w:r>
      <w:r w:rsidR="007C22DE">
        <w:rPr>
          <w:sz w:val="18"/>
          <w:szCs w:val="18"/>
        </w:rPr>
        <w:t>.</w:t>
      </w:r>
    </w:p>
    <w:p w14:paraId="6D38C155" w14:textId="3391562C" w:rsidR="00E0204C" w:rsidRPr="00E11789" w:rsidRDefault="00E0204C" w:rsidP="00E11789">
      <w:pPr>
        <w:pStyle w:val="SingleTxtG"/>
        <w:spacing w:after="0" w:line="220" w:lineRule="exact"/>
        <w:ind w:firstLine="142"/>
        <w:jc w:val="left"/>
        <w:rPr>
          <w:sz w:val="18"/>
          <w:szCs w:val="18"/>
        </w:rPr>
      </w:pPr>
      <w:r w:rsidRPr="00E11789">
        <w:rPr>
          <w:sz w:val="18"/>
          <w:szCs w:val="18"/>
        </w:rPr>
        <w:t xml:space="preserve">Ранжирование заболеваний исключает «другие» остаточные состояния из каждой группы заболеваний, например «другие патологии опорно-двигательного аппарата». </w:t>
      </w:r>
    </w:p>
    <w:p w14:paraId="355DD74F" w14:textId="21DE6B1A" w:rsidR="00E0204C" w:rsidRPr="00E11789" w:rsidRDefault="00E0204C" w:rsidP="00E11789">
      <w:pPr>
        <w:pStyle w:val="SingleTxtG"/>
        <w:spacing w:after="0" w:line="220" w:lineRule="exact"/>
        <w:ind w:firstLine="142"/>
        <w:jc w:val="left"/>
        <w:rPr>
          <w:sz w:val="18"/>
          <w:szCs w:val="18"/>
        </w:rPr>
      </w:pPr>
      <w:r w:rsidRPr="00E11789">
        <w:rPr>
          <w:i/>
          <w:iCs/>
          <w:sz w:val="18"/>
          <w:szCs w:val="18"/>
        </w:rPr>
        <w:t>Источник</w:t>
      </w:r>
      <w:r w:rsidRPr="00E11789">
        <w:rPr>
          <w:sz w:val="18"/>
          <w:szCs w:val="18"/>
        </w:rPr>
        <w:t xml:space="preserve">: </w:t>
      </w:r>
      <w:r w:rsidR="00E11789">
        <w:rPr>
          <w:sz w:val="18"/>
          <w:szCs w:val="18"/>
        </w:rPr>
        <w:t>К</w:t>
      </w:r>
      <w:r w:rsidRPr="00E11789">
        <w:rPr>
          <w:sz w:val="18"/>
          <w:szCs w:val="18"/>
        </w:rPr>
        <w:t xml:space="preserve">раткий доклад за 2022 год. Австралийское исследование причин заболеваемости № 37, 2022 год. </w:t>
      </w:r>
    </w:p>
    <w:p w14:paraId="6C19CE3C" w14:textId="77777777" w:rsidR="00E0204C" w:rsidRPr="008F3942" w:rsidRDefault="00E0204C" w:rsidP="00E0204C">
      <w:pPr>
        <w:pStyle w:val="SingleTxtG"/>
      </w:pPr>
      <w:r w:rsidRPr="008F3942">
        <w:br w:type="page"/>
      </w:r>
    </w:p>
    <w:p w14:paraId="3509BA26" w14:textId="3FE4817C" w:rsidR="00E0204C" w:rsidRPr="008F3942" w:rsidRDefault="00E11789" w:rsidP="00E0204C">
      <w:pPr>
        <w:pStyle w:val="H1G"/>
      </w:pPr>
      <w:r>
        <w:lastRenderedPageBreak/>
        <w:tab/>
      </w:r>
      <w:r w:rsidR="00E0204C">
        <w:t>B.</w:t>
      </w:r>
      <w:r w:rsidR="00E0204C">
        <w:tab/>
        <w:t xml:space="preserve">Конституционная, политическая и правовая структура </w:t>
      </w:r>
      <w:bookmarkStart w:id="54" w:name="_Toc167980152"/>
      <w:bookmarkEnd w:id="54"/>
    </w:p>
    <w:p w14:paraId="4B310C56" w14:textId="76255E1C" w:rsidR="00E0204C" w:rsidRPr="008F3942" w:rsidRDefault="00E11789" w:rsidP="00E11789">
      <w:pPr>
        <w:pStyle w:val="H23G"/>
        <w:rPr>
          <w:bCs/>
        </w:rPr>
      </w:pPr>
      <w:r>
        <w:tab/>
      </w:r>
      <w:r>
        <w:tab/>
      </w:r>
      <w:r w:rsidRPr="00E11789">
        <w:rPr>
          <w:b w:val="0"/>
          <w:bCs/>
        </w:rPr>
        <w:tab/>
      </w:r>
      <w:r w:rsidR="00E0204C" w:rsidRPr="00E11789">
        <w:rPr>
          <w:b w:val="0"/>
          <w:bCs/>
        </w:rPr>
        <w:t>Таблица B1</w:t>
      </w:r>
      <w:r>
        <w:rPr>
          <w:b w:val="0"/>
          <w:bCs/>
        </w:rPr>
        <w:br/>
      </w:r>
      <w:r w:rsidR="00E0204C">
        <w:rPr>
          <w:bCs/>
        </w:rPr>
        <w:t>Сводные статистические данные в отношении федеральных выборов, Австралия, 2010–2022 годы</w:t>
      </w:r>
    </w:p>
    <w:tbl>
      <w:tblPr>
        <w:tblW w:w="7402" w:type="dxa"/>
        <w:tblInd w:w="1134" w:type="dxa"/>
        <w:tblLayout w:type="fixed"/>
        <w:tblCellMar>
          <w:left w:w="0" w:type="dxa"/>
          <w:right w:w="0" w:type="dxa"/>
        </w:tblCellMar>
        <w:tblLook w:val="04A0" w:firstRow="1" w:lastRow="0" w:firstColumn="1" w:lastColumn="0" w:noHBand="0" w:noVBand="1"/>
      </w:tblPr>
      <w:tblGrid>
        <w:gridCol w:w="1168"/>
        <w:gridCol w:w="1501"/>
        <w:gridCol w:w="1442"/>
        <w:gridCol w:w="165"/>
        <w:gridCol w:w="1502"/>
        <w:gridCol w:w="1624"/>
      </w:tblGrid>
      <w:tr w:rsidR="00E11789" w:rsidRPr="00E11789" w14:paraId="2BDE4CD9" w14:textId="77777777" w:rsidTr="007C22DE">
        <w:tc>
          <w:tcPr>
            <w:tcW w:w="1168" w:type="dxa"/>
            <w:vMerge w:val="restart"/>
            <w:tcBorders>
              <w:top w:val="single" w:sz="4" w:space="0" w:color="auto"/>
              <w:bottom w:val="single" w:sz="12" w:space="0" w:color="auto"/>
            </w:tcBorders>
            <w:shd w:val="clear" w:color="auto" w:fill="auto"/>
            <w:vAlign w:val="bottom"/>
          </w:tcPr>
          <w:p w14:paraId="33B31D6E" w14:textId="77777777" w:rsidR="00E11789" w:rsidRPr="00A13ABC" w:rsidRDefault="00E11789" w:rsidP="00E11789">
            <w:pPr>
              <w:spacing w:before="80" w:after="80" w:line="200" w:lineRule="exact"/>
              <w:ind w:left="28"/>
              <w:rPr>
                <w:rFonts w:cs="Times New Roman"/>
                <w:i/>
                <w:iCs/>
                <w:sz w:val="16"/>
              </w:rPr>
            </w:pPr>
            <w:r w:rsidRPr="00A13ABC">
              <w:rPr>
                <w:rFonts w:cs="Times New Roman"/>
                <w:i/>
                <w:iCs/>
                <w:sz w:val="16"/>
              </w:rPr>
              <w:t>Год</w:t>
            </w:r>
          </w:p>
        </w:tc>
        <w:tc>
          <w:tcPr>
            <w:tcW w:w="2943" w:type="dxa"/>
            <w:gridSpan w:val="2"/>
            <w:tcBorders>
              <w:top w:val="single" w:sz="4" w:space="0" w:color="auto"/>
              <w:bottom w:val="single" w:sz="4" w:space="0" w:color="auto"/>
            </w:tcBorders>
            <w:shd w:val="clear" w:color="auto" w:fill="auto"/>
            <w:vAlign w:val="bottom"/>
          </w:tcPr>
          <w:p w14:paraId="797CC4CC" w14:textId="77777777" w:rsidR="00E11789" w:rsidRPr="00A13ABC" w:rsidRDefault="00E11789" w:rsidP="00A13ABC">
            <w:pPr>
              <w:spacing w:before="80" w:after="80" w:line="200" w:lineRule="exact"/>
              <w:ind w:left="28"/>
              <w:jc w:val="center"/>
              <w:rPr>
                <w:rFonts w:cs="Times New Roman"/>
                <w:i/>
                <w:iCs/>
                <w:sz w:val="16"/>
              </w:rPr>
            </w:pPr>
            <w:r w:rsidRPr="00A13ABC">
              <w:rPr>
                <w:rFonts w:cs="Times New Roman"/>
                <w:i/>
                <w:iCs/>
                <w:sz w:val="16"/>
              </w:rPr>
              <w:t>Палата представителей</w:t>
            </w:r>
          </w:p>
        </w:tc>
        <w:tc>
          <w:tcPr>
            <w:tcW w:w="165" w:type="dxa"/>
            <w:tcBorders>
              <w:top w:val="single" w:sz="4" w:space="0" w:color="auto"/>
            </w:tcBorders>
          </w:tcPr>
          <w:p w14:paraId="72ADCB19" w14:textId="77777777" w:rsidR="00E11789" w:rsidRPr="00A13ABC" w:rsidRDefault="00E11789" w:rsidP="00A13ABC">
            <w:pPr>
              <w:spacing w:before="80" w:after="80" w:line="200" w:lineRule="exact"/>
              <w:ind w:left="28"/>
              <w:jc w:val="center"/>
              <w:rPr>
                <w:rFonts w:cs="Times New Roman"/>
                <w:i/>
                <w:iCs/>
                <w:sz w:val="16"/>
              </w:rPr>
            </w:pPr>
          </w:p>
        </w:tc>
        <w:tc>
          <w:tcPr>
            <w:tcW w:w="3126" w:type="dxa"/>
            <w:gridSpan w:val="2"/>
            <w:tcBorders>
              <w:top w:val="single" w:sz="4" w:space="0" w:color="auto"/>
              <w:bottom w:val="single" w:sz="4" w:space="0" w:color="auto"/>
            </w:tcBorders>
            <w:shd w:val="clear" w:color="auto" w:fill="auto"/>
            <w:vAlign w:val="bottom"/>
          </w:tcPr>
          <w:p w14:paraId="4296BD05" w14:textId="2FEEAE9F" w:rsidR="00E11789" w:rsidRPr="00A13ABC" w:rsidRDefault="00E11789" w:rsidP="007C22DE">
            <w:pPr>
              <w:spacing w:before="80" w:after="80" w:line="200" w:lineRule="exact"/>
              <w:ind w:left="257"/>
              <w:jc w:val="center"/>
              <w:rPr>
                <w:rFonts w:cs="Times New Roman"/>
                <w:i/>
                <w:iCs/>
                <w:sz w:val="16"/>
              </w:rPr>
            </w:pPr>
            <w:r w:rsidRPr="00A13ABC">
              <w:rPr>
                <w:rFonts w:cs="Times New Roman"/>
                <w:i/>
                <w:iCs/>
                <w:sz w:val="16"/>
              </w:rPr>
              <w:t>Сенат</w:t>
            </w:r>
          </w:p>
        </w:tc>
      </w:tr>
      <w:tr w:rsidR="00E11789" w:rsidRPr="00E11789" w14:paraId="6EFE1FA8" w14:textId="77777777" w:rsidTr="007C22DE">
        <w:tc>
          <w:tcPr>
            <w:tcW w:w="1168" w:type="dxa"/>
            <w:vMerge/>
            <w:tcBorders>
              <w:top w:val="single" w:sz="12" w:space="0" w:color="auto"/>
              <w:bottom w:val="single" w:sz="12" w:space="0" w:color="auto"/>
            </w:tcBorders>
            <w:shd w:val="clear" w:color="auto" w:fill="auto"/>
            <w:vAlign w:val="bottom"/>
          </w:tcPr>
          <w:p w14:paraId="0A36E71E" w14:textId="77777777" w:rsidR="00E11789" w:rsidRPr="00A13ABC" w:rsidRDefault="00E11789" w:rsidP="00E11789">
            <w:pPr>
              <w:spacing w:before="80" w:after="80" w:line="200" w:lineRule="exact"/>
              <w:ind w:left="28"/>
              <w:rPr>
                <w:rFonts w:cs="Times New Roman"/>
                <w:i/>
                <w:iCs/>
                <w:sz w:val="16"/>
              </w:rPr>
            </w:pPr>
          </w:p>
        </w:tc>
        <w:tc>
          <w:tcPr>
            <w:tcW w:w="1501" w:type="dxa"/>
            <w:tcBorders>
              <w:top w:val="single" w:sz="4" w:space="0" w:color="auto"/>
              <w:bottom w:val="single" w:sz="12" w:space="0" w:color="auto"/>
            </w:tcBorders>
            <w:shd w:val="clear" w:color="auto" w:fill="auto"/>
            <w:vAlign w:val="bottom"/>
          </w:tcPr>
          <w:p w14:paraId="774D2BE8" w14:textId="77777777" w:rsidR="00E11789" w:rsidRPr="00A13ABC" w:rsidRDefault="00E11789" w:rsidP="00E11789">
            <w:pPr>
              <w:spacing w:before="80" w:after="80" w:line="200" w:lineRule="exact"/>
              <w:ind w:left="28"/>
              <w:jc w:val="right"/>
              <w:rPr>
                <w:rFonts w:cs="Times New Roman"/>
                <w:i/>
                <w:iCs/>
                <w:sz w:val="16"/>
              </w:rPr>
            </w:pPr>
            <w:r w:rsidRPr="00A13ABC">
              <w:rPr>
                <w:rFonts w:cs="Times New Roman"/>
                <w:i/>
                <w:iCs/>
                <w:sz w:val="16"/>
              </w:rPr>
              <w:t>Явка</w:t>
            </w:r>
          </w:p>
        </w:tc>
        <w:tc>
          <w:tcPr>
            <w:tcW w:w="1442" w:type="dxa"/>
            <w:tcBorders>
              <w:top w:val="single" w:sz="4" w:space="0" w:color="auto"/>
              <w:bottom w:val="single" w:sz="12" w:space="0" w:color="auto"/>
            </w:tcBorders>
            <w:shd w:val="clear" w:color="auto" w:fill="auto"/>
            <w:vAlign w:val="bottom"/>
          </w:tcPr>
          <w:p w14:paraId="669A6475" w14:textId="77777777" w:rsidR="00E11789" w:rsidRPr="00A13ABC" w:rsidRDefault="00E11789" w:rsidP="00E11789">
            <w:pPr>
              <w:spacing w:before="80" w:after="80" w:line="200" w:lineRule="exact"/>
              <w:ind w:left="28"/>
              <w:jc w:val="right"/>
              <w:rPr>
                <w:rFonts w:cs="Times New Roman"/>
                <w:i/>
                <w:iCs/>
                <w:sz w:val="16"/>
              </w:rPr>
            </w:pPr>
            <w:r w:rsidRPr="00A13ABC">
              <w:rPr>
                <w:rFonts w:cs="Times New Roman"/>
                <w:i/>
                <w:iCs/>
                <w:sz w:val="16"/>
              </w:rPr>
              <w:t>Доля недействительных бюллетеней*</w:t>
            </w:r>
          </w:p>
        </w:tc>
        <w:tc>
          <w:tcPr>
            <w:tcW w:w="165" w:type="dxa"/>
            <w:tcBorders>
              <w:bottom w:val="single" w:sz="12" w:space="0" w:color="auto"/>
            </w:tcBorders>
          </w:tcPr>
          <w:p w14:paraId="3759B09E" w14:textId="77777777" w:rsidR="00E11789" w:rsidRPr="00A13ABC" w:rsidRDefault="00E11789" w:rsidP="00E11789">
            <w:pPr>
              <w:spacing w:before="80" w:after="80" w:line="200" w:lineRule="exact"/>
              <w:ind w:left="28"/>
              <w:jc w:val="right"/>
              <w:rPr>
                <w:rFonts w:cs="Times New Roman"/>
                <w:i/>
                <w:iCs/>
                <w:sz w:val="16"/>
              </w:rPr>
            </w:pPr>
          </w:p>
        </w:tc>
        <w:tc>
          <w:tcPr>
            <w:tcW w:w="1502" w:type="dxa"/>
            <w:tcBorders>
              <w:top w:val="single" w:sz="4" w:space="0" w:color="auto"/>
              <w:bottom w:val="single" w:sz="12" w:space="0" w:color="auto"/>
            </w:tcBorders>
            <w:shd w:val="clear" w:color="auto" w:fill="auto"/>
            <w:vAlign w:val="bottom"/>
          </w:tcPr>
          <w:p w14:paraId="4C0CBC09" w14:textId="105566E9" w:rsidR="00E11789" w:rsidRPr="00A13ABC" w:rsidRDefault="00E11789" w:rsidP="00E11789">
            <w:pPr>
              <w:spacing w:before="80" w:after="80" w:line="200" w:lineRule="exact"/>
              <w:ind w:left="28"/>
              <w:jc w:val="right"/>
              <w:rPr>
                <w:rFonts w:cs="Times New Roman"/>
                <w:i/>
                <w:iCs/>
                <w:sz w:val="16"/>
              </w:rPr>
            </w:pPr>
            <w:r w:rsidRPr="00A13ABC">
              <w:rPr>
                <w:rFonts w:cs="Times New Roman"/>
                <w:i/>
                <w:iCs/>
                <w:sz w:val="16"/>
              </w:rPr>
              <w:t xml:space="preserve">Явка </w:t>
            </w:r>
          </w:p>
        </w:tc>
        <w:tc>
          <w:tcPr>
            <w:tcW w:w="1624" w:type="dxa"/>
            <w:tcBorders>
              <w:top w:val="single" w:sz="4" w:space="0" w:color="auto"/>
              <w:bottom w:val="single" w:sz="12" w:space="0" w:color="auto"/>
            </w:tcBorders>
            <w:shd w:val="clear" w:color="auto" w:fill="auto"/>
            <w:vAlign w:val="bottom"/>
          </w:tcPr>
          <w:p w14:paraId="1F9695D0" w14:textId="77777777" w:rsidR="00E11789" w:rsidRPr="00A13ABC" w:rsidRDefault="00E11789" w:rsidP="00E11789">
            <w:pPr>
              <w:spacing w:before="80" w:after="80" w:line="200" w:lineRule="exact"/>
              <w:ind w:left="28"/>
              <w:jc w:val="right"/>
              <w:rPr>
                <w:rFonts w:cs="Times New Roman"/>
                <w:i/>
                <w:iCs/>
                <w:sz w:val="16"/>
              </w:rPr>
            </w:pPr>
            <w:r w:rsidRPr="00A13ABC">
              <w:rPr>
                <w:rFonts w:cs="Times New Roman"/>
                <w:i/>
                <w:iCs/>
                <w:sz w:val="16"/>
              </w:rPr>
              <w:t>Доля недействительных бюллетеней*</w:t>
            </w:r>
          </w:p>
        </w:tc>
      </w:tr>
      <w:tr w:rsidR="00E11789" w:rsidRPr="00E11789" w14:paraId="478262B3" w14:textId="77777777" w:rsidTr="007C22DE">
        <w:tc>
          <w:tcPr>
            <w:tcW w:w="1168" w:type="dxa"/>
            <w:tcBorders>
              <w:top w:val="single" w:sz="12" w:space="0" w:color="auto"/>
            </w:tcBorders>
            <w:shd w:val="clear" w:color="auto" w:fill="auto"/>
          </w:tcPr>
          <w:p w14:paraId="26115ABB"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2010</w:t>
            </w:r>
          </w:p>
        </w:tc>
        <w:tc>
          <w:tcPr>
            <w:tcW w:w="1501" w:type="dxa"/>
            <w:tcBorders>
              <w:top w:val="single" w:sz="12" w:space="0" w:color="auto"/>
            </w:tcBorders>
            <w:shd w:val="clear" w:color="auto" w:fill="auto"/>
            <w:vAlign w:val="bottom"/>
          </w:tcPr>
          <w:p w14:paraId="02D28497" w14:textId="61CEB0D6"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93,2</w:t>
            </w:r>
            <w:r w:rsidR="007C22DE">
              <w:rPr>
                <w:rFonts w:cs="Times New Roman"/>
                <w:sz w:val="18"/>
              </w:rPr>
              <w:t xml:space="preserve"> %</w:t>
            </w:r>
          </w:p>
        </w:tc>
        <w:tc>
          <w:tcPr>
            <w:tcW w:w="1442" w:type="dxa"/>
            <w:tcBorders>
              <w:top w:val="single" w:sz="12" w:space="0" w:color="auto"/>
            </w:tcBorders>
            <w:shd w:val="clear" w:color="auto" w:fill="auto"/>
            <w:vAlign w:val="bottom"/>
          </w:tcPr>
          <w:p w14:paraId="6135415C" w14:textId="5B631436"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5,6</w:t>
            </w:r>
            <w:r w:rsidR="007C22DE">
              <w:rPr>
                <w:rFonts w:cs="Times New Roman"/>
                <w:sz w:val="18"/>
              </w:rPr>
              <w:t xml:space="preserve"> %</w:t>
            </w:r>
          </w:p>
        </w:tc>
        <w:tc>
          <w:tcPr>
            <w:tcW w:w="165" w:type="dxa"/>
            <w:tcBorders>
              <w:top w:val="single" w:sz="12" w:space="0" w:color="auto"/>
            </w:tcBorders>
          </w:tcPr>
          <w:p w14:paraId="5DF165A7" w14:textId="77777777" w:rsidR="00E11789" w:rsidRPr="00E11789" w:rsidRDefault="00E11789" w:rsidP="00E11789">
            <w:pPr>
              <w:spacing w:before="40" w:after="40" w:line="220" w:lineRule="exact"/>
              <w:ind w:left="28" w:right="28"/>
              <w:jc w:val="right"/>
              <w:rPr>
                <w:rFonts w:cs="Times New Roman"/>
                <w:sz w:val="18"/>
              </w:rPr>
            </w:pPr>
          </w:p>
        </w:tc>
        <w:tc>
          <w:tcPr>
            <w:tcW w:w="1502" w:type="dxa"/>
            <w:tcBorders>
              <w:top w:val="single" w:sz="12" w:space="0" w:color="auto"/>
            </w:tcBorders>
            <w:shd w:val="clear" w:color="auto" w:fill="auto"/>
            <w:vAlign w:val="bottom"/>
          </w:tcPr>
          <w:p w14:paraId="53196294" w14:textId="5F95E09B"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93,8</w:t>
            </w:r>
            <w:r w:rsidR="007C22DE">
              <w:rPr>
                <w:rFonts w:cs="Times New Roman"/>
                <w:sz w:val="18"/>
              </w:rPr>
              <w:t xml:space="preserve"> %</w:t>
            </w:r>
          </w:p>
        </w:tc>
        <w:tc>
          <w:tcPr>
            <w:tcW w:w="1624" w:type="dxa"/>
            <w:tcBorders>
              <w:top w:val="single" w:sz="12" w:space="0" w:color="auto"/>
            </w:tcBorders>
            <w:shd w:val="clear" w:color="auto" w:fill="auto"/>
            <w:vAlign w:val="bottom"/>
          </w:tcPr>
          <w:p w14:paraId="0FE7B7C9" w14:textId="28129D60"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3,8</w:t>
            </w:r>
            <w:r w:rsidR="007C22DE">
              <w:rPr>
                <w:rFonts w:cs="Times New Roman"/>
                <w:sz w:val="18"/>
              </w:rPr>
              <w:t xml:space="preserve"> %</w:t>
            </w:r>
          </w:p>
        </w:tc>
      </w:tr>
      <w:tr w:rsidR="00E11789" w:rsidRPr="00E11789" w14:paraId="0D6F40DD" w14:textId="77777777" w:rsidTr="007C22DE">
        <w:tc>
          <w:tcPr>
            <w:tcW w:w="1168" w:type="dxa"/>
            <w:shd w:val="clear" w:color="auto" w:fill="auto"/>
          </w:tcPr>
          <w:p w14:paraId="70114E35"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2013</w:t>
            </w:r>
          </w:p>
        </w:tc>
        <w:tc>
          <w:tcPr>
            <w:tcW w:w="1501" w:type="dxa"/>
            <w:shd w:val="clear" w:color="auto" w:fill="auto"/>
            <w:vAlign w:val="bottom"/>
          </w:tcPr>
          <w:p w14:paraId="62F237A5" w14:textId="522E60AF"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93,2</w:t>
            </w:r>
            <w:r w:rsidR="007C22DE">
              <w:rPr>
                <w:rFonts w:cs="Times New Roman"/>
                <w:sz w:val="18"/>
              </w:rPr>
              <w:t xml:space="preserve"> %</w:t>
            </w:r>
          </w:p>
        </w:tc>
        <w:tc>
          <w:tcPr>
            <w:tcW w:w="1442" w:type="dxa"/>
            <w:shd w:val="clear" w:color="auto" w:fill="auto"/>
            <w:vAlign w:val="bottom"/>
          </w:tcPr>
          <w:p w14:paraId="014DA078" w14:textId="292D7263"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5,9</w:t>
            </w:r>
            <w:r w:rsidR="007C22DE">
              <w:rPr>
                <w:rFonts w:cs="Times New Roman"/>
                <w:sz w:val="18"/>
              </w:rPr>
              <w:t xml:space="preserve"> %</w:t>
            </w:r>
          </w:p>
        </w:tc>
        <w:tc>
          <w:tcPr>
            <w:tcW w:w="165" w:type="dxa"/>
          </w:tcPr>
          <w:p w14:paraId="6DDCC725" w14:textId="77777777" w:rsidR="00E11789" w:rsidRPr="00E11789" w:rsidRDefault="00E11789" w:rsidP="00E11789">
            <w:pPr>
              <w:spacing w:before="40" w:after="40" w:line="220" w:lineRule="exact"/>
              <w:ind w:left="28" w:right="28"/>
              <w:jc w:val="right"/>
              <w:rPr>
                <w:rFonts w:cs="Times New Roman"/>
                <w:sz w:val="18"/>
              </w:rPr>
            </w:pPr>
          </w:p>
        </w:tc>
        <w:tc>
          <w:tcPr>
            <w:tcW w:w="1502" w:type="dxa"/>
            <w:shd w:val="clear" w:color="auto" w:fill="auto"/>
            <w:vAlign w:val="bottom"/>
          </w:tcPr>
          <w:p w14:paraId="1A11C1CF" w14:textId="7E3B1A75"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93,9</w:t>
            </w:r>
            <w:r w:rsidR="007C22DE">
              <w:rPr>
                <w:rFonts w:cs="Times New Roman"/>
                <w:sz w:val="18"/>
              </w:rPr>
              <w:t xml:space="preserve"> %</w:t>
            </w:r>
          </w:p>
        </w:tc>
        <w:tc>
          <w:tcPr>
            <w:tcW w:w="1624" w:type="dxa"/>
            <w:shd w:val="clear" w:color="auto" w:fill="auto"/>
            <w:vAlign w:val="bottom"/>
          </w:tcPr>
          <w:p w14:paraId="3644EE1B" w14:textId="1E87EBDA"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3,0</w:t>
            </w:r>
            <w:r w:rsidR="007C22DE">
              <w:rPr>
                <w:rFonts w:cs="Times New Roman"/>
                <w:sz w:val="18"/>
              </w:rPr>
              <w:t xml:space="preserve"> %</w:t>
            </w:r>
          </w:p>
        </w:tc>
      </w:tr>
      <w:tr w:rsidR="00E11789" w:rsidRPr="00E11789" w14:paraId="3BC9AAE3" w14:textId="77777777" w:rsidTr="007C22DE">
        <w:tc>
          <w:tcPr>
            <w:tcW w:w="1168" w:type="dxa"/>
            <w:shd w:val="clear" w:color="auto" w:fill="auto"/>
          </w:tcPr>
          <w:p w14:paraId="00181F2D"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2016</w:t>
            </w:r>
          </w:p>
        </w:tc>
        <w:tc>
          <w:tcPr>
            <w:tcW w:w="1501" w:type="dxa"/>
            <w:shd w:val="clear" w:color="auto" w:fill="auto"/>
            <w:vAlign w:val="bottom"/>
          </w:tcPr>
          <w:p w14:paraId="3870C05D" w14:textId="60BD33C3"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91,0</w:t>
            </w:r>
            <w:r w:rsidR="007C22DE">
              <w:rPr>
                <w:rFonts w:cs="Times New Roman"/>
                <w:sz w:val="18"/>
              </w:rPr>
              <w:t xml:space="preserve"> %</w:t>
            </w:r>
          </w:p>
        </w:tc>
        <w:tc>
          <w:tcPr>
            <w:tcW w:w="1442" w:type="dxa"/>
            <w:shd w:val="clear" w:color="auto" w:fill="auto"/>
            <w:vAlign w:val="bottom"/>
          </w:tcPr>
          <w:p w14:paraId="58908069" w14:textId="69F04721"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5,1</w:t>
            </w:r>
            <w:r w:rsidR="007C22DE">
              <w:rPr>
                <w:rFonts w:cs="Times New Roman"/>
                <w:sz w:val="18"/>
              </w:rPr>
              <w:t xml:space="preserve"> %</w:t>
            </w:r>
          </w:p>
        </w:tc>
        <w:tc>
          <w:tcPr>
            <w:tcW w:w="165" w:type="dxa"/>
          </w:tcPr>
          <w:p w14:paraId="686610B0" w14:textId="77777777" w:rsidR="00E11789" w:rsidRPr="00E11789" w:rsidRDefault="00E11789" w:rsidP="00E11789">
            <w:pPr>
              <w:spacing w:before="40" w:after="40" w:line="220" w:lineRule="exact"/>
              <w:ind w:left="28" w:right="28"/>
              <w:jc w:val="right"/>
              <w:rPr>
                <w:rFonts w:cs="Times New Roman"/>
                <w:sz w:val="18"/>
              </w:rPr>
            </w:pPr>
          </w:p>
        </w:tc>
        <w:tc>
          <w:tcPr>
            <w:tcW w:w="1502" w:type="dxa"/>
            <w:shd w:val="clear" w:color="auto" w:fill="auto"/>
            <w:vAlign w:val="bottom"/>
          </w:tcPr>
          <w:p w14:paraId="3A9B0E57" w14:textId="22369967"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91,9</w:t>
            </w:r>
            <w:r w:rsidR="007C22DE">
              <w:rPr>
                <w:rFonts w:cs="Times New Roman"/>
                <w:sz w:val="18"/>
              </w:rPr>
              <w:t xml:space="preserve"> %</w:t>
            </w:r>
          </w:p>
        </w:tc>
        <w:tc>
          <w:tcPr>
            <w:tcW w:w="1624" w:type="dxa"/>
            <w:shd w:val="clear" w:color="auto" w:fill="auto"/>
            <w:vAlign w:val="bottom"/>
          </w:tcPr>
          <w:p w14:paraId="69820368" w14:textId="7620E886"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3,9</w:t>
            </w:r>
            <w:r w:rsidR="007C22DE">
              <w:rPr>
                <w:rFonts w:cs="Times New Roman"/>
                <w:sz w:val="18"/>
              </w:rPr>
              <w:t xml:space="preserve"> %</w:t>
            </w:r>
          </w:p>
        </w:tc>
      </w:tr>
      <w:tr w:rsidR="00E11789" w:rsidRPr="00E11789" w14:paraId="17B8A888" w14:textId="77777777" w:rsidTr="007C22DE">
        <w:tc>
          <w:tcPr>
            <w:tcW w:w="1168" w:type="dxa"/>
            <w:shd w:val="clear" w:color="auto" w:fill="auto"/>
          </w:tcPr>
          <w:p w14:paraId="42AD94D7"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2019</w:t>
            </w:r>
          </w:p>
        </w:tc>
        <w:tc>
          <w:tcPr>
            <w:tcW w:w="1501" w:type="dxa"/>
            <w:shd w:val="clear" w:color="auto" w:fill="auto"/>
            <w:vAlign w:val="bottom"/>
          </w:tcPr>
          <w:p w14:paraId="1833D5CC" w14:textId="7E0D6CAD"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91,9</w:t>
            </w:r>
            <w:r w:rsidR="007C22DE">
              <w:rPr>
                <w:rFonts w:cs="Times New Roman"/>
                <w:sz w:val="18"/>
              </w:rPr>
              <w:t xml:space="preserve"> %</w:t>
            </w:r>
          </w:p>
        </w:tc>
        <w:tc>
          <w:tcPr>
            <w:tcW w:w="1442" w:type="dxa"/>
            <w:shd w:val="clear" w:color="auto" w:fill="auto"/>
            <w:vAlign w:val="bottom"/>
          </w:tcPr>
          <w:p w14:paraId="179DB6D9" w14:textId="33C95381"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5,5</w:t>
            </w:r>
            <w:r w:rsidR="007C22DE">
              <w:rPr>
                <w:rFonts w:cs="Times New Roman"/>
                <w:sz w:val="18"/>
              </w:rPr>
              <w:t xml:space="preserve"> %</w:t>
            </w:r>
          </w:p>
        </w:tc>
        <w:tc>
          <w:tcPr>
            <w:tcW w:w="165" w:type="dxa"/>
          </w:tcPr>
          <w:p w14:paraId="10C3DB93" w14:textId="77777777" w:rsidR="00E11789" w:rsidRPr="00E11789" w:rsidRDefault="00E11789" w:rsidP="00E11789">
            <w:pPr>
              <w:spacing w:before="40" w:after="40" w:line="220" w:lineRule="exact"/>
              <w:ind w:left="28" w:right="28"/>
              <w:jc w:val="right"/>
              <w:rPr>
                <w:rFonts w:cs="Times New Roman"/>
                <w:sz w:val="18"/>
              </w:rPr>
            </w:pPr>
          </w:p>
        </w:tc>
        <w:tc>
          <w:tcPr>
            <w:tcW w:w="1502" w:type="dxa"/>
            <w:shd w:val="clear" w:color="auto" w:fill="auto"/>
            <w:vAlign w:val="bottom"/>
          </w:tcPr>
          <w:p w14:paraId="187C5E1A" w14:textId="72DAE505"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92,5</w:t>
            </w:r>
            <w:r w:rsidR="007C22DE">
              <w:rPr>
                <w:rFonts w:cs="Times New Roman"/>
                <w:sz w:val="18"/>
              </w:rPr>
              <w:t xml:space="preserve"> %</w:t>
            </w:r>
          </w:p>
        </w:tc>
        <w:tc>
          <w:tcPr>
            <w:tcW w:w="1624" w:type="dxa"/>
            <w:shd w:val="clear" w:color="auto" w:fill="auto"/>
            <w:vAlign w:val="bottom"/>
          </w:tcPr>
          <w:p w14:paraId="7632D8EB" w14:textId="1BE010FC"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3,8</w:t>
            </w:r>
            <w:r w:rsidR="007C22DE">
              <w:rPr>
                <w:rFonts w:cs="Times New Roman"/>
                <w:sz w:val="18"/>
              </w:rPr>
              <w:t xml:space="preserve"> %</w:t>
            </w:r>
          </w:p>
        </w:tc>
      </w:tr>
      <w:tr w:rsidR="00E11789" w:rsidRPr="00E11789" w14:paraId="7DAA51FC" w14:textId="77777777" w:rsidTr="007C22DE">
        <w:tc>
          <w:tcPr>
            <w:tcW w:w="1168" w:type="dxa"/>
            <w:tcBorders>
              <w:bottom w:val="single" w:sz="12" w:space="0" w:color="auto"/>
            </w:tcBorders>
            <w:shd w:val="clear" w:color="auto" w:fill="auto"/>
          </w:tcPr>
          <w:p w14:paraId="2226384F" w14:textId="77777777" w:rsidR="00E11789" w:rsidRPr="00E11789" w:rsidRDefault="00E11789" w:rsidP="00E11789">
            <w:pPr>
              <w:spacing w:before="40" w:after="40" w:line="220" w:lineRule="exact"/>
              <w:ind w:left="28" w:right="28"/>
              <w:rPr>
                <w:rFonts w:cs="Times New Roman"/>
                <w:sz w:val="18"/>
              </w:rPr>
            </w:pPr>
            <w:r w:rsidRPr="00E11789">
              <w:rPr>
                <w:rFonts w:cs="Times New Roman"/>
                <w:sz w:val="18"/>
              </w:rPr>
              <w:t>2022</w:t>
            </w:r>
          </w:p>
        </w:tc>
        <w:tc>
          <w:tcPr>
            <w:tcW w:w="1501" w:type="dxa"/>
            <w:tcBorders>
              <w:bottom w:val="single" w:sz="12" w:space="0" w:color="auto"/>
            </w:tcBorders>
            <w:shd w:val="clear" w:color="auto" w:fill="auto"/>
            <w:vAlign w:val="bottom"/>
          </w:tcPr>
          <w:p w14:paraId="2F4AEC71" w14:textId="3ACC0BB4"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89,82</w:t>
            </w:r>
            <w:r w:rsidR="007C22DE">
              <w:rPr>
                <w:rFonts w:cs="Times New Roman"/>
                <w:sz w:val="18"/>
              </w:rPr>
              <w:t xml:space="preserve"> %</w:t>
            </w:r>
          </w:p>
        </w:tc>
        <w:tc>
          <w:tcPr>
            <w:tcW w:w="1442" w:type="dxa"/>
            <w:tcBorders>
              <w:bottom w:val="single" w:sz="12" w:space="0" w:color="auto"/>
            </w:tcBorders>
            <w:shd w:val="clear" w:color="auto" w:fill="auto"/>
            <w:vAlign w:val="bottom"/>
          </w:tcPr>
          <w:p w14:paraId="685D784D" w14:textId="63D442E2"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5,2</w:t>
            </w:r>
            <w:r w:rsidR="007C22DE">
              <w:rPr>
                <w:rFonts w:cs="Times New Roman"/>
                <w:sz w:val="18"/>
              </w:rPr>
              <w:t xml:space="preserve"> %</w:t>
            </w:r>
          </w:p>
        </w:tc>
        <w:tc>
          <w:tcPr>
            <w:tcW w:w="165" w:type="dxa"/>
            <w:tcBorders>
              <w:bottom w:val="single" w:sz="12" w:space="0" w:color="auto"/>
            </w:tcBorders>
          </w:tcPr>
          <w:p w14:paraId="477EDBA8" w14:textId="77777777" w:rsidR="00E11789" w:rsidRPr="00E11789" w:rsidRDefault="00E11789" w:rsidP="00E11789">
            <w:pPr>
              <w:spacing w:before="40" w:after="40" w:line="220" w:lineRule="exact"/>
              <w:ind w:left="28" w:right="28"/>
              <w:jc w:val="right"/>
              <w:rPr>
                <w:rFonts w:cs="Times New Roman"/>
                <w:sz w:val="18"/>
              </w:rPr>
            </w:pPr>
          </w:p>
        </w:tc>
        <w:tc>
          <w:tcPr>
            <w:tcW w:w="1502" w:type="dxa"/>
            <w:tcBorders>
              <w:bottom w:val="single" w:sz="12" w:space="0" w:color="auto"/>
            </w:tcBorders>
            <w:shd w:val="clear" w:color="auto" w:fill="auto"/>
            <w:vAlign w:val="bottom"/>
          </w:tcPr>
          <w:p w14:paraId="64DD063A" w14:textId="3F3F3604"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90,5</w:t>
            </w:r>
            <w:r w:rsidR="007C22DE">
              <w:rPr>
                <w:rFonts w:cs="Times New Roman"/>
                <w:sz w:val="18"/>
              </w:rPr>
              <w:t xml:space="preserve"> %</w:t>
            </w:r>
          </w:p>
        </w:tc>
        <w:tc>
          <w:tcPr>
            <w:tcW w:w="1624" w:type="dxa"/>
            <w:tcBorders>
              <w:bottom w:val="single" w:sz="12" w:space="0" w:color="auto"/>
            </w:tcBorders>
            <w:shd w:val="clear" w:color="auto" w:fill="auto"/>
            <w:vAlign w:val="bottom"/>
          </w:tcPr>
          <w:p w14:paraId="0E44BA43" w14:textId="0A95070B" w:rsidR="00E11789" w:rsidRPr="00E11789" w:rsidRDefault="00E11789" w:rsidP="00E11789">
            <w:pPr>
              <w:spacing w:before="40" w:after="40" w:line="220" w:lineRule="exact"/>
              <w:ind w:left="28" w:right="28"/>
              <w:jc w:val="right"/>
              <w:rPr>
                <w:rFonts w:cs="Times New Roman"/>
                <w:sz w:val="18"/>
              </w:rPr>
            </w:pPr>
            <w:r w:rsidRPr="00E11789">
              <w:rPr>
                <w:rFonts w:cs="Times New Roman"/>
                <w:sz w:val="18"/>
              </w:rPr>
              <w:t>3,4</w:t>
            </w:r>
            <w:r w:rsidR="007C22DE">
              <w:rPr>
                <w:rFonts w:cs="Times New Roman"/>
                <w:sz w:val="18"/>
              </w:rPr>
              <w:t xml:space="preserve"> %</w:t>
            </w:r>
          </w:p>
        </w:tc>
      </w:tr>
    </w:tbl>
    <w:p w14:paraId="0A1832DA" w14:textId="14F27E89" w:rsidR="00E0204C" w:rsidRPr="00A13ABC" w:rsidRDefault="00E0204C" w:rsidP="00A13ABC">
      <w:pPr>
        <w:pStyle w:val="SingleTxtG"/>
        <w:spacing w:before="120" w:after="0" w:line="220" w:lineRule="exact"/>
        <w:ind w:firstLine="170"/>
        <w:jc w:val="left"/>
        <w:rPr>
          <w:sz w:val="18"/>
          <w:szCs w:val="18"/>
        </w:rPr>
      </w:pPr>
      <w:r w:rsidRPr="00A13ABC">
        <w:rPr>
          <w:sz w:val="18"/>
          <w:szCs w:val="18"/>
        </w:rPr>
        <w:t xml:space="preserve">* </w:t>
      </w:r>
      <w:r w:rsidR="00A13ABC">
        <w:rPr>
          <w:sz w:val="18"/>
          <w:szCs w:val="18"/>
        </w:rPr>
        <w:t xml:space="preserve"> </w:t>
      </w:r>
      <w:r w:rsidRPr="00A13ABC">
        <w:rPr>
          <w:sz w:val="18"/>
          <w:szCs w:val="18"/>
        </w:rPr>
        <w:t>Показатель явки избирателей не совпадает с показателем реального участия. Бюллетень для голосования считается недействительным, если он был заполнен неправильно (например, является пустым или содержит пометки, которые идентифицируют личность избирателя). Недействительные бюллетени не засчитываются ни одному кандидату.</w:t>
      </w:r>
    </w:p>
    <w:p w14:paraId="5D6383E0" w14:textId="77777777" w:rsidR="00E0204C" w:rsidRPr="00A13ABC" w:rsidRDefault="00E0204C" w:rsidP="00A13ABC">
      <w:pPr>
        <w:spacing w:after="240" w:line="220" w:lineRule="exact"/>
        <w:ind w:left="1134" w:right="1134" w:firstLine="170"/>
        <w:rPr>
          <w:sz w:val="18"/>
          <w:szCs w:val="18"/>
        </w:rPr>
      </w:pPr>
      <w:r w:rsidRPr="00A13ABC">
        <w:rPr>
          <w:i/>
          <w:iCs/>
          <w:sz w:val="18"/>
          <w:szCs w:val="18"/>
        </w:rPr>
        <w:t>Источник</w:t>
      </w:r>
      <w:r w:rsidRPr="00A13ABC">
        <w:rPr>
          <w:sz w:val="18"/>
          <w:szCs w:val="18"/>
        </w:rPr>
        <w:t>: Австралийская избирательная комиссия, 2022 год.</w:t>
      </w:r>
    </w:p>
    <w:p w14:paraId="4DC7086F" w14:textId="77777777" w:rsidR="00E0204C" w:rsidRPr="008F3942" w:rsidRDefault="00E0204C" w:rsidP="00E0204C">
      <w:pPr>
        <w:pStyle w:val="SingleTxtG"/>
      </w:pPr>
      <w:r w:rsidRPr="008F3942">
        <w:br w:type="page"/>
      </w:r>
    </w:p>
    <w:p w14:paraId="679B5EEB" w14:textId="259FD14A" w:rsidR="00E0204C" w:rsidRPr="008F3942" w:rsidRDefault="00E0204C" w:rsidP="00E0204C">
      <w:pPr>
        <w:pStyle w:val="HChG"/>
      </w:pPr>
      <w:bookmarkStart w:id="55" w:name="_Toc147326787"/>
      <w:r>
        <w:lastRenderedPageBreak/>
        <w:tab/>
      </w:r>
      <w:r>
        <w:rPr>
          <w:bCs/>
        </w:rPr>
        <w:t>Приложение II</w:t>
      </w:r>
      <w:bookmarkStart w:id="56" w:name="_Toc167980153"/>
      <w:bookmarkEnd w:id="56"/>
    </w:p>
    <w:p w14:paraId="4E9539FB" w14:textId="77777777" w:rsidR="00E0204C" w:rsidRPr="008F3942" w:rsidRDefault="00E0204C" w:rsidP="00E0204C">
      <w:pPr>
        <w:pStyle w:val="HChG"/>
      </w:pPr>
      <w:r>
        <w:tab/>
      </w:r>
      <w:r>
        <w:tab/>
        <w:t>Дополнительная информация о защите и поощрении прав человека</w:t>
      </w:r>
      <w:bookmarkStart w:id="57" w:name="_Toc167980154"/>
      <w:bookmarkEnd w:id="55"/>
      <w:bookmarkEnd w:id="57"/>
    </w:p>
    <w:p w14:paraId="4DDE3F81" w14:textId="77777777" w:rsidR="00E0204C" w:rsidRPr="008F3942" w:rsidRDefault="00E0204C" w:rsidP="00E0204C">
      <w:pPr>
        <w:pStyle w:val="H1G"/>
      </w:pPr>
      <w:r>
        <w:tab/>
      </w:r>
      <w:r>
        <w:tab/>
        <w:t>Принятие международных норм в области прав человека</w:t>
      </w:r>
      <w:bookmarkStart w:id="58" w:name="_Toc167980155"/>
      <w:bookmarkEnd w:id="58"/>
    </w:p>
    <w:p w14:paraId="75C31727" w14:textId="06D8847D" w:rsidR="00E0204C" w:rsidRPr="008F3942" w:rsidRDefault="00A13ABC" w:rsidP="00A13ABC">
      <w:pPr>
        <w:pStyle w:val="H23G"/>
        <w:rPr>
          <w:b w:val="0"/>
          <w:bCs/>
        </w:rPr>
      </w:pPr>
      <w:r>
        <w:tab/>
      </w:r>
      <w:r>
        <w:tab/>
      </w:r>
      <w:r w:rsidR="00E0204C" w:rsidRPr="00A13ABC">
        <w:rPr>
          <w:b w:val="0"/>
          <w:bCs/>
        </w:rPr>
        <w:t>Таблица A1</w:t>
      </w:r>
      <w:r w:rsidRPr="00A13ABC">
        <w:rPr>
          <w:b w:val="0"/>
          <w:bCs/>
        </w:rPr>
        <w:br/>
      </w:r>
      <w:r w:rsidR="00E0204C">
        <w:rPr>
          <w:bCs/>
        </w:rPr>
        <w:t>Тексты оговорок и заявлений Австралии к основным международным договорам по правам человека и факультативным протоколам к ним</w:t>
      </w:r>
      <w:r w:rsidR="00E0204C" w:rsidRPr="007C22DE">
        <w:rPr>
          <w:b w:val="0"/>
          <w:vertAlign w:val="superscript"/>
        </w:rPr>
        <w:t>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E0204C" w:rsidRPr="00A13ABC" w14:paraId="65876588" w14:textId="77777777" w:rsidTr="007C22DE">
        <w:trPr>
          <w:cantSplit/>
        </w:trPr>
        <w:tc>
          <w:tcPr>
            <w:tcW w:w="8647" w:type="dxa"/>
            <w:tcBorders>
              <w:top w:val="single" w:sz="4" w:space="0" w:color="auto"/>
              <w:bottom w:val="single" w:sz="4" w:space="0" w:color="auto"/>
            </w:tcBorders>
            <w:shd w:val="clear" w:color="auto" w:fill="auto"/>
            <w:vAlign w:val="bottom"/>
          </w:tcPr>
          <w:p w14:paraId="585C3C6F" w14:textId="77777777" w:rsidR="00E0204C" w:rsidRPr="00A13ABC" w:rsidRDefault="00E0204C" w:rsidP="009D03EF">
            <w:pPr>
              <w:suppressAutoHyphens w:val="0"/>
              <w:spacing w:before="80" w:after="80" w:line="200" w:lineRule="exact"/>
              <w:ind w:right="113"/>
              <w:rPr>
                <w:i/>
                <w:sz w:val="16"/>
                <w:szCs w:val="16"/>
              </w:rPr>
            </w:pPr>
            <w:r w:rsidRPr="00A13ABC">
              <w:rPr>
                <w:i/>
                <w:iCs/>
                <w:sz w:val="16"/>
                <w:szCs w:val="16"/>
              </w:rPr>
              <w:t>Международный пакт о гражданских и политических правах (МПГПП)</w:t>
            </w:r>
          </w:p>
        </w:tc>
      </w:tr>
      <w:tr w:rsidR="00E0204C" w:rsidRPr="00FD325D" w14:paraId="3449D045" w14:textId="77777777" w:rsidTr="007C22DE">
        <w:tc>
          <w:tcPr>
            <w:tcW w:w="8647" w:type="dxa"/>
            <w:tcBorders>
              <w:top w:val="single" w:sz="4" w:space="0" w:color="auto"/>
              <w:bottom w:val="single" w:sz="4" w:space="0" w:color="auto"/>
            </w:tcBorders>
            <w:shd w:val="clear" w:color="auto" w:fill="auto"/>
          </w:tcPr>
          <w:p w14:paraId="164F123D" w14:textId="77777777" w:rsidR="00E0204C" w:rsidRPr="00A13ABC" w:rsidRDefault="00E0204C" w:rsidP="009D03EF">
            <w:pPr>
              <w:pStyle w:val="H23G"/>
              <w:keepNext w:val="0"/>
              <w:keepLines w:val="0"/>
              <w:tabs>
                <w:tab w:val="clear" w:pos="851"/>
              </w:tabs>
              <w:suppressAutoHyphens w:val="0"/>
              <w:spacing w:before="40" w:line="220" w:lineRule="exact"/>
              <w:ind w:left="0" w:right="113" w:firstLine="0"/>
              <w:outlineLvl w:val="9"/>
            </w:pPr>
            <w:r w:rsidRPr="00A13ABC">
              <w:t>Оговорки</w:t>
            </w:r>
          </w:p>
          <w:p w14:paraId="727B5CFD" w14:textId="77777777" w:rsidR="00E0204C" w:rsidRPr="008F3942" w:rsidRDefault="00E0204C" w:rsidP="009D03EF">
            <w:pPr>
              <w:pStyle w:val="H4G"/>
              <w:keepNext w:val="0"/>
              <w:keepLines w:val="0"/>
              <w:tabs>
                <w:tab w:val="clear" w:pos="851"/>
              </w:tabs>
              <w:suppressAutoHyphens w:val="0"/>
              <w:spacing w:before="40" w:line="220" w:lineRule="exact"/>
              <w:ind w:left="0" w:right="113" w:firstLine="0"/>
              <w:outlineLvl w:val="9"/>
            </w:pPr>
            <w:r>
              <w:rPr>
                <w:iCs/>
              </w:rPr>
              <w:t>Статья 10</w:t>
            </w:r>
            <w:r>
              <w:t xml:space="preserve"> </w:t>
            </w:r>
          </w:p>
          <w:p w14:paraId="01AB43E9" w14:textId="77777777" w:rsidR="00E0204C" w:rsidRPr="008F3942" w:rsidRDefault="00E0204C" w:rsidP="009D03EF">
            <w:pPr>
              <w:suppressAutoHyphens w:val="0"/>
              <w:spacing w:before="40" w:after="120" w:line="220" w:lineRule="exact"/>
              <w:ind w:right="113"/>
            </w:pPr>
            <w:r>
              <w:t xml:space="preserve">Что касается пункта 2 a), то принцип отдельного режима приемлем в качестве цели, которая достигается постепенно. В отношении пунктов 2 b) и 3 (второе предложение) обязательство об отдельном режиме приемлемо только в той степени, в какой такой отдельный режим рассматривается ответственными властями в качестве отвечающего интересам несовершеннолетних или совершеннолетних лиц. </w:t>
            </w:r>
          </w:p>
          <w:p w14:paraId="2258E7A3" w14:textId="77777777" w:rsidR="00E0204C" w:rsidRPr="008F3942" w:rsidRDefault="00E0204C" w:rsidP="009D03EF">
            <w:pPr>
              <w:pStyle w:val="H4G"/>
              <w:keepNext w:val="0"/>
              <w:keepLines w:val="0"/>
              <w:tabs>
                <w:tab w:val="clear" w:pos="851"/>
              </w:tabs>
              <w:suppressAutoHyphens w:val="0"/>
              <w:spacing w:before="40" w:line="220" w:lineRule="exact"/>
              <w:ind w:left="0" w:right="113" w:firstLine="0"/>
              <w:outlineLvl w:val="9"/>
            </w:pPr>
            <w:r>
              <w:rPr>
                <w:iCs/>
              </w:rPr>
              <w:t>Статья 14</w:t>
            </w:r>
            <w:r>
              <w:t xml:space="preserve"> </w:t>
            </w:r>
          </w:p>
          <w:p w14:paraId="47BB0F37" w14:textId="77777777" w:rsidR="00E0204C" w:rsidRPr="008F3942" w:rsidRDefault="00E0204C" w:rsidP="009D03EF">
            <w:pPr>
              <w:suppressAutoHyphens w:val="0"/>
              <w:spacing w:before="40" w:after="120" w:line="220" w:lineRule="exact"/>
              <w:ind w:right="113"/>
            </w:pPr>
            <w:r>
              <w:t>Австралия делает оговорку о том, что предоставление компенсации за судебную ошибку при обстоятельствах, указанных в пункте 6 статьи 14, относится скорее к административным процедурам, нежели к конкретному законодательному положению.</w:t>
            </w:r>
          </w:p>
          <w:p w14:paraId="6E4387E5" w14:textId="77777777" w:rsidR="00E0204C" w:rsidRPr="008F3942" w:rsidRDefault="00E0204C" w:rsidP="009D03EF">
            <w:pPr>
              <w:pStyle w:val="H4G"/>
              <w:keepNext w:val="0"/>
              <w:keepLines w:val="0"/>
              <w:tabs>
                <w:tab w:val="clear" w:pos="851"/>
              </w:tabs>
              <w:suppressAutoHyphens w:val="0"/>
              <w:spacing w:before="40" w:line="220" w:lineRule="exact"/>
              <w:ind w:left="0" w:right="113" w:firstLine="0"/>
              <w:outlineLvl w:val="9"/>
            </w:pPr>
            <w:r>
              <w:rPr>
                <w:iCs/>
              </w:rPr>
              <w:t>Статья 20</w:t>
            </w:r>
          </w:p>
          <w:p w14:paraId="2FC15102" w14:textId="77777777" w:rsidR="00E0204C" w:rsidRPr="008F3942" w:rsidRDefault="00E0204C" w:rsidP="009D03EF">
            <w:pPr>
              <w:suppressAutoHyphens w:val="0"/>
              <w:spacing w:before="40" w:after="120" w:line="220" w:lineRule="exact"/>
              <w:ind w:right="113"/>
            </w:pPr>
            <w:r>
              <w:t>Австралия интерпретирует права, предусмотренные статьями 19, 21 и 22, как соответствующие статье 20; соответственно, Австралийский Союз и входящие в него штаты, приняв законодательные акты в отношении предмета этой статьи в связи с вопросами, имеющими практическое значение в интересах общественного порядка (ordre public), оставляют за собой право не принимать по этим вопросам дополнительных законодательных положений.</w:t>
            </w:r>
          </w:p>
          <w:p w14:paraId="264D7419" w14:textId="77777777" w:rsidR="00E0204C" w:rsidRPr="008F3942" w:rsidRDefault="00E0204C" w:rsidP="009D03EF">
            <w:pPr>
              <w:pStyle w:val="H23G"/>
              <w:keepNext w:val="0"/>
              <w:keepLines w:val="0"/>
              <w:tabs>
                <w:tab w:val="clear" w:pos="851"/>
              </w:tabs>
              <w:suppressAutoHyphens w:val="0"/>
              <w:spacing w:before="40" w:line="220" w:lineRule="exact"/>
              <w:ind w:left="0" w:right="113" w:firstLine="0"/>
              <w:outlineLvl w:val="9"/>
            </w:pPr>
            <w:r>
              <w:t>Заявления</w:t>
            </w:r>
          </w:p>
          <w:p w14:paraId="046BA9AB" w14:textId="77777777" w:rsidR="00E0204C" w:rsidRPr="008F3942" w:rsidRDefault="00E0204C" w:rsidP="009D03EF">
            <w:pPr>
              <w:suppressAutoHyphens w:val="0"/>
              <w:spacing w:before="40" w:after="120" w:line="220" w:lineRule="exact"/>
              <w:ind w:right="113"/>
            </w:pPr>
            <w:r>
              <w:t xml:space="preserve">В Австралии действует федеральная конституционная система, в рамках которой законодательные, исполнительные и судебные полномочия разделены или распределены между правительством Австралийского Союза и составляющими его штатами. Осуществление настоящего договора на всей территории Австралии будет осуществляться властями Австралийского Союза, штатов и территорий с учетом их соответствующих конституционных полномочий и договоренностей, касающихся их осуществления, </w:t>
            </w:r>
            <w:r w:rsidRPr="00B61330">
              <w:t>—</w:t>
            </w:r>
            <w:r>
              <w:t xml:space="preserve"> 28 января 1993 года</w:t>
            </w:r>
          </w:p>
          <w:p w14:paraId="3158BCA5" w14:textId="77777777" w:rsidR="00E0204C" w:rsidRPr="008F3942" w:rsidRDefault="00E0204C" w:rsidP="009D03EF">
            <w:pPr>
              <w:suppressAutoHyphens w:val="0"/>
              <w:spacing w:before="40" w:after="120" w:line="220" w:lineRule="exact"/>
              <w:ind w:right="113"/>
            </w:pPr>
            <w:r>
              <w:t xml:space="preserve">Правительство Австралии заявляет, что оно признает от имени Австралии компетенцию Комитета получать и рассматривать сообщения, в которых одно государство-участник утверждает, что другое государство-участник не выполняет своих обязательств по вышеупомянутой Конвенции </w:t>
            </w:r>
            <w:r w:rsidRPr="006867C7">
              <w:t>—</w:t>
            </w:r>
            <w:r>
              <w:t xml:space="preserve"> 28 января 1993 года</w:t>
            </w:r>
          </w:p>
        </w:tc>
      </w:tr>
      <w:tr w:rsidR="00E0204C" w:rsidRPr="00A13ABC" w14:paraId="2154498A" w14:textId="77777777" w:rsidTr="00A13ABC">
        <w:tc>
          <w:tcPr>
            <w:tcW w:w="8647" w:type="dxa"/>
            <w:tcBorders>
              <w:top w:val="single" w:sz="4" w:space="0" w:color="auto"/>
              <w:bottom w:val="single" w:sz="4" w:space="0" w:color="auto"/>
            </w:tcBorders>
            <w:shd w:val="clear" w:color="auto" w:fill="auto"/>
          </w:tcPr>
          <w:p w14:paraId="0EC7C81A"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Конвенция против пыток и других жестоких, бесчеловечных или унижающих достоинство видов обращения и наказания (КПП)</w:t>
            </w:r>
          </w:p>
        </w:tc>
      </w:tr>
      <w:tr w:rsidR="00A13ABC" w:rsidRPr="00FD325D" w14:paraId="5A698012" w14:textId="77777777" w:rsidTr="00A13ABC">
        <w:tc>
          <w:tcPr>
            <w:tcW w:w="8647" w:type="dxa"/>
            <w:tcBorders>
              <w:top w:val="single" w:sz="4" w:space="0" w:color="auto"/>
              <w:bottom w:val="nil"/>
            </w:tcBorders>
            <w:shd w:val="clear" w:color="auto" w:fill="auto"/>
          </w:tcPr>
          <w:p w14:paraId="4AC51226" w14:textId="77777777" w:rsidR="00A13ABC" w:rsidRPr="008F3942" w:rsidRDefault="00A13ABC" w:rsidP="00A13ABC">
            <w:pPr>
              <w:pStyle w:val="H23G"/>
              <w:keepNext w:val="0"/>
              <w:keepLines w:val="0"/>
              <w:tabs>
                <w:tab w:val="clear" w:pos="851"/>
              </w:tabs>
              <w:suppressAutoHyphens w:val="0"/>
              <w:spacing w:before="40" w:line="220" w:lineRule="exact"/>
              <w:ind w:left="0" w:right="113" w:firstLine="0"/>
              <w:outlineLvl w:val="9"/>
            </w:pPr>
            <w:r>
              <w:rPr>
                <w:bCs/>
              </w:rPr>
              <w:t>Заявление</w:t>
            </w:r>
          </w:p>
          <w:p w14:paraId="405A11CB" w14:textId="5557CC48" w:rsidR="00A13ABC" w:rsidRDefault="00A13ABC" w:rsidP="00A13ABC">
            <w:pPr>
              <w:suppressAutoHyphens w:val="0"/>
              <w:spacing w:before="40" w:after="120" w:line="220" w:lineRule="exact"/>
              <w:ind w:right="113"/>
              <w:rPr>
                <w:bCs/>
              </w:rPr>
            </w:pPr>
            <w:r>
              <w:t>Правительство Австралии настоящим заявляет, что оно признает от имени Австралии компетенцию Комитета получать и рассматривать сообщения, в которых одно государство-участник утверждает, что другое государство-участник не выполняет своих обязательств по вышеупомянутой Конвенции; и</w:t>
            </w:r>
          </w:p>
        </w:tc>
      </w:tr>
      <w:tr w:rsidR="00E0204C" w:rsidRPr="00FD325D" w14:paraId="76BB710D" w14:textId="77777777" w:rsidTr="00A13ABC">
        <w:tc>
          <w:tcPr>
            <w:tcW w:w="8647" w:type="dxa"/>
            <w:tcBorders>
              <w:top w:val="nil"/>
              <w:bottom w:val="nil"/>
            </w:tcBorders>
            <w:shd w:val="clear" w:color="auto" w:fill="auto"/>
          </w:tcPr>
          <w:p w14:paraId="5D56E787" w14:textId="77777777" w:rsidR="00E0204C" w:rsidRPr="008F3942" w:rsidRDefault="00E0204C" w:rsidP="009D03EF">
            <w:pPr>
              <w:suppressAutoHyphens w:val="0"/>
              <w:spacing w:before="40" w:after="120" w:line="220" w:lineRule="exact"/>
              <w:ind w:right="113"/>
            </w:pPr>
            <w:r>
              <w:t xml:space="preserve">Правительство Австралии настоящим заявляет, что оно признает от имени Австралии компетенцию Комитета получать и рассматривать сообщения от находящихся под его юрисдикцией лиц или от имени таких лиц, которые </w:t>
            </w:r>
            <w:r>
              <w:lastRenderedPageBreak/>
              <w:t xml:space="preserve">утверждают, что они являются жертвами нарушения государством-участником положений вышеупомянутой Конвенции </w:t>
            </w:r>
            <w:r w:rsidRPr="006867C7">
              <w:t>—</w:t>
            </w:r>
            <w:r>
              <w:t xml:space="preserve"> 28 января 1993 года</w:t>
            </w:r>
          </w:p>
          <w:p w14:paraId="69FD02CD" w14:textId="77777777" w:rsidR="00E0204C" w:rsidRPr="00A13ABC" w:rsidRDefault="00E0204C" w:rsidP="009D03EF">
            <w:pPr>
              <w:pStyle w:val="H23G"/>
              <w:keepNext w:val="0"/>
              <w:keepLines w:val="0"/>
              <w:tabs>
                <w:tab w:val="clear" w:pos="851"/>
              </w:tabs>
              <w:suppressAutoHyphens w:val="0"/>
              <w:spacing w:before="40" w:line="220" w:lineRule="exact"/>
              <w:ind w:left="0" w:right="113" w:firstLine="0"/>
              <w:outlineLvl w:val="9"/>
            </w:pPr>
            <w:r w:rsidRPr="00A13ABC">
              <w:t>Поправки</w:t>
            </w:r>
          </w:p>
          <w:p w14:paraId="2A616DBB" w14:textId="77777777" w:rsidR="00E0204C" w:rsidRPr="008F3942" w:rsidRDefault="00E0204C" w:rsidP="009D03EF">
            <w:pPr>
              <w:suppressAutoHyphens w:val="0"/>
              <w:spacing w:before="40" w:after="120" w:line="220" w:lineRule="exact"/>
              <w:ind w:right="113"/>
            </w:pPr>
            <w:r>
              <w:t>Поправки к статьям 17(7) и 18(5), принятые 15 октября 1993 года</w:t>
            </w:r>
          </w:p>
        </w:tc>
      </w:tr>
      <w:tr w:rsidR="00E0204C" w:rsidRPr="00FD325D" w14:paraId="1295F3AD" w14:textId="77777777" w:rsidTr="00A13ABC">
        <w:trPr>
          <w:trHeight w:hRule="exact" w:val="48"/>
        </w:trPr>
        <w:tc>
          <w:tcPr>
            <w:tcW w:w="8647" w:type="dxa"/>
            <w:tcBorders>
              <w:top w:val="nil"/>
              <w:bottom w:val="nil"/>
            </w:tcBorders>
            <w:shd w:val="clear" w:color="auto" w:fill="auto"/>
          </w:tcPr>
          <w:p w14:paraId="0FED02ED" w14:textId="77777777" w:rsidR="00E0204C" w:rsidRPr="008F3942" w:rsidRDefault="00E0204C" w:rsidP="009D03EF">
            <w:pPr>
              <w:pStyle w:val="H23G"/>
              <w:keepNext w:val="0"/>
              <w:keepLines w:val="0"/>
              <w:tabs>
                <w:tab w:val="clear" w:pos="851"/>
              </w:tabs>
              <w:suppressAutoHyphens w:val="0"/>
              <w:spacing w:before="40" w:line="220" w:lineRule="exact"/>
              <w:ind w:left="0" w:right="113" w:firstLine="0"/>
              <w:outlineLvl w:val="9"/>
            </w:pPr>
          </w:p>
        </w:tc>
      </w:tr>
      <w:tr w:rsidR="00E0204C" w:rsidRPr="00FD325D" w14:paraId="4C49553B" w14:textId="77777777" w:rsidTr="00A13ABC">
        <w:trPr>
          <w:trHeight w:hRule="exact" w:val="48"/>
        </w:trPr>
        <w:tc>
          <w:tcPr>
            <w:tcW w:w="8647" w:type="dxa"/>
            <w:tcBorders>
              <w:top w:val="nil"/>
              <w:bottom w:val="single" w:sz="4" w:space="0" w:color="auto"/>
            </w:tcBorders>
            <w:shd w:val="clear" w:color="auto" w:fill="auto"/>
          </w:tcPr>
          <w:p w14:paraId="1DB1E275" w14:textId="77777777" w:rsidR="00E0204C" w:rsidRPr="008F3942" w:rsidRDefault="00E0204C" w:rsidP="009D03EF">
            <w:pPr>
              <w:pStyle w:val="H23G"/>
              <w:keepLines w:val="0"/>
              <w:tabs>
                <w:tab w:val="clear" w:pos="851"/>
              </w:tabs>
              <w:suppressAutoHyphens w:val="0"/>
              <w:spacing w:before="40" w:line="220" w:lineRule="exact"/>
              <w:ind w:left="0" w:right="113" w:firstLine="0"/>
              <w:outlineLvl w:val="9"/>
            </w:pPr>
          </w:p>
        </w:tc>
      </w:tr>
      <w:tr w:rsidR="00E0204C" w:rsidRPr="00A13ABC" w14:paraId="1E683B0B" w14:textId="77777777" w:rsidTr="009D03EF">
        <w:tc>
          <w:tcPr>
            <w:tcW w:w="8647" w:type="dxa"/>
            <w:tcBorders>
              <w:top w:val="single" w:sz="4" w:space="0" w:color="auto"/>
              <w:bottom w:val="single" w:sz="4" w:space="0" w:color="auto"/>
            </w:tcBorders>
            <w:shd w:val="clear" w:color="auto" w:fill="auto"/>
          </w:tcPr>
          <w:p w14:paraId="34579126"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Факультативный протокол к Конвенции против пыток и других жестоких, бесчеловечных или унижающих достоинство видов обращения и наказания (ФП-КПП)</w:t>
            </w:r>
          </w:p>
        </w:tc>
      </w:tr>
      <w:tr w:rsidR="00E0204C" w:rsidRPr="00FD325D" w14:paraId="30004550" w14:textId="77777777" w:rsidTr="009D03EF">
        <w:tc>
          <w:tcPr>
            <w:tcW w:w="8647" w:type="dxa"/>
            <w:tcBorders>
              <w:top w:val="single" w:sz="4" w:space="0" w:color="auto"/>
              <w:bottom w:val="single" w:sz="4" w:space="0" w:color="auto"/>
            </w:tcBorders>
            <w:shd w:val="clear" w:color="auto" w:fill="auto"/>
          </w:tcPr>
          <w:p w14:paraId="1FADDF7A" w14:textId="77777777" w:rsidR="00E0204C" w:rsidRPr="008F3942" w:rsidRDefault="00E0204C" w:rsidP="009D03EF">
            <w:pPr>
              <w:pStyle w:val="H23G"/>
              <w:keepNext w:val="0"/>
              <w:keepLines w:val="0"/>
              <w:tabs>
                <w:tab w:val="clear" w:pos="851"/>
              </w:tabs>
              <w:suppressAutoHyphens w:val="0"/>
              <w:spacing w:before="40" w:line="220" w:lineRule="exact"/>
              <w:ind w:left="0" w:right="113" w:firstLine="0"/>
              <w:outlineLvl w:val="9"/>
            </w:pPr>
            <w:r>
              <w:rPr>
                <w:bCs/>
              </w:rPr>
              <w:t>Заявление</w:t>
            </w:r>
          </w:p>
          <w:p w14:paraId="6C6313EC" w14:textId="77777777" w:rsidR="00E0204C" w:rsidRPr="008F3942" w:rsidRDefault="00E0204C" w:rsidP="009D03EF">
            <w:pPr>
              <w:suppressAutoHyphens w:val="0"/>
              <w:spacing w:before="40" w:after="120" w:line="220" w:lineRule="exact"/>
              <w:ind w:right="113"/>
            </w:pPr>
            <w:r>
              <w:t>В соответствии со статьей 24 Факультативного протокола к Конвенции против пыток и других жестоких, бесчеловечных или унижающих достоинство видов обращения и наказания Австралия заявляет об отсрочке на три года выполнения обязательств Австралии по части IV Факультативного протокола к Конвенции против пыток и других жестоких, бесчеловечных или унижающих достоинство видов обращения и наказания.</w:t>
            </w:r>
          </w:p>
        </w:tc>
      </w:tr>
      <w:tr w:rsidR="00E0204C" w:rsidRPr="00A13ABC" w14:paraId="7F5FEEC3" w14:textId="77777777" w:rsidTr="009D03EF">
        <w:tc>
          <w:tcPr>
            <w:tcW w:w="8647" w:type="dxa"/>
            <w:tcBorders>
              <w:top w:val="single" w:sz="4" w:space="0" w:color="auto"/>
              <w:bottom w:val="single" w:sz="4" w:space="0" w:color="auto"/>
            </w:tcBorders>
            <w:shd w:val="clear" w:color="auto" w:fill="auto"/>
          </w:tcPr>
          <w:p w14:paraId="156FDC37"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Конвенция о ликвидации всех форм дискриминации в отношении женщин</w:t>
            </w:r>
          </w:p>
        </w:tc>
      </w:tr>
      <w:tr w:rsidR="00E0204C" w:rsidRPr="00FD325D" w14:paraId="75B34F02" w14:textId="77777777" w:rsidTr="009D03EF">
        <w:tc>
          <w:tcPr>
            <w:tcW w:w="8647" w:type="dxa"/>
            <w:tcBorders>
              <w:top w:val="single" w:sz="4" w:space="0" w:color="auto"/>
              <w:bottom w:val="single" w:sz="4" w:space="0" w:color="auto"/>
            </w:tcBorders>
            <w:shd w:val="clear" w:color="auto" w:fill="auto"/>
          </w:tcPr>
          <w:p w14:paraId="1E57A54E" w14:textId="77777777" w:rsidR="00E0204C" w:rsidRPr="008F3942" w:rsidRDefault="00E0204C" w:rsidP="009D03EF">
            <w:pPr>
              <w:pStyle w:val="H23G"/>
              <w:keepNext w:val="0"/>
              <w:keepLines w:val="0"/>
              <w:tabs>
                <w:tab w:val="clear" w:pos="851"/>
              </w:tabs>
              <w:suppressAutoHyphens w:val="0"/>
              <w:spacing w:before="40" w:line="220" w:lineRule="exact"/>
              <w:ind w:left="0" w:right="113" w:firstLine="0"/>
              <w:outlineLvl w:val="9"/>
            </w:pPr>
            <w:r>
              <w:t>Оговорки</w:t>
            </w:r>
          </w:p>
          <w:p w14:paraId="236D5B8F" w14:textId="77777777" w:rsidR="00E0204C" w:rsidRPr="008F3942" w:rsidRDefault="00E0204C" w:rsidP="009D03EF">
            <w:pPr>
              <w:suppressAutoHyphens w:val="0"/>
              <w:spacing w:before="40" w:after="120" w:line="220" w:lineRule="exact"/>
              <w:ind w:right="113"/>
              <w:rPr>
                <w:i/>
                <w:iCs/>
              </w:rPr>
            </w:pPr>
            <w:r>
              <w:rPr>
                <w:i/>
                <w:iCs/>
              </w:rPr>
              <w:t>Статья 11(2)</w:t>
            </w:r>
          </w:p>
          <w:p w14:paraId="355E3599" w14:textId="77777777" w:rsidR="00E0204C" w:rsidRPr="008F3942" w:rsidRDefault="00E0204C" w:rsidP="009D03EF">
            <w:pPr>
              <w:suppressAutoHyphens w:val="0"/>
              <w:spacing w:before="40" w:after="120" w:line="220" w:lineRule="exact"/>
              <w:ind w:right="113"/>
            </w:pPr>
            <w:r>
              <w:t xml:space="preserve">Правительство Австралии заявляет о том, что оплачиваемый отпуск по беременности и родам предоставляется большинству женщин, работающих в государственных федеральных учреждениях и учреждениях штатов Новый Южный Уэльс и Виктория. В штате Новый Южный Уэльс неоплачиваемый отпуск по беременности и родам предоставляется всем остальным работающим женщинам, а в других штатах </w:t>
            </w:r>
            <w:r w:rsidRPr="006867C7">
              <w:t>—</w:t>
            </w:r>
            <w:r>
              <w:t xml:space="preserve"> работающим женщинам, в случае которых соответствующие трудовые отношения определяются решениями Австралийского Союза и некоторых штатов. Пособия по социальному обеспечению с учетом уровня доходов выплачиваются женщинам, являющимся единственными родителями. Правительство Австралии заявляет о том, что в настоящее время оно не в состоянии принять предусмотренные в статье 11(2) меры в отношении введения на всей территории Австралии оплачиваемого отпуска по беременности и родам или отпуска с выплатой сопоставимых социальных пособий.</w:t>
            </w:r>
          </w:p>
          <w:p w14:paraId="7A3AEE58" w14:textId="77777777" w:rsidR="00E0204C" w:rsidRPr="008F3942" w:rsidRDefault="00E0204C" w:rsidP="009D03EF">
            <w:pPr>
              <w:suppressAutoHyphens w:val="0"/>
              <w:spacing w:before="40" w:after="120" w:line="220" w:lineRule="exact"/>
              <w:ind w:right="113"/>
              <w:rPr>
                <w:b/>
                <w:bCs/>
              </w:rPr>
            </w:pPr>
            <w:r>
              <w:rPr>
                <w:b/>
                <w:bCs/>
              </w:rPr>
              <w:t>Заявление</w:t>
            </w:r>
          </w:p>
          <w:p w14:paraId="41D695E9" w14:textId="77777777" w:rsidR="00E0204C" w:rsidRPr="008F3942" w:rsidRDefault="00E0204C" w:rsidP="009D03EF">
            <w:pPr>
              <w:suppressAutoHyphens w:val="0"/>
              <w:spacing w:before="40" w:after="120" w:line="220" w:lineRule="exact"/>
              <w:ind w:right="113"/>
            </w:pPr>
            <w:r>
              <w:t>В Австралии действует федеральная конституционная система, в рамках которой законодательные, исполнительные и судебные полномочия разделены или распределены между правительством Австралийского Союза и составляющими его штатами. Осуществление настоящего договора на всей территории Австралии будет осуществляться властями Австралийского Союза, штатов и территорий с учетом их соответствующих конституционных полномочий и договоренностей, касающихся их осуществления.</w:t>
            </w:r>
          </w:p>
          <w:p w14:paraId="6041F3DE" w14:textId="77777777" w:rsidR="00E0204C" w:rsidRPr="00A13ABC" w:rsidRDefault="00E0204C" w:rsidP="009D03EF">
            <w:pPr>
              <w:suppressAutoHyphens w:val="0"/>
              <w:spacing w:before="40" w:after="120" w:line="220" w:lineRule="exact"/>
              <w:ind w:right="113"/>
              <w:rPr>
                <w:b/>
                <w:bCs/>
              </w:rPr>
            </w:pPr>
            <w:r w:rsidRPr="00A13ABC">
              <w:rPr>
                <w:b/>
                <w:bCs/>
              </w:rPr>
              <w:t>Поправки</w:t>
            </w:r>
          </w:p>
          <w:p w14:paraId="5D357EE3" w14:textId="77777777" w:rsidR="00E0204C" w:rsidRPr="008F3942" w:rsidRDefault="00E0204C" w:rsidP="009D03EF">
            <w:pPr>
              <w:suppressAutoHyphens w:val="0"/>
              <w:spacing w:before="40" w:after="120" w:line="220" w:lineRule="exact"/>
              <w:ind w:right="113"/>
            </w:pPr>
            <w:r>
              <w:t>Поправка к статье 20(1), принятая 4 июня 1998 года</w:t>
            </w:r>
          </w:p>
          <w:p w14:paraId="6851B23D" w14:textId="77777777" w:rsidR="00E0204C" w:rsidRPr="008F3942" w:rsidRDefault="00E0204C" w:rsidP="009D03EF">
            <w:pPr>
              <w:suppressAutoHyphens w:val="0"/>
              <w:spacing w:before="40" w:after="120" w:line="220" w:lineRule="exact"/>
              <w:ind w:right="113"/>
              <w:rPr>
                <w:i/>
                <w:iCs/>
              </w:rPr>
            </w:pPr>
            <w:r>
              <w:rPr>
                <w:i/>
                <w:iCs/>
              </w:rPr>
              <w:t>Оговорка в отношении выполнения боевых обязанностей</w:t>
            </w:r>
          </w:p>
          <w:p w14:paraId="212FBDF5" w14:textId="77777777" w:rsidR="00E0204C" w:rsidRPr="008F3942" w:rsidRDefault="00E0204C" w:rsidP="009D03EF">
            <w:pPr>
              <w:suppressAutoHyphens w:val="0"/>
              <w:spacing w:before="40" w:after="120" w:line="220" w:lineRule="exact"/>
              <w:ind w:right="113"/>
            </w:pPr>
            <w:r>
              <w:t xml:space="preserve">Австралия ратифицировала Конвенцию с оговоркой, согласно которой «правительство Австралии заявляет, что оно не признает применение Конвенции в той мере, в какой это потребует изменения политики в отношении сил обороны, которая исключает участие женщин в выполнении боевых и смежных обязанностей. В настоящее время правительство Австралии пересматривает эту политику, с тем чтобы более четко определить понятия </w:t>
            </w:r>
            <w:r w:rsidRPr="006867C7">
              <w:t>“</w:t>
            </w:r>
            <w:r>
              <w:t>боевые обязанности</w:t>
            </w:r>
            <w:r w:rsidRPr="006867C7">
              <w:t>”</w:t>
            </w:r>
            <w:r>
              <w:t xml:space="preserve"> и </w:t>
            </w:r>
            <w:r w:rsidRPr="006867C7">
              <w:t>“</w:t>
            </w:r>
            <w:r>
              <w:t>смежные обязанности</w:t>
            </w:r>
            <w:r w:rsidRPr="006867C7">
              <w:t>”</w:t>
            </w:r>
            <w:r>
              <w:t>».</w:t>
            </w:r>
          </w:p>
          <w:p w14:paraId="3F9713C8" w14:textId="77777777" w:rsidR="00E0204C" w:rsidRPr="008F3942" w:rsidRDefault="00E0204C" w:rsidP="009D03EF">
            <w:pPr>
              <w:suppressAutoHyphens w:val="0"/>
              <w:spacing w:before="40" w:after="120" w:line="220" w:lineRule="exact"/>
              <w:ind w:right="113"/>
            </w:pPr>
            <w:r>
              <w:t xml:space="preserve">30 августа 2000 года Австралия сняла эту часть оговорки и представила следующую оговорку: «Правительство Австралии заявляет, что оно не признает применение Конвенции в той мере, в какой это потребует изменения политики в отношении сил обороны, которая исключает участие женщин в выполнении боевых обязанностей». </w:t>
            </w:r>
          </w:p>
          <w:p w14:paraId="21DEA6D7" w14:textId="77777777" w:rsidR="00E0204C" w:rsidRPr="008F3942" w:rsidRDefault="00E0204C" w:rsidP="009D03EF">
            <w:pPr>
              <w:suppressAutoHyphens w:val="0"/>
              <w:spacing w:before="40" w:after="120" w:line="220" w:lineRule="exact"/>
              <w:ind w:right="113"/>
            </w:pPr>
            <w:r>
              <w:t>14 декабря 2018 года Австралия приняла решение снять эту оговорку, вступившее в силу в тот же день</w:t>
            </w:r>
            <w:r w:rsidRPr="004F59E4">
              <w:rPr>
                <w:i/>
                <w:iCs/>
                <w:vertAlign w:val="superscript"/>
              </w:rPr>
              <w:t>2</w:t>
            </w:r>
            <w:r>
              <w:t>.</w:t>
            </w:r>
          </w:p>
        </w:tc>
      </w:tr>
      <w:tr w:rsidR="00E0204C" w:rsidRPr="00A13ABC" w14:paraId="22E51098" w14:textId="77777777" w:rsidTr="009D03EF">
        <w:tc>
          <w:tcPr>
            <w:tcW w:w="8647" w:type="dxa"/>
            <w:tcBorders>
              <w:top w:val="single" w:sz="4" w:space="0" w:color="auto"/>
              <w:bottom w:val="single" w:sz="4" w:space="0" w:color="auto"/>
            </w:tcBorders>
            <w:shd w:val="clear" w:color="auto" w:fill="auto"/>
          </w:tcPr>
          <w:p w14:paraId="7AEAF5CF"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lastRenderedPageBreak/>
              <w:t>Конвенция о ликвидации всех форм расовой дискриминации (КЛРД)</w:t>
            </w:r>
          </w:p>
        </w:tc>
      </w:tr>
      <w:tr w:rsidR="00E0204C" w:rsidRPr="00FD325D" w14:paraId="7400B42C" w14:textId="77777777" w:rsidTr="009D03EF">
        <w:tc>
          <w:tcPr>
            <w:tcW w:w="8647" w:type="dxa"/>
            <w:tcBorders>
              <w:top w:val="single" w:sz="4" w:space="0" w:color="auto"/>
              <w:bottom w:val="nil"/>
            </w:tcBorders>
            <w:shd w:val="clear" w:color="auto" w:fill="auto"/>
          </w:tcPr>
          <w:p w14:paraId="48BA5D94" w14:textId="77777777" w:rsidR="00E0204C" w:rsidRPr="008F3942" w:rsidRDefault="00E0204C" w:rsidP="009D03EF">
            <w:pPr>
              <w:suppressAutoHyphens w:val="0"/>
              <w:spacing w:before="40" w:after="120" w:line="220" w:lineRule="exact"/>
              <w:ind w:right="113"/>
              <w:rPr>
                <w:b/>
                <w:bCs/>
              </w:rPr>
            </w:pPr>
            <w:r>
              <w:rPr>
                <w:b/>
                <w:bCs/>
              </w:rPr>
              <w:t>Оговорка</w:t>
            </w:r>
          </w:p>
          <w:p w14:paraId="30A4BFBF" w14:textId="77777777" w:rsidR="00E0204C" w:rsidRPr="008F3942" w:rsidRDefault="00E0204C" w:rsidP="009D03EF">
            <w:pPr>
              <w:suppressAutoHyphens w:val="0"/>
              <w:spacing w:before="40" w:after="120" w:line="220" w:lineRule="exact"/>
              <w:ind w:right="113"/>
              <w:rPr>
                <w:i/>
                <w:iCs/>
              </w:rPr>
            </w:pPr>
            <w:r>
              <w:rPr>
                <w:i/>
                <w:iCs/>
              </w:rPr>
              <w:t>Статья 4 a)</w:t>
            </w:r>
          </w:p>
          <w:p w14:paraId="3B5CD914" w14:textId="61A29263" w:rsidR="00E0204C" w:rsidRPr="008F3942" w:rsidRDefault="00E0204C" w:rsidP="009D03EF">
            <w:pPr>
              <w:suppressAutoHyphens w:val="0"/>
              <w:spacing w:before="40" w:after="120" w:line="220" w:lineRule="exact"/>
              <w:ind w:right="113"/>
              <w:rPr>
                <w:i/>
                <w:sz w:val="16"/>
              </w:rPr>
            </w:pPr>
            <w:r>
              <w:t>Правительство Австралии... заявляет, что в настоящее время Австралия не имеет возможности конкретно квалифицировать в качестве правонарушений все вопросы, охватываемые статьей 4 а) Конвенции. Действия указанного в ней характера наказуемы только в той мере, в какой это предусмотрено действующим уголовным законодательством, регулирующим такие вопросы, как поддержание общественного порядка, публичное хулиганство, нападение, массовые беспорядки, уголовно наказуемая клевета, заговор и покушения. Австралийское правительство намерено при первом же удобном случае обратиться в парламент с просьбой принять законодательство, конкретно предусматривающее выполнение положений статьи</w:t>
            </w:r>
            <w:r w:rsidR="00A13ABC">
              <w:t> </w:t>
            </w:r>
            <w:r>
              <w:t>4</w:t>
            </w:r>
            <w:r w:rsidR="00A13ABC">
              <w:t> </w:t>
            </w:r>
            <w:r>
              <w:t>а).</w:t>
            </w:r>
          </w:p>
        </w:tc>
      </w:tr>
      <w:tr w:rsidR="00E0204C" w:rsidRPr="00FD325D" w14:paraId="5EDA73B3" w14:textId="77777777" w:rsidTr="009D03EF">
        <w:tc>
          <w:tcPr>
            <w:tcW w:w="8647" w:type="dxa"/>
            <w:tcBorders>
              <w:top w:val="nil"/>
              <w:bottom w:val="single" w:sz="4" w:space="0" w:color="auto"/>
            </w:tcBorders>
            <w:shd w:val="clear" w:color="auto" w:fill="auto"/>
          </w:tcPr>
          <w:p w14:paraId="5A0CE901" w14:textId="77777777" w:rsidR="00E0204C" w:rsidRPr="008F3942" w:rsidRDefault="00E0204C" w:rsidP="009D03EF">
            <w:pPr>
              <w:keepNext/>
              <w:suppressAutoHyphens w:val="0"/>
              <w:spacing w:before="40" w:after="120" w:line="220" w:lineRule="exact"/>
              <w:ind w:right="113"/>
              <w:rPr>
                <w:b/>
                <w:bCs/>
              </w:rPr>
            </w:pPr>
            <w:r>
              <w:rPr>
                <w:b/>
                <w:bCs/>
              </w:rPr>
              <w:t>Заявление</w:t>
            </w:r>
          </w:p>
          <w:p w14:paraId="3C53B04B" w14:textId="77777777" w:rsidR="00E0204C" w:rsidRPr="008F3942" w:rsidRDefault="00E0204C" w:rsidP="009D03EF">
            <w:pPr>
              <w:suppressAutoHyphens w:val="0"/>
              <w:spacing w:before="40" w:after="120" w:line="220" w:lineRule="exact"/>
              <w:ind w:right="113"/>
            </w:pPr>
            <w:r>
              <w:t xml:space="preserve">Правительство Австралии настоящим заявляет, что оно признает от имени Австралии компетенцию Комитета получать и рассматривать сообщения от находящихся под его юрисдикцией отдельных лиц или групп лиц, которые утверждают, что являются жертвами нарушения Австралией любого из прав, изложенных в вышеупомянутой Конвенции </w:t>
            </w:r>
            <w:r w:rsidRPr="006B6B5C">
              <w:t>—</w:t>
            </w:r>
            <w:r>
              <w:t xml:space="preserve"> 28 января 1993 года</w:t>
            </w:r>
          </w:p>
          <w:p w14:paraId="719EFA6B" w14:textId="77777777" w:rsidR="00E0204C" w:rsidRPr="008F3942" w:rsidRDefault="00E0204C" w:rsidP="009D03EF">
            <w:pPr>
              <w:suppressAutoHyphens w:val="0"/>
              <w:spacing w:before="40" w:after="120" w:line="220" w:lineRule="exact"/>
              <w:ind w:right="113"/>
              <w:rPr>
                <w:b/>
                <w:bCs/>
              </w:rPr>
            </w:pPr>
            <w:r>
              <w:rPr>
                <w:b/>
                <w:bCs/>
              </w:rPr>
              <w:t>Поправка</w:t>
            </w:r>
          </w:p>
          <w:p w14:paraId="7AF9DE84" w14:textId="77777777" w:rsidR="00E0204C" w:rsidRPr="008F3942" w:rsidRDefault="00E0204C" w:rsidP="009D03EF">
            <w:pPr>
              <w:suppressAutoHyphens w:val="0"/>
              <w:spacing w:before="40" w:after="120" w:line="220" w:lineRule="exact"/>
              <w:ind w:right="113"/>
            </w:pPr>
            <w:r>
              <w:t>Поправка к статье 8, принятая 15 октября 1993 года</w:t>
            </w:r>
          </w:p>
        </w:tc>
      </w:tr>
      <w:tr w:rsidR="00E0204C" w:rsidRPr="00A13ABC" w14:paraId="6ADE0E0F" w14:textId="77777777" w:rsidTr="009D03EF">
        <w:tc>
          <w:tcPr>
            <w:tcW w:w="8647" w:type="dxa"/>
            <w:tcBorders>
              <w:top w:val="single" w:sz="4" w:space="0" w:color="auto"/>
              <w:bottom w:val="single" w:sz="4" w:space="0" w:color="auto"/>
            </w:tcBorders>
            <w:shd w:val="clear" w:color="auto" w:fill="auto"/>
          </w:tcPr>
          <w:p w14:paraId="7D957CB4"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Конвенция о правах ребенка (КПР)</w:t>
            </w:r>
          </w:p>
        </w:tc>
      </w:tr>
      <w:tr w:rsidR="00E0204C" w:rsidRPr="00FD325D" w14:paraId="3F5B90B2" w14:textId="77777777" w:rsidTr="009D03EF">
        <w:tc>
          <w:tcPr>
            <w:tcW w:w="8647" w:type="dxa"/>
            <w:tcBorders>
              <w:top w:val="single" w:sz="4" w:space="0" w:color="auto"/>
              <w:bottom w:val="single" w:sz="4" w:space="0" w:color="auto"/>
            </w:tcBorders>
            <w:shd w:val="clear" w:color="auto" w:fill="auto"/>
          </w:tcPr>
          <w:p w14:paraId="63CE3B46" w14:textId="77777777" w:rsidR="00E0204C" w:rsidRPr="008F3942" w:rsidRDefault="00E0204C" w:rsidP="009D03EF">
            <w:pPr>
              <w:suppressAutoHyphens w:val="0"/>
              <w:spacing w:before="40" w:after="120" w:line="220" w:lineRule="exact"/>
              <w:ind w:right="113"/>
              <w:rPr>
                <w:b/>
                <w:bCs/>
              </w:rPr>
            </w:pPr>
            <w:r>
              <w:rPr>
                <w:b/>
                <w:bCs/>
              </w:rPr>
              <w:t>Оговорка</w:t>
            </w:r>
          </w:p>
          <w:p w14:paraId="79C4E6EF" w14:textId="77777777" w:rsidR="00E0204C" w:rsidRPr="008F3942" w:rsidRDefault="00E0204C" w:rsidP="009D03EF">
            <w:pPr>
              <w:suppressAutoHyphens w:val="0"/>
              <w:spacing w:before="40" w:after="120" w:line="220" w:lineRule="exact"/>
              <w:ind w:right="113"/>
              <w:rPr>
                <w:i/>
                <w:iCs/>
              </w:rPr>
            </w:pPr>
            <w:r>
              <w:rPr>
                <w:i/>
                <w:iCs/>
              </w:rPr>
              <w:t>Статья 37 c)</w:t>
            </w:r>
          </w:p>
          <w:p w14:paraId="11DC5E5B" w14:textId="77777777" w:rsidR="00E0204C" w:rsidRPr="008F3942" w:rsidRDefault="00E0204C" w:rsidP="009D03EF">
            <w:pPr>
              <w:suppressAutoHyphens w:val="0"/>
              <w:spacing w:before="40" w:after="120" w:line="220" w:lineRule="exact"/>
              <w:ind w:right="113"/>
            </w:pPr>
            <w:r>
              <w:t>Австралия признает общие принципы статьи 37. Что касается второго предложения пункта с), то обязательство содержать детей отдельно от взрослых в тюрьме принимается только в той мере, в какой ответственные органы считают такое тюремное заключение осуществимым и соответствующим обязательству по обеспечению того, чтобы дети могли поддерживать контакты со своими семьями, с учетом географических и демографических особенностей Австралии. Таким образом, Австралия ратифицирует Конвенцию, отмечая при этом, что она не может выполнять обязательство, предусмотренное статьей 37 с).</w:t>
            </w:r>
          </w:p>
          <w:p w14:paraId="4E1C8287" w14:textId="77777777" w:rsidR="00E0204C" w:rsidRPr="00A13ABC" w:rsidRDefault="00E0204C" w:rsidP="009D03EF">
            <w:pPr>
              <w:suppressAutoHyphens w:val="0"/>
              <w:spacing w:before="40" w:after="120" w:line="220" w:lineRule="exact"/>
              <w:ind w:right="113"/>
              <w:rPr>
                <w:b/>
                <w:bCs/>
              </w:rPr>
            </w:pPr>
            <w:r w:rsidRPr="00A13ABC">
              <w:rPr>
                <w:b/>
                <w:bCs/>
              </w:rPr>
              <w:t>Поправки</w:t>
            </w:r>
          </w:p>
          <w:p w14:paraId="36C85B19" w14:textId="77777777" w:rsidR="00E0204C" w:rsidRPr="008F3942" w:rsidRDefault="00E0204C" w:rsidP="009D03EF">
            <w:pPr>
              <w:suppressAutoHyphens w:val="0"/>
              <w:spacing w:before="40" w:after="120" w:line="220" w:lineRule="exact"/>
              <w:ind w:right="113"/>
            </w:pPr>
            <w:r>
              <w:t xml:space="preserve">Поправка к статье 43(2) не принята </w:t>
            </w:r>
          </w:p>
        </w:tc>
      </w:tr>
      <w:tr w:rsidR="00E0204C" w:rsidRPr="00A13ABC" w14:paraId="1B946711" w14:textId="77777777" w:rsidTr="00A13ABC">
        <w:tc>
          <w:tcPr>
            <w:tcW w:w="8647" w:type="dxa"/>
            <w:tcBorders>
              <w:top w:val="single" w:sz="4" w:space="0" w:color="auto"/>
              <w:bottom w:val="single" w:sz="4" w:space="0" w:color="auto"/>
            </w:tcBorders>
            <w:shd w:val="clear" w:color="auto" w:fill="auto"/>
          </w:tcPr>
          <w:p w14:paraId="36CAC280"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Факультативный протокол к Конвенции о правах ребенка, касающийся участия детей в вооруженных конфликтах (ФП-КПР-ВК)</w:t>
            </w:r>
          </w:p>
        </w:tc>
      </w:tr>
      <w:tr w:rsidR="00E0204C" w:rsidRPr="00FD325D" w14:paraId="10EC3A86" w14:textId="77777777" w:rsidTr="00A13ABC">
        <w:tc>
          <w:tcPr>
            <w:tcW w:w="8647" w:type="dxa"/>
            <w:tcBorders>
              <w:top w:val="single" w:sz="4" w:space="0" w:color="auto"/>
              <w:bottom w:val="nil"/>
            </w:tcBorders>
            <w:shd w:val="clear" w:color="auto" w:fill="auto"/>
          </w:tcPr>
          <w:p w14:paraId="2742C45B" w14:textId="77777777" w:rsidR="00E0204C" w:rsidRPr="008F3942" w:rsidRDefault="00E0204C" w:rsidP="009D03EF">
            <w:pPr>
              <w:suppressAutoHyphens w:val="0"/>
              <w:spacing w:before="40" w:after="120" w:line="220" w:lineRule="exact"/>
              <w:ind w:right="113"/>
              <w:rPr>
                <w:b/>
                <w:bCs/>
              </w:rPr>
            </w:pPr>
            <w:r>
              <w:rPr>
                <w:b/>
                <w:bCs/>
              </w:rPr>
              <w:t>Заявление</w:t>
            </w:r>
          </w:p>
          <w:p w14:paraId="47738DFB" w14:textId="77777777" w:rsidR="00E0204C" w:rsidRPr="008F3942" w:rsidRDefault="00E0204C" w:rsidP="009D03EF">
            <w:pPr>
              <w:suppressAutoHyphens w:val="0"/>
              <w:spacing w:before="40" w:after="120" w:line="220" w:lineRule="exact"/>
              <w:ind w:right="113"/>
            </w:pPr>
            <w:r>
              <w:t xml:space="preserve">В австралийских силах обороны (АСО) будет по-прежнему соблюдаться минимальный возраст добровольного призыва, составляющий 17 лет. </w:t>
            </w:r>
          </w:p>
          <w:p w14:paraId="371AB57E" w14:textId="77777777" w:rsidR="00E0204C" w:rsidRPr="008F3942" w:rsidRDefault="00E0204C" w:rsidP="009D03EF">
            <w:pPr>
              <w:suppressAutoHyphens w:val="0"/>
              <w:spacing w:before="40" w:after="120" w:line="220" w:lineRule="exact"/>
              <w:ind w:right="113"/>
            </w:pPr>
            <w:r>
              <w:t xml:space="preserve">В соответствии со статьей 3(5) Факультативного протокола возрастные ограничения не распространяются на военные училища. Список разрешенных учебных заведений, как военных, так и гражданских (включая те, которые используются для подготовки призывников), на которые распространяется это возрастное исключение, находится в ведении генерального директора службы по вопросам управления профессиональным ростом. Возрастные ограничения также не распространяются на программы подготовки кадетов, участники которых не призываются на военную службу и, следовательно, не являются членами АСО. </w:t>
            </w:r>
          </w:p>
          <w:p w14:paraId="324B619B" w14:textId="5E957AE8" w:rsidR="00E0204C" w:rsidRPr="008F3942" w:rsidRDefault="00E0204C" w:rsidP="00A13ABC">
            <w:pPr>
              <w:suppressAutoHyphens w:val="0"/>
              <w:spacing w:before="40" w:after="120" w:line="220" w:lineRule="exact"/>
              <w:ind w:right="113"/>
            </w:pPr>
            <w:r>
              <w:t>Лица, желающие быть зачисленными в состав АСО, должны предоставить оригинал заверенной копии своего свидетельства о рождении своему рекрутеру. Перед зачислением на службу в АСО все кандидаты, не достигшие 18 лет, должны представить письменное информированное согласие своих родителей или опекунов.</w:t>
            </w:r>
          </w:p>
        </w:tc>
      </w:tr>
      <w:tr w:rsidR="00A13ABC" w:rsidRPr="00FD325D" w14:paraId="524A6958" w14:textId="77777777" w:rsidTr="00A13ABC">
        <w:tc>
          <w:tcPr>
            <w:tcW w:w="8647" w:type="dxa"/>
            <w:tcBorders>
              <w:top w:val="nil"/>
              <w:bottom w:val="single" w:sz="4" w:space="0" w:color="auto"/>
            </w:tcBorders>
            <w:shd w:val="clear" w:color="auto" w:fill="auto"/>
          </w:tcPr>
          <w:p w14:paraId="2A1066F4" w14:textId="27990F84" w:rsidR="00A13ABC" w:rsidRDefault="00A13ABC" w:rsidP="009D03EF">
            <w:pPr>
              <w:suppressAutoHyphens w:val="0"/>
              <w:spacing w:before="40" w:after="120" w:line="220" w:lineRule="exact"/>
              <w:ind w:right="113"/>
              <w:rPr>
                <w:b/>
                <w:bCs/>
              </w:rPr>
            </w:pPr>
            <w:r>
              <w:lastRenderedPageBreak/>
              <w:t>Все кандидаты, желающие поступить на службу в АСО, должны быть полностью проинформированы о характере своих будущих обязанностей и ответственности. Рекрутеры должны удостовериться в том, что заявление о зачислении в состав АСО, представленное лицом, не достигшим 18 лет, было подано действительно добровольно.</w:t>
            </w:r>
          </w:p>
        </w:tc>
      </w:tr>
      <w:tr w:rsidR="00E0204C" w:rsidRPr="00A13ABC" w14:paraId="499266BB" w14:textId="77777777" w:rsidTr="009D03EF">
        <w:tc>
          <w:tcPr>
            <w:tcW w:w="8647" w:type="dxa"/>
            <w:tcBorders>
              <w:top w:val="single" w:sz="4" w:space="0" w:color="auto"/>
              <w:bottom w:val="single" w:sz="4" w:space="0" w:color="auto"/>
            </w:tcBorders>
            <w:shd w:val="clear" w:color="auto" w:fill="auto"/>
          </w:tcPr>
          <w:p w14:paraId="518DD788"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Конвенция о правах инвалидов (КПИ)</w:t>
            </w:r>
          </w:p>
        </w:tc>
      </w:tr>
      <w:tr w:rsidR="00E0204C" w:rsidRPr="00FD325D" w14:paraId="13192650" w14:textId="77777777" w:rsidTr="009D03EF">
        <w:tc>
          <w:tcPr>
            <w:tcW w:w="8647" w:type="dxa"/>
            <w:tcBorders>
              <w:top w:val="single" w:sz="4" w:space="0" w:color="auto"/>
              <w:bottom w:val="nil"/>
            </w:tcBorders>
            <w:shd w:val="clear" w:color="auto" w:fill="auto"/>
          </w:tcPr>
          <w:p w14:paraId="107BE41C" w14:textId="77777777" w:rsidR="00E0204C" w:rsidRPr="008F3942" w:rsidRDefault="00E0204C" w:rsidP="009D03EF">
            <w:pPr>
              <w:suppressAutoHyphens w:val="0"/>
              <w:spacing w:before="40" w:after="120" w:line="220" w:lineRule="exact"/>
              <w:ind w:right="113"/>
              <w:rPr>
                <w:b/>
                <w:bCs/>
              </w:rPr>
            </w:pPr>
            <w:r>
              <w:rPr>
                <w:b/>
                <w:bCs/>
              </w:rPr>
              <w:t>Заявление</w:t>
            </w:r>
          </w:p>
          <w:p w14:paraId="7BEAC748" w14:textId="77777777" w:rsidR="00E0204C" w:rsidRPr="008F3942" w:rsidRDefault="00E0204C" w:rsidP="009D03EF">
            <w:pPr>
              <w:suppressAutoHyphens w:val="0"/>
              <w:spacing w:before="40" w:after="120" w:line="220" w:lineRule="exact"/>
              <w:ind w:right="113"/>
            </w:pPr>
            <w:r>
              <w:t xml:space="preserve">Австралия признает, что инвалиды обладают дееспособностью наравне с другими людьми во всех аспектах жизни. Австралия заявляет о своем понимании того, что Конвенция разрешает режим принятия решений с полной поддержкой или режим замещающего принятия решений, который предусматривает принятие решений от имени лица, но только в тех случаях, когда такие режимы необходимы, в качестве крайней меры и при условии соблюдения гарантий; </w:t>
            </w:r>
          </w:p>
          <w:p w14:paraId="78EC0F70" w14:textId="77777777" w:rsidR="00E0204C" w:rsidRPr="008F3942" w:rsidRDefault="00E0204C" w:rsidP="009D03EF">
            <w:pPr>
              <w:suppressAutoHyphens w:val="0"/>
              <w:spacing w:before="40" w:after="120" w:line="220" w:lineRule="exact"/>
              <w:ind w:right="113"/>
              <w:rPr>
                <w:i/>
                <w:sz w:val="16"/>
              </w:rPr>
            </w:pPr>
            <w:r>
              <w:t xml:space="preserve">Австралия признает, что каждый человек с инвалидностью имеет право на уважение его физической и психической неприкосновенности наравне с другими. Австралия также заявляет о своем понимании того, что Конвенция допускает принудительную помощь или лечение лиц, включая меры, принимаемые для лечения психических расстройств, когда такое лечение необходимо, в качестве крайней меры и при условии соблюдения гарантий; </w:t>
            </w:r>
          </w:p>
        </w:tc>
      </w:tr>
      <w:tr w:rsidR="00E0204C" w:rsidRPr="00FD325D" w14:paraId="09C3A641" w14:textId="77777777" w:rsidTr="00A13ABC">
        <w:tc>
          <w:tcPr>
            <w:tcW w:w="8647" w:type="dxa"/>
            <w:tcBorders>
              <w:top w:val="nil"/>
              <w:bottom w:val="single" w:sz="12" w:space="0" w:color="auto"/>
            </w:tcBorders>
            <w:shd w:val="clear" w:color="auto" w:fill="auto"/>
          </w:tcPr>
          <w:p w14:paraId="46DF90D2" w14:textId="77777777" w:rsidR="00E0204C" w:rsidRPr="008F3942" w:rsidRDefault="00E0204C" w:rsidP="009D03EF">
            <w:pPr>
              <w:keepLines/>
              <w:suppressAutoHyphens w:val="0"/>
              <w:spacing w:before="40" w:after="120" w:line="220" w:lineRule="exact"/>
              <w:ind w:right="113"/>
            </w:pPr>
            <w:r>
              <w:t>Австралия признает права людей с инвалидностью на свободу передвижения, свободу выбора места жительства и гражданства наравне с другими. Австралия далее заявляет о своем понимании того, что Конвенция не создает права для того или иного лица на въезд или пребывание в стране, гражданином которой оно не является, и не влияет на требования Австралии к состоянию здоровья неграждан, желающих въехать или остаться в Австралии, если эти требования основаны на законных, объективных и разумных критериях.</w:t>
            </w:r>
          </w:p>
        </w:tc>
      </w:tr>
    </w:tbl>
    <w:p w14:paraId="31CDB68C" w14:textId="23504D4A" w:rsidR="00E0204C" w:rsidRPr="00A13ABC" w:rsidRDefault="00E0204C" w:rsidP="00A13ABC">
      <w:pPr>
        <w:spacing w:before="120" w:line="220" w:lineRule="exact"/>
        <w:ind w:left="1134" w:right="1134" w:firstLine="170"/>
        <w:rPr>
          <w:sz w:val="18"/>
          <w:szCs w:val="18"/>
        </w:rPr>
      </w:pPr>
      <w:r w:rsidRPr="00A13ABC">
        <w:rPr>
          <w:i/>
          <w:iCs/>
          <w:sz w:val="18"/>
          <w:szCs w:val="18"/>
          <w:vertAlign w:val="superscript"/>
        </w:rPr>
        <w:t>1</w:t>
      </w:r>
      <w:r w:rsidRPr="00A13ABC">
        <w:rPr>
          <w:sz w:val="18"/>
          <w:szCs w:val="18"/>
        </w:rPr>
        <w:t xml:space="preserve"> </w:t>
      </w:r>
      <w:r w:rsidR="00A13ABC">
        <w:rPr>
          <w:sz w:val="18"/>
          <w:szCs w:val="18"/>
        </w:rPr>
        <w:t xml:space="preserve"> </w:t>
      </w:r>
      <w:r w:rsidRPr="00A13ABC">
        <w:rPr>
          <w:sz w:val="18"/>
          <w:szCs w:val="18"/>
        </w:rPr>
        <w:t>Австралия не имеет оговорок, заявлений или поправок к МПЭСКП.</w:t>
      </w:r>
    </w:p>
    <w:p w14:paraId="3BE0F5C5" w14:textId="5AB1D916" w:rsidR="00E0204C" w:rsidRPr="00A13ABC" w:rsidRDefault="00E0204C" w:rsidP="00A13ABC">
      <w:pPr>
        <w:pStyle w:val="SingleTxtG"/>
        <w:spacing w:after="240" w:line="220" w:lineRule="exact"/>
        <w:ind w:firstLine="170"/>
        <w:jc w:val="left"/>
        <w:rPr>
          <w:sz w:val="18"/>
          <w:szCs w:val="18"/>
        </w:rPr>
      </w:pPr>
      <w:r w:rsidRPr="00A13ABC">
        <w:rPr>
          <w:i/>
          <w:iCs/>
          <w:sz w:val="18"/>
          <w:szCs w:val="18"/>
          <w:vertAlign w:val="superscript"/>
        </w:rPr>
        <w:t>2</w:t>
      </w:r>
      <w:r w:rsidRPr="00A13ABC">
        <w:rPr>
          <w:sz w:val="18"/>
          <w:szCs w:val="18"/>
        </w:rPr>
        <w:t xml:space="preserve"> </w:t>
      </w:r>
      <w:r w:rsidR="00A13ABC">
        <w:rPr>
          <w:sz w:val="18"/>
          <w:szCs w:val="18"/>
        </w:rPr>
        <w:t xml:space="preserve"> </w:t>
      </w:r>
      <w:r w:rsidRPr="00A13ABC">
        <w:rPr>
          <w:sz w:val="18"/>
          <w:szCs w:val="18"/>
        </w:rPr>
        <w:t>25 октября 2018 года федеральный парламент принял Закон о внесении изменений в законодательство о гражданском праве и правосудии 2018 года, отменяющий статью 43 Закона о дискриминации по признаку пола 1984 года, которая исключала дискриминацию в отношении женщин в связи с выполнением боевых обязанностей, и устраняющий все препятствия, мешающие женщинам выполнять боевые функции. Это позволило Австралии снять свою оговорку к КЛДОЖ, поскольку в настоящее время Австралия выполняет обязательства по статьям 11(1) b) и 11(1) c).</w:t>
      </w:r>
    </w:p>
    <w:p w14:paraId="33EFA969" w14:textId="44876A11" w:rsidR="00E0204C" w:rsidRPr="008F3942" w:rsidRDefault="00A13ABC" w:rsidP="00A13ABC">
      <w:pPr>
        <w:pStyle w:val="H23G"/>
        <w:rPr>
          <w:bCs/>
        </w:rPr>
      </w:pPr>
      <w:r>
        <w:tab/>
      </w:r>
      <w:r>
        <w:tab/>
      </w:r>
      <w:r w:rsidR="00E0204C" w:rsidRPr="00A13ABC">
        <w:rPr>
          <w:b w:val="0"/>
          <w:bCs/>
        </w:rPr>
        <w:t>Таблица A2</w:t>
      </w:r>
      <w:r w:rsidRPr="00A13ABC">
        <w:rPr>
          <w:b w:val="0"/>
          <w:bCs/>
        </w:rPr>
        <w:br/>
      </w:r>
      <w:r w:rsidR="00E0204C">
        <w:rPr>
          <w:bCs/>
        </w:rPr>
        <w:t>Другие международные договоры, участником которых является Австралия</w:t>
      </w:r>
      <w:r w:rsidR="00E0204C">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E0204C" w:rsidRPr="00A13ABC" w14:paraId="7FE2CFE1" w14:textId="77777777" w:rsidTr="00A4109C">
        <w:trPr>
          <w:cantSplit/>
        </w:trPr>
        <w:tc>
          <w:tcPr>
            <w:tcW w:w="8647" w:type="dxa"/>
            <w:tcBorders>
              <w:top w:val="single" w:sz="4" w:space="0" w:color="auto"/>
              <w:bottom w:val="single" w:sz="4" w:space="0" w:color="auto"/>
            </w:tcBorders>
            <w:shd w:val="clear" w:color="auto" w:fill="auto"/>
            <w:vAlign w:val="bottom"/>
          </w:tcPr>
          <w:p w14:paraId="0C42F5F8" w14:textId="3332B679" w:rsidR="00E0204C" w:rsidRPr="00A13ABC" w:rsidRDefault="00A13ABC" w:rsidP="009D03EF">
            <w:pPr>
              <w:suppressAutoHyphens w:val="0"/>
              <w:spacing w:before="80" w:after="80" w:line="200" w:lineRule="exact"/>
              <w:ind w:right="113"/>
              <w:rPr>
                <w:i/>
                <w:sz w:val="16"/>
                <w:szCs w:val="16"/>
              </w:rPr>
            </w:pPr>
            <w:r>
              <w:rPr>
                <w:i/>
                <w:iCs/>
                <w:sz w:val="16"/>
                <w:szCs w:val="16"/>
              </w:rPr>
              <w:t xml:space="preserve"> </w:t>
            </w:r>
            <w:r w:rsidR="00E0204C" w:rsidRPr="00A13ABC">
              <w:rPr>
                <w:i/>
                <w:iCs/>
                <w:sz w:val="16"/>
                <w:szCs w:val="16"/>
              </w:rPr>
              <w:t>Договоры ООН по правам человека и смежные договоры</w:t>
            </w:r>
          </w:p>
        </w:tc>
      </w:tr>
      <w:tr w:rsidR="00E0204C" w:rsidRPr="00FD325D" w14:paraId="5C0ED11C" w14:textId="77777777" w:rsidTr="00A4109C">
        <w:tc>
          <w:tcPr>
            <w:tcW w:w="8647" w:type="dxa"/>
            <w:tcBorders>
              <w:top w:val="single" w:sz="4" w:space="0" w:color="auto"/>
              <w:bottom w:val="nil"/>
            </w:tcBorders>
            <w:shd w:val="clear" w:color="auto" w:fill="auto"/>
          </w:tcPr>
          <w:p w14:paraId="3B4DF20F" w14:textId="20FA1271" w:rsidR="00E0204C" w:rsidRPr="008F3942" w:rsidRDefault="00E0204C" w:rsidP="00A13ABC">
            <w:pPr>
              <w:pStyle w:val="Bullet1G"/>
              <w:numPr>
                <w:ilvl w:val="0"/>
                <w:numId w:val="22"/>
              </w:numPr>
              <w:tabs>
                <w:tab w:val="clear" w:pos="1701"/>
              </w:tabs>
              <w:ind w:left="426" w:right="138"/>
            </w:pPr>
            <w:r>
              <w:t>Конвенция о предупреждении преступления геноцида и наказании за него 1948</w:t>
            </w:r>
            <w:r w:rsidR="00AB2541">
              <w:t> </w:t>
            </w:r>
            <w:r>
              <w:t>года</w:t>
            </w:r>
          </w:p>
          <w:p w14:paraId="384C0516" w14:textId="77777777" w:rsidR="00E0204C" w:rsidRPr="008F3942" w:rsidRDefault="00E0204C" w:rsidP="00A13ABC">
            <w:pPr>
              <w:pStyle w:val="Bullet1G"/>
              <w:numPr>
                <w:ilvl w:val="0"/>
                <w:numId w:val="22"/>
              </w:numPr>
              <w:tabs>
                <w:tab w:val="clear" w:pos="1701"/>
              </w:tabs>
              <w:ind w:left="426" w:right="138"/>
            </w:pPr>
            <w:r>
              <w:t>Конвенция о рабстве 1926 года, с поправками, внесенными в 1955 году</w:t>
            </w:r>
          </w:p>
          <w:p w14:paraId="576BFC73" w14:textId="77777777" w:rsidR="00E0204C" w:rsidRPr="008F3942" w:rsidRDefault="00E0204C" w:rsidP="00A13ABC">
            <w:pPr>
              <w:pStyle w:val="Bullet1G"/>
              <w:numPr>
                <w:ilvl w:val="0"/>
                <w:numId w:val="22"/>
              </w:numPr>
              <w:tabs>
                <w:tab w:val="clear" w:pos="1701"/>
              </w:tabs>
              <w:ind w:left="426" w:right="138"/>
            </w:pPr>
            <w:r>
              <w:t>Конвенция о статусе беженцев 1951 года и Протокол к ней 1967 года</w:t>
            </w:r>
          </w:p>
          <w:p w14:paraId="64C0B159" w14:textId="77777777" w:rsidR="00E0204C" w:rsidRPr="008F3942" w:rsidRDefault="00E0204C" w:rsidP="00A13ABC">
            <w:pPr>
              <w:pStyle w:val="Bullet1G"/>
              <w:numPr>
                <w:ilvl w:val="0"/>
                <w:numId w:val="22"/>
              </w:numPr>
              <w:tabs>
                <w:tab w:val="clear" w:pos="1701"/>
              </w:tabs>
              <w:ind w:left="426" w:right="138"/>
            </w:pPr>
            <w:r>
              <w:t>Конвенция о политических правах женщин 1954 года</w:t>
            </w:r>
          </w:p>
          <w:p w14:paraId="4F60A0E9" w14:textId="77777777" w:rsidR="00E0204C" w:rsidRPr="00D62FAA" w:rsidRDefault="00E0204C" w:rsidP="00A13ABC">
            <w:pPr>
              <w:pStyle w:val="Bullet1G"/>
              <w:numPr>
                <w:ilvl w:val="0"/>
                <w:numId w:val="22"/>
              </w:numPr>
              <w:tabs>
                <w:tab w:val="clear" w:pos="1701"/>
              </w:tabs>
              <w:ind w:left="426" w:right="138"/>
            </w:pPr>
            <w:r>
              <w:t>Конвенция о статусе апатридов 1954 года</w:t>
            </w:r>
          </w:p>
          <w:p w14:paraId="4909F4F8" w14:textId="77777777" w:rsidR="00E0204C" w:rsidRPr="00D62FAA" w:rsidRDefault="00E0204C" w:rsidP="00A13ABC">
            <w:pPr>
              <w:pStyle w:val="Bullet1G"/>
              <w:numPr>
                <w:ilvl w:val="0"/>
                <w:numId w:val="22"/>
              </w:numPr>
              <w:tabs>
                <w:tab w:val="clear" w:pos="1701"/>
              </w:tabs>
              <w:ind w:left="426" w:right="138"/>
            </w:pPr>
            <w:r>
              <w:t>Конвенция о сокращении безгражданства 1961 года</w:t>
            </w:r>
          </w:p>
          <w:p w14:paraId="1E079E45" w14:textId="77777777" w:rsidR="00E0204C" w:rsidRPr="008F3942" w:rsidRDefault="00E0204C" w:rsidP="00A13ABC">
            <w:pPr>
              <w:pStyle w:val="Bullet1G"/>
              <w:numPr>
                <w:ilvl w:val="0"/>
                <w:numId w:val="22"/>
              </w:numPr>
              <w:tabs>
                <w:tab w:val="clear" w:pos="1701"/>
              </w:tabs>
              <w:ind w:left="426" w:right="138"/>
            </w:pPr>
            <w:r>
              <w:t>Римский статут Международного уголовного суда 1998 года</w:t>
            </w:r>
          </w:p>
          <w:p w14:paraId="75A87EA1" w14:textId="30030DFC" w:rsidR="00E0204C" w:rsidRPr="008F3942" w:rsidRDefault="00E0204C" w:rsidP="00A4109C">
            <w:pPr>
              <w:pStyle w:val="Bullet1G"/>
              <w:numPr>
                <w:ilvl w:val="0"/>
                <w:numId w:val="22"/>
              </w:numPr>
              <w:tabs>
                <w:tab w:val="clear" w:pos="1701"/>
              </w:tabs>
              <w:ind w:left="426" w:right="138"/>
            </w:pPr>
            <w:r>
              <w:t>Конвенция Организации Объединенных Наций против транснациональной организованной преступности 2000 года и Протоколы к ней против незаконного ввоза мигрантов по суше, морю и воздуху и о предупреждении и пресечении торговли людьми, особенно женщинами и детьми, и наказании за нее</w:t>
            </w:r>
          </w:p>
        </w:tc>
      </w:tr>
      <w:tr w:rsidR="00A4109C" w:rsidRPr="00FD325D" w14:paraId="6FA738FA" w14:textId="77777777" w:rsidTr="00A4109C">
        <w:tc>
          <w:tcPr>
            <w:tcW w:w="8647" w:type="dxa"/>
            <w:tcBorders>
              <w:top w:val="nil"/>
              <w:bottom w:val="single" w:sz="4" w:space="0" w:color="auto"/>
            </w:tcBorders>
            <w:shd w:val="clear" w:color="auto" w:fill="auto"/>
          </w:tcPr>
          <w:p w14:paraId="77255E80" w14:textId="4DB4E6B2" w:rsidR="00A4109C" w:rsidRDefault="00A4109C" w:rsidP="00A13ABC">
            <w:pPr>
              <w:pStyle w:val="Bullet1G"/>
              <w:numPr>
                <w:ilvl w:val="0"/>
                <w:numId w:val="22"/>
              </w:numPr>
              <w:tabs>
                <w:tab w:val="clear" w:pos="1701"/>
              </w:tabs>
              <w:ind w:left="426" w:right="138"/>
            </w:pPr>
            <w:r>
              <w:lastRenderedPageBreak/>
              <w:t>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2016 года</w:t>
            </w:r>
          </w:p>
        </w:tc>
      </w:tr>
      <w:tr w:rsidR="00E0204C" w:rsidRPr="00A13ABC" w14:paraId="21B31A35" w14:textId="77777777" w:rsidTr="009D03EF">
        <w:tc>
          <w:tcPr>
            <w:tcW w:w="8647" w:type="dxa"/>
            <w:tcBorders>
              <w:top w:val="single" w:sz="4" w:space="0" w:color="auto"/>
              <w:bottom w:val="single" w:sz="4" w:space="0" w:color="auto"/>
            </w:tcBorders>
            <w:shd w:val="clear" w:color="auto" w:fill="auto"/>
          </w:tcPr>
          <w:p w14:paraId="3F790B4B"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Отдельные конвенции Международной организации труда, участником которых является Австралия</w:t>
            </w:r>
          </w:p>
        </w:tc>
      </w:tr>
      <w:tr w:rsidR="00E0204C" w:rsidRPr="00FD325D" w14:paraId="4937D011" w14:textId="77777777" w:rsidTr="009D03EF">
        <w:tc>
          <w:tcPr>
            <w:tcW w:w="8647" w:type="dxa"/>
            <w:tcBorders>
              <w:top w:val="single" w:sz="4" w:space="0" w:color="auto"/>
              <w:bottom w:val="single" w:sz="4" w:space="0" w:color="auto"/>
            </w:tcBorders>
            <w:shd w:val="clear" w:color="auto" w:fill="auto"/>
          </w:tcPr>
          <w:p w14:paraId="6F01348C" w14:textId="77777777" w:rsidR="00E0204C" w:rsidRPr="008F3942" w:rsidRDefault="00E0204C" w:rsidP="00A13ABC">
            <w:pPr>
              <w:pStyle w:val="Bullet1G"/>
              <w:numPr>
                <w:ilvl w:val="0"/>
                <w:numId w:val="22"/>
              </w:numPr>
              <w:tabs>
                <w:tab w:val="clear" w:pos="1701"/>
              </w:tabs>
              <w:ind w:left="426" w:right="138"/>
            </w:pPr>
            <w:r>
              <w:t>Конвенция 1930 года о принудительном труде (№ 29)</w:t>
            </w:r>
          </w:p>
          <w:p w14:paraId="1C49E223" w14:textId="77777777" w:rsidR="00E0204C" w:rsidRPr="008F3942" w:rsidRDefault="00E0204C" w:rsidP="00A13ABC">
            <w:pPr>
              <w:pStyle w:val="Bullet1G"/>
              <w:numPr>
                <w:ilvl w:val="0"/>
                <w:numId w:val="22"/>
              </w:numPr>
              <w:tabs>
                <w:tab w:val="clear" w:pos="1701"/>
              </w:tabs>
              <w:ind w:left="426" w:right="138"/>
            </w:pPr>
            <w:r>
              <w:t>Конвенция 1947 года об инспекции труда (№ 81)</w:t>
            </w:r>
          </w:p>
          <w:p w14:paraId="5975152E" w14:textId="55498C1B" w:rsidR="00E0204C" w:rsidRPr="00D62FAA" w:rsidRDefault="00E0204C" w:rsidP="00A13ABC">
            <w:pPr>
              <w:pStyle w:val="Bullet1G"/>
              <w:numPr>
                <w:ilvl w:val="0"/>
                <w:numId w:val="22"/>
              </w:numPr>
              <w:tabs>
                <w:tab w:val="clear" w:pos="1701"/>
              </w:tabs>
              <w:ind w:left="426" w:right="138"/>
            </w:pPr>
            <w:r>
              <w:t>Конвенция 1948 года о свободе ассоциации и защите права на организацию (№</w:t>
            </w:r>
            <w:r w:rsidR="00AB2541">
              <w:t> </w:t>
            </w:r>
            <w:r>
              <w:t>87)</w:t>
            </w:r>
          </w:p>
          <w:p w14:paraId="7BBA75F3" w14:textId="77777777" w:rsidR="00E0204C" w:rsidRPr="008F3942" w:rsidRDefault="00E0204C" w:rsidP="00A13ABC">
            <w:pPr>
              <w:pStyle w:val="Bullet1G"/>
              <w:numPr>
                <w:ilvl w:val="0"/>
                <w:numId w:val="22"/>
              </w:numPr>
              <w:tabs>
                <w:tab w:val="clear" w:pos="1701"/>
              </w:tabs>
              <w:ind w:left="426" w:right="138"/>
            </w:pPr>
            <w:r>
              <w:t>Конвенция 1949 года о праве на организацию и на ведение коллективных переговоров (№ 98)</w:t>
            </w:r>
          </w:p>
          <w:p w14:paraId="3B4BEF3A" w14:textId="77777777" w:rsidR="00E0204C" w:rsidRPr="008F3942" w:rsidRDefault="00E0204C" w:rsidP="00A13ABC">
            <w:pPr>
              <w:pStyle w:val="Bullet1G"/>
              <w:numPr>
                <w:ilvl w:val="0"/>
                <w:numId w:val="22"/>
              </w:numPr>
              <w:tabs>
                <w:tab w:val="clear" w:pos="1701"/>
              </w:tabs>
              <w:ind w:left="426" w:right="138"/>
            </w:pPr>
            <w:r>
              <w:t>Конвенция 1951 года о равном вознаграждении (№ 100)</w:t>
            </w:r>
          </w:p>
          <w:p w14:paraId="6B2558F6" w14:textId="77777777" w:rsidR="00E0204C" w:rsidRPr="008F3942" w:rsidRDefault="00E0204C" w:rsidP="00A13ABC">
            <w:pPr>
              <w:pStyle w:val="Bullet1G"/>
              <w:numPr>
                <w:ilvl w:val="0"/>
                <w:numId w:val="22"/>
              </w:numPr>
              <w:tabs>
                <w:tab w:val="clear" w:pos="1701"/>
              </w:tabs>
              <w:ind w:left="426" w:right="138"/>
            </w:pPr>
            <w:r>
              <w:t>Конвенция 1957 года об упразднении принудительного труда (№ 105)</w:t>
            </w:r>
          </w:p>
          <w:p w14:paraId="12D2CDDB" w14:textId="77777777" w:rsidR="00E0204C" w:rsidRPr="008F3942" w:rsidRDefault="00E0204C" w:rsidP="00A13ABC">
            <w:pPr>
              <w:pStyle w:val="Bullet1G"/>
              <w:numPr>
                <w:ilvl w:val="0"/>
                <w:numId w:val="22"/>
              </w:numPr>
              <w:tabs>
                <w:tab w:val="clear" w:pos="1701"/>
              </w:tabs>
              <w:ind w:left="426" w:right="138"/>
            </w:pPr>
            <w:r>
              <w:t>Конвенция 1958 года о дискриминации в области труда и занятий (№ 111)</w:t>
            </w:r>
          </w:p>
          <w:p w14:paraId="3C300108" w14:textId="77777777" w:rsidR="00E0204C" w:rsidRPr="008F3942" w:rsidRDefault="00E0204C" w:rsidP="00A13ABC">
            <w:pPr>
              <w:pStyle w:val="Bullet1G"/>
              <w:numPr>
                <w:ilvl w:val="0"/>
                <w:numId w:val="22"/>
              </w:numPr>
              <w:tabs>
                <w:tab w:val="clear" w:pos="1701"/>
              </w:tabs>
              <w:ind w:left="426" w:right="138"/>
            </w:pPr>
            <w:r>
              <w:t>Конвенция 1964 года о политике в области занятости (№ 122)</w:t>
            </w:r>
          </w:p>
          <w:p w14:paraId="18A46BC5" w14:textId="77777777" w:rsidR="00E0204C" w:rsidRPr="008F3942" w:rsidRDefault="00E0204C" w:rsidP="00A13ABC">
            <w:pPr>
              <w:pStyle w:val="Bullet1G"/>
              <w:numPr>
                <w:ilvl w:val="0"/>
                <w:numId w:val="22"/>
              </w:numPr>
              <w:tabs>
                <w:tab w:val="clear" w:pos="1701"/>
              </w:tabs>
              <w:ind w:left="426" w:right="138"/>
            </w:pPr>
            <w:r>
              <w:t>Конвенция 1970 года об установлении минимальной заработной платы (№ 131)</w:t>
            </w:r>
          </w:p>
          <w:p w14:paraId="76C73290" w14:textId="77777777" w:rsidR="00E0204C" w:rsidRPr="008F3942" w:rsidRDefault="00E0204C" w:rsidP="00A13ABC">
            <w:pPr>
              <w:pStyle w:val="Bullet1G"/>
              <w:numPr>
                <w:ilvl w:val="0"/>
                <w:numId w:val="22"/>
              </w:numPr>
              <w:tabs>
                <w:tab w:val="clear" w:pos="1701"/>
              </w:tabs>
              <w:ind w:left="426" w:right="138"/>
            </w:pPr>
            <w:r>
              <w:t>Конвенция 1981 года о безопасности и гигиене труда (№ 155)</w:t>
            </w:r>
          </w:p>
          <w:p w14:paraId="52EBC1E3" w14:textId="77777777" w:rsidR="00E0204C" w:rsidRPr="008F3942" w:rsidRDefault="00E0204C" w:rsidP="00A13ABC">
            <w:pPr>
              <w:pStyle w:val="Bullet1G"/>
              <w:numPr>
                <w:ilvl w:val="0"/>
                <w:numId w:val="22"/>
              </w:numPr>
              <w:tabs>
                <w:tab w:val="clear" w:pos="1701"/>
              </w:tabs>
              <w:ind w:left="426" w:right="138"/>
            </w:pPr>
            <w:r>
              <w:t>Конвенция 1981 года о равном обращении и равных возможностях для работников мужчин и женщин: работники с семейными обязанностями (№ 156)</w:t>
            </w:r>
          </w:p>
          <w:p w14:paraId="3979F9CE" w14:textId="77777777" w:rsidR="00E0204C" w:rsidRPr="008F3942" w:rsidRDefault="00E0204C" w:rsidP="00A13ABC">
            <w:pPr>
              <w:pStyle w:val="Bullet1G"/>
              <w:numPr>
                <w:ilvl w:val="0"/>
                <w:numId w:val="22"/>
              </w:numPr>
              <w:tabs>
                <w:tab w:val="clear" w:pos="1701"/>
              </w:tabs>
              <w:ind w:left="426" w:right="138"/>
            </w:pPr>
            <w:r>
              <w:t>Конвенция 1973 года о минимальном возрасте (№ 138)</w:t>
            </w:r>
          </w:p>
          <w:p w14:paraId="17713399" w14:textId="77777777" w:rsidR="00E0204C" w:rsidRPr="008F3942" w:rsidRDefault="00E0204C" w:rsidP="00A13ABC">
            <w:pPr>
              <w:pStyle w:val="Bullet1G"/>
              <w:numPr>
                <w:ilvl w:val="0"/>
                <w:numId w:val="22"/>
              </w:numPr>
              <w:tabs>
                <w:tab w:val="clear" w:pos="1701"/>
              </w:tabs>
              <w:ind w:left="426" w:right="138"/>
            </w:pPr>
            <w:r>
              <w:t>Конвенция 1999 года о наихудших формах детского труда (№ 182)</w:t>
            </w:r>
          </w:p>
          <w:p w14:paraId="6CD52D4D" w14:textId="77777777" w:rsidR="00E0204C" w:rsidRPr="008F3942" w:rsidRDefault="00E0204C" w:rsidP="00A13ABC">
            <w:pPr>
              <w:pStyle w:val="Bullet1G"/>
              <w:numPr>
                <w:ilvl w:val="0"/>
                <w:numId w:val="22"/>
              </w:numPr>
              <w:tabs>
                <w:tab w:val="clear" w:pos="1701"/>
              </w:tabs>
              <w:ind w:left="426" w:right="138"/>
            </w:pPr>
            <w:r>
              <w:t>Конвенция 2019 года о насилии и домогательствах (№ 190)</w:t>
            </w:r>
          </w:p>
        </w:tc>
      </w:tr>
      <w:tr w:rsidR="00E0204C" w:rsidRPr="00A13ABC" w14:paraId="1CDDAA17" w14:textId="77777777" w:rsidTr="009D03EF">
        <w:tc>
          <w:tcPr>
            <w:tcW w:w="8647" w:type="dxa"/>
            <w:tcBorders>
              <w:top w:val="single" w:sz="4" w:space="0" w:color="auto"/>
              <w:bottom w:val="single" w:sz="4" w:space="0" w:color="auto"/>
            </w:tcBorders>
            <w:shd w:val="clear" w:color="auto" w:fill="auto"/>
          </w:tcPr>
          <w:p w14:paraId="7D3607FF" w14:textId="77777777" w:rsidR="00E0204C" w:rsidRPr="00A13ABC" w:rsidRDefault="00E0204C" w:rsidP="00A13ABC">
            <w:pPr>
              <w:keepNext/>
              <w:keepLines/>
              <w:suppressAutoHyphens w:val="0"/>
              <w:spacing w:before="40" w:after="120" w:line="220" w:lineRule="exact"/>
              <w:ind w:right="113"/>
              <w:rPr>
                <w:i/>
                <w:sz w:val="16"/>
                <w:szCs w:val="16"/>
              </w:rPr>
            </w:pPr>
            <w:r w:rsidRPr="00A13ABC">
              <w:rPr>
                <w:i/>
                <w:iCs/>
                <w:sz w:val="16"/>
                <w:szCs w:val="16"/>
              </w:rPr>
              <w:t>Конвенции Организации Объединенных Наций по вопросам образования, науки и культуры</w:t>
            </w:r>
          </w:p>
        </w:tc>
      </w:tr>
      <w:tr w:rsidR="00E0204C" w:rsidRPr="00FD325D" w14:paraId="7D4B1A15" w14:textId="77777777" w:rsidTr="009D03EF">
        <w:tc>
          <w:tcPr>
            <w:tcW w:w="8647" w:type="dxa"/>
            <w:tcBorders>
              <w:top w:val="single" w:sz="4" w:space="0" w:color="auto"/>
              <w:bottom w:val="nil"/>
            </w:tcBorders>
            <w:shd w:val="clear" w:color="auto" w:fill="auto"/>
          </w:tcPr>
          <w:p w14:paraId="7ED2EFEC" w14:textId="77777777" w:rsidR="00E0204C" w:rsidRPr="008F3942" w:rsidRDefault="00E0204C" w:rsidP="00A13ABC">
            <w:pPr>
              <w:pStyle w:val="Bullet1G"/>
              <w:keepNext/>
              <w:keepLines/>
              <w:numPr>
                <w:ilvl w:val="0"/>
                <w:numId w:val="22"/>
              </w:numPr>
              <w:tabs>
                <w:tab w:val="clear" w:pos="1701"/>
              </w:tabs>
              <w:ind w:left="426" w:right="564"/>
            </w:pPr>
            <w:r>
              <w:t>Конвенция о борьбе с дискриминацией в области образования 1960 года</w:t>
            </w:r>
          </w:p>
        </w:tc>
      </w:tr>
      <w:tr w:rsidR="00E0204C" w:rsidRPr="00FD325D" w14:paraId="0A30C07B" w14:textId="77777777" w:rsidTr="009D03EF">
        <w:trPr>
          <w:trHeight w:hRule="exact" w:val="113"/>
        </w:trPr>
        <w:tc>
          <w:tcPr>
            <w:tcW w:w="8647" w:type="dxa"/>
            <w:tcBorders>
              <w:top w:val="nil"/>
              <w:bottom w:val="single" w:sz="4" w:space="0" w:color="auto"/>
            </w:tcBorders>
            <w:shd w:val="clear" w:color="auto" w:fill="auto"/>
          </w:tcPr>
          <w:p w14:paraId="45348074" w14:textId="77777777" w:rsidR="00E0204C" w:rsidRPr="008F3942" w:rsidRDefault="00E0204C" w:rsidP="009D03EF">
            <w:pPr>
              <w:keepNext/>
              <w:suppressAutoHyphens w:val="0"/>
              <w:spacing w:before="40" w:after="120" w:line="220" w:lineRule="exact"/>
              <w:ind w:right="113"/>
              <w:rPr>
                <w:i/>
                <w:sz w:val="16"/>
              </w:rPr>
            </w:pPr>
          </w:p>
        </w:tc>
      </w:tr>
      <w:tr w:rsidR="00E0204C" w:rsidRPr="00A13ABC" w14:paraId="50A64563" w14:textId="77777777" w:rsidTr="009D03EF">
        <w:tc>
          <w:tcPr>
            <w:tcW w:w="8647" w:type="dxa"/>
            <w:tcBorders>
              <w:top w:val="nil"/>
              <w:bottom w:val="single" w:sz="4" w:space="0" w:color="auto"/>
            </w:tcBorders>
            <w:shd w:val="clear" w:color="auto" w:fill="auto"/>
          </w:tcPr>
          <w:p w14:paraId="0B54D619" w14:textId="77777777" w:rsidR="00E0204C" w:rsidRPr="00A13ABC" w:rsidRDefault="00E0204C" w:rsidP="009D03EF">
            <w:pPr>
              <w:keepNext/>
              <w:suppressAutoHyphens w:val="0"/>
              <w:spacing w:before="40" w:after="120" w:line="220" w:lineRule="exact"/>
              <w:ind w:right="113"/>
              <w:rPr>
                <w:i/>
                <w:sz w:val="16"/>
                <w:szCs w:val="16"/>
              </w:rPr>
            </w:pPr>
            <w:r w:rsidRPr="00A13ABC">
              <w:rPr>
                <w:i/>
                <w:iCs/>
                <w:sz w:val="16"/>
                <w:szCs w:val="16"/>
              </w:rPr>
              <w:t>Конвенции Гаагской конференции по международному частному праву</w:t>
            </w:r>
          </w:p>
        </w:tc>
      </w:tr>
      <w:tr w:rsidR="00E0204C" w:rsidRPr="00FD325D" w14:paraId="721412C2" w14:textId="77777777" w:rsidTr="009D03EF">
        <w:tc>
          <w:tcPr>
            <w:tcW w:w="8647" w:type="dxa"/>
            <w:tcBorders>
              <w:top w:val="single" w:sz="4" w:space="0" w:color="auto"/>
              <w:bottom w:val="single" w:sz="4" w:space="0" w:color="auto"/>
            </w:tcBorders>
            <w:shd w:val="clear" w:color="auto" w:fill="auto"/>
          </w:tcPr>
          <w:p w14:paraId="15C0CBAC" w14:textId="77777777" w:rsidR="00E0204C" w:rsidRPr="008F3942" w:rsidRDefault="00E0204C" w:rsidP="00A13ABC">
            <w:pPr>
              <w:pStyle w:val="Bullet1G"/>
              <w:keepNext/>
              <w:numPr>
                <w:ilvl w:val="0"/>
                <w:numId w:val="22"/>
              </w:numPr>
              <w:tabs>
                <w:tab w:val="clear" w:pos="1701"/>
              </w:tabs>
              <w:ind w:left="426" w:right="138"/>
            </w:pPr>
            <w:r>
              <w:t>Конвенция о признании разводов и решений о раздельном жительстве супругов 1970 года</w:t>
            </w:r>
          </w:p>
          <w:p w14:paraId="20523DC2" w14:textId="77777777" w:rsidR="00E0204C" w:rsidRPr="008F3942" w:rsidRDefault="00E0204C" w:rsidP="00A13ABC">
            <w:pPr>
              <w:pStyle w:val="Bullet1G"/>
              <w:keepNext/>
              <w:numPr>
                <w:ilvl w:val="0"/>
                <w:numId w:val="22"/>
              </w:numPr>
              <w:tabs>
                <w:tab w:val="clear" w:pos="1701"/>
              </w:tabs>
              <w:ind w:left="426" w:right="138"/>
            </w:pPr>
            <w:r>
              <w:t>Конвенция о признании и приведении в исполнение решений, касающихся алиментных обязательств 1973 года</w:t>
            </w:r>
          </w:p>
          <w:p w14:paraId="0E17FEC4" w14:textId="77777777" w:rsidR="00E0204C" w:rsidRPr="008F3942" w:rsidRDefault="00E0204C" w:rsidP="00A13ABC">
            <w:pPr>
              <w:pStyle w:val="Bullet1G"/>
              <w:keepNext/>
              <w:numPr>
                <w:ilvl w:val="0"/>
                <w:numId w:val="22"/>
              </w:numPr>
              <w:tabs>
                <w:tab w:val="clear" w:pos="1701"/>
              </w:tabs>
              <w:ind w:left="426" w:right="138"/>
            </w:pPr>
            <w:r>
              <w:t>Конвенция о гражданско-правовых аспектах международного похищения детей 1980 года</w:t>
            </w:r>
          </w:p>
          <w:p w14:paraId="49955D06" w14:textId="77777777" w:rsidR="00E0204C" w:rsidRPr="008F3942" w:rsidRDefault="00E0204C" w:rsidP="00A13ABC">
            <w:pPr>
              <w:pStyle w:val="Bullet1G"/>
              <w:keepNext/>
              <w:numPr>
                <w:ilvl w:val="0"/>
                <w:numId w:val="22"/>
              </w:numPr>
              <w:tabs>
                <w:tab w:val="clear" w:pos="1701"/>
              </w:tabs>
              <w:ind w:left="426" w:right="138"/>
            </w:pPr>
            <w:r>
              <w:t>Конвенция о заключении и признании действительности браков 1978 года</w:t>
            </w:r>
          </w:p>
          <w:p w14:paraId="021E9563" w14:textId="77777777" w:rsidR="00E0204C" w:rsidRPr="008F3942" w:rsidRDefault="00E0204C" w:rsidP="00A13ABC">
            <w:pPr>
              <w:pStyle w:val="Bullet1G"/>
              <w:keepNext/>
              <w:numPr>
                <w:ilvl w:val="0"/>
                <w:numId w:val="22"/>
              </w:numPr>
              <w:tabs>
                <w:tab w:val="clear" w:pos="1701"/>
              </w:tabs>
              <w:ind w:left="426" w:right="138"/>
            </w:pPr>
            <w:r>
              <w:t>Конвенция о защите детей и сотрудничестве в области международного усыновления (удочерения) 1993 года</w:t>
            </w:r>
          </w:p>
          <w:p w14:paraId="6A55A126" w14:textId="77777777" w:rsidR="00E0204C" w:rsidRPr="008F3942" w:rsidRDefault="00E0204C" w:rsidP="00A13ABC">
            <w:pPr>
              <w:pStyle w:val="Bullet1G"/>
              <w:keepNext/>
              <w:numPr>
                <w:ilvl w:val="0"/>
                <w:numId w:val="22"/>
              </w:numPr>
              <w:tabs>
                <w:tab w:val="clear" w:pos="1701"/>
              </w:tabs>
              <w:ind w:left="426" w:right="138"/>
            </w:pPr>
            <w:r>
              <w:t>Конвенция о юрисдикции, применимом праве, признании, исполнении и сотрудничестве в отношении родительской ответственности и мер по защите детей 1996 года</w:t>
            </w:r>
          </w:p>
        </w:tc>
      </w:tr>
      <w:tr w:rsidR="00E0204C" w:rsidRPr="00A13ABC" w14:paraId="08A076F7" w14:textId="77777777" w:rsidTr="00A4109C">
        <w:tc>
          <w:tcPr>
            <w:tcW w:w="8647" w:type="dxa"/>
            <w:tcBorders>
              <w:top w:val="single" w:sz="4" w:space="0" w:color="auto"/>
              <w:bottom w:val="single" w:sz="4" w:space="0" w:color="auto"/>
            </w:tcBorders>
            <w:shd w:val="clear" w:color="auto" w:fill="auto"/>
          </w:tcPr>
          <w:p w14:paraId="07209929" w14:textId="77777777" w:rsidR="00E0204C" w:rsidRPr="00A13ABC" w:rsidRDefault="00E0204C" w:rsidP="009D03EF">
            <w:pPr>
              <w:suppressAutoHyphens w:val="0"/>
              <w:spacing w:before="40" w:after="120" w:line="220" w:lineRule="exact"/>
              <w:ind w:right="113"/>
              <w:rPr>
                <w:i/>
                <w:sz w:val="16"/>
                <w:szCs w:val="16"/>
              </w:rPr>
            </w:pPr>
            <w:r w:rsidRPr="00A13ABC">
              <w:rPr>
                <w:i/>
                <w:iCs/>
                <w:sz w:val="16"/>
                <w:szCs w:val="16"/>
              </w:rPr>
              <w:t>Женевские конвенции и другие договоры по международному гуманитарному праву</w:t>
            </w:r>
          </w:p>
        </w:tc>
      </w:tr>
      <w:tr w:rsidR="00E0204C" w:rsidRPr="00FD325D" w14:paraId="7F2FED5A" w14:textId="77777777" w:rsidTr="00A4109C">
        <w:tc>
          <w:tcPr>
            <w:tcW w:w="8647" w:type="dxa"/>
            <w:tcBorders>
              <w:top w:val="single" w:sz="4" w:space="0" w:color="auto"/>
              <w:bottom w:val="nil"/>
            </w:tcBorders>
            <w:shd w:val="clear" w:color="auto" w:fill="auto"/>
          </w:tcPr>
          <w:p w14:paraId="0F0096A2" w14:textId="77777777" w:rsidR="00E0204C" w:rsidRPr="008F3942" w:rsidRDefault="00E0204C" w:rsidP="00A13ABC">
            <w:pPr>
              <w:pStyle w:val="Bullet1G"/>
              <w:numPr>
                <w:ilvl w:val="0"/>
                <w:numId w:val="22"/>
              </w:numPr>
              <w:tabs>
                <w:tab w:val="clear" w:pos="1701"/>
              </w:tabs>
              <w:ind w:left="426" w:right="138"/>
            </w:pPr>
            <w:r>
              <w:t>Женевская конвенция (I) 1949 года об улучшении участи раненых и больных в действующих армиях</w:t>
            </w:r>
          </w:p>
          <w:p w14:paraId="249F8178" w14:textId="77777777" w:rsidR="00E0204C" w:rsidRPr="008F3942" w:rsidRDefault="00E0204C" w:rsidP="00A13ABC">
            <w:pPr>
              <w:pStyle w:val="Bullet1G"/>
              <w:numPr>
                <w:ilvl w:val="0"/>
                <w:numId w:val="22"/>
              </w:numPr>
              <w:tabs>
                <w:tab w:val="clear" w:pos="1701"/>
              </w:tabs>
              <w:ind w:left="426" w:right="138"/>
            </w:pPr>
            <w:r>
              <w:t>Женевская конвенция (II) 1949 года об улучшении участи раненых, больных и лиц, потерпевших кораблекрушение, из состава вооруженных сил на море</w:t>
            </w:r>
          </w:p>
          <w:p w14:paraId="6D15FA4A" w14:textId="61AA46A2" w:rsidR="00E0204C" w:rsidRPr="008F3942" w:rsidRDefault="00E0204C" w:rsidP="00A4109C">
            <w:pPr>
              <w:pStyle w:val="Bullet1G"/>
              <w:numPr>
                <w:ilvl w:val="0"/>
                <w:numId w:val="22"/>
              </w:numPr>
              <w:tabs>
                <w:tab w:val="clear" w:pos="1701"/>
              </w:tabs>
              <w:ind w:left="426" w:right="138"/>
            </w:pPr>
            <w:r>
              <w:t>Женевская конвенция (III) 1949 года об обращении с военнопленными</w:t>
            </w:r>
          </w:p>
        </w:tc>
      </w:tr>
      <w:tr w:rsidR="00A4109C" w:rsidRPr="00FD325D" w14:paraId="01A5287C" w14:textId="77777777" w:rsidTr="00A4109C">
        <w:tc>
          <w:tcPr>
            <w:tcW w:w="8647" w:type="dxa"/>
            <w:tcBorders>
              <w:top w:val="nil"/>
            </w:tcBorders>
            <w:shd w:val="clear" w:color="auto" w:fill="auto"/>
          </w:tcPr>
          <w:p w14:paraId="7A81E80C" w14:textId="77777777" w:rsidR="00A4109C" w:rsidRPr="008F3942" w:rsidRDefault="00A4109C" w:rsidP="00A4109C">
            <w:pPr>
              <w:pStyle w:val="Bullet1G"/>
              <w:numPr>
                <w:ilvl w:val="0"/>
                <w:numId w:val="22"/>
              </w:numPr>
              <w:tabs>
                <w:tab w:val="clear" w:pos="1701"/>
              </w:tabs>
              <w:ind w:left="426" w:right="138"/>
            </w:pPr>
            <w:r>
              <w:lastRenderedPageBreak/>
              <w:t>Женевская конвенция (IV) 1949 года о защите гражданского населения во время войны</w:t>
            </w:r>
          </w:p>
          <w:p w14:paraId="64B007BF" w14:textId="77777777" w:rsidR="00A4109C" w:rsidRPr="008F3942" w:rsidRDefault="00A4109C" w:rsidP="00A4109C">
            <w:pPr>
              <w:pStyle w:val="Bullet1G"/>
              <w:numPr>
                <w:ilvl w:val="0"/>
                <w:numId w:val="22"/>
              </w:numPr>
              <w:tabs>
                <w:tab w:val="clear" w:pos="1701"/>
              </w:tabs>
              <w:ind w:left="426" w:right="138"/>
            </w:pPr>
            <w:r>
              <w:t>Дополнительный протокол к Женевским конвенциям от 12 августа 1949 года, касающийся защиты жертв международных вооруженных конфликтов (Протокол I), 1977 года</w:t>
            </w:r>
          </w:p>
          <w:p w14:paraId="25B3E6AC" w14:textId="50262019" w:rsidR="00A4109C" w:rsidRDefault="00A4109C" w:rsidP="00A4109C">
            <w:pPr>
              <w:pStyle w:val="Bullet1G"/>
              <w:numPr>
                <w:ilvl w:val="0"/>
                <w:numId w:val="22"/>
              </w:numPr>
              <w:tabs>
                <w:tab w:val="clear" w:pos="1701"/>
              </w:tabs>
              <w:ind w:left="426" w:right="138"/>
            </w:pPr>
            <w:r>
              <w:t>Дополнительный протокол к Женевским конвенциям от 12 августа 1949 года, касающийся защиты жертв вооруженных конфликтов немеждународного характера (Протокол II), 1977 года</w:t>
            </w:r>
          </w:p>
        </w:tc>
      </w:tr>
    </w:tbl>
    <w:p w14:paraId="30006CD1" w14:textId="77777777" w:rsidR="00E0204C" w:rsidRDefault="00E0204C" w:rsidP="00E0204C">
      <w:pPr>
        <w:spacing w:before="240"/>
        <w:jc w:val="center"/>
        <w:rPr>
          <w:u w:val="single"/>
        </w:rPr>
      </w:pPr>
      <w:r w:rsidRPr="008F3942">
        <w:rPr>
          <w:u w:val="single"/>
        </w:rPr>
        <w:tab/>
      </w:r>
      <w:r w:rsidRPr="008F3942">
        <w:rPr>
          <w:u w:val="single"/>
        </w:rPr>
        <w:tab/>
      </w:r>
      <w:r w:rsidRPr="008F3942">
        <w:rPr>
          <w:u w:val="single"/>
        </w:rPr>
        <w:tab/>
      </w:r>
    </w:p>
    <w:p w14:paraId="07683A8C" w14:textId="008601D1" w:rsidR="00E0204C" w:rsidRPr="00026474" w:rsidRDefault="00E0204C" w:rsidP="00E0204C">
      <w:pPr>
        <w:suppressAutoHyphens w:val="0"/>
        <w:spacing w:line="240" w:lineRule="auto"/>
        <w:rPr>
          <w:rFonts w:eastAsia="Times New Roman" w:cs="Times New Roman"/>
          <w:szCs w:val="20"/>
          <w:lang w:eastAsia="ru-RU"/>
        </w:rPr>
      </w:pPr>
    </w:p>
    <w:sectPr w:rsidR="00E0204C" w:rsidRPr="00026474" w:rsidSect="00E0204C">
      <w:headerReference w:type="even" r:id="rId41"/>
      <w:headerReference w:type="default" r:id="rId42"/>
      <w:footerReference w:type="even" r:id="rId43"/>
      <w:footerReference w:type="default" r:id="rId44"/>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8026" w14:textId="77777777" w:rsidR="0069781D" w:rsidRPr="00A312BC" w:rsidRDefault="0069781D" w:rsidP="00A312BC"/>
  </w:endnote>
  <w:endnote w:type="continuationSeparator" w:id="0">
    <w:p w14:paraId="60C4CCE2" w14:textId="77777777" w:rsidR="0069781D" w:rsidRPr="00A312BC" w:rsidRDefault="0069781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3D788" w14:textId="266DCC71" w:rsidR="00841C25" w:rsidRPr="00841C25" w:rsidRDefault="00841C25">
    <w:pPr>
      <w:pStyle w:val="a8"/>
    </w:pPr>
    <w:r w:rsidRPr="00841C25">
      <w:rPr>
        <w:b/>
        <w:sz w:val="18"/>
      </w:rPr>
      <w:fldChar w:fldCharType="begin"/>
    </w:r>
    <w:r w:rsidRPr="00841C25">
      <w:rPr>
        <w:b/>
        <w:sz w:val="18"/>
      </w:rPr>
      <w:instrText xml:space="preserve"> PAGE  \* MERGEFORMAT </w:instrText>
    </w:r>
    <w:r w:rsidRPr="00841C25">
      <w:rPr>
        <w:b/>
        <w:sz w:val="18"/>
      </w:rPr>
      <w:fldChar w:fldCharType="separate"/>
    </w:r>
    <w:r w:rsidRPr="00841C25">
      <w:rPr>
        <w:b/>
        <w:noProof/>
        <w:sz w:val="18"/>
      </w:rPr>
      <w:t>2</w:t>
    </w:r>
    <w:r w:rsidRPr="00841C25">
      <w:rPr>
        <w:b/>
        <w:sz w:val="18"/>
      </w:rPr>
      <w:fldChar w:fldCharType="end"/>
    </w:r>
    <w:r>
      <w:rPr>
        <w:b/>
        <w:sz w:val="18"/>
      </w:rPr>
      <w:tab/>
    </w:r>
    <w:r>
      <w:t>GE.24-08945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3F275" w14:textId="3BE2A905" w:rsidR="00841C25" w:rsidRPr="00841C25" w:rsidRDefault="00841C25" w:rsidP="00841C25">
    <w:pPr>
      <w:pStyle w:val="a8"/>
      <w:tabs>
        <w:tab w:val="clear" w:pos="9639"/>
        <w:tab w:val="right" w:pos="9638"/>
      </w:tabs>
      <w:rPr>
        <w:b/>
        <w:sz w:val="18"/>
      </w:rPr>
    </w:pPr>
    <w:r>
      <w:t>GE.24-08945</w:t>
    </w:r>
    <w:r>
      <w:tab/>
    </w:r>
    <w:r w:rsidRPr="00841C25">
      <w:rPr>
        <w:b/>
        <w:sz w:val="18"/>
      </w:rPr>
      <w:fldChar w:fldCharType="begin"/>
    </w:r>
    <w:r w:rsidRPr="00841C25">
      <w:rPr>
        <w:b/>
        <w:sz w:val="18"/>
      </w:rPr>
      <w:instrText xml:space="preserve"> PAGE  \* MERGEFORMAT </w:instrText>
    </w:r>
    <w:r w:rsidRPr="00841C25">
      <w:rPr>
        <w:b/>
        <w:sz w:val="18"/>
      </w:rPr>
      <w:fldChar w:fldCharType="separate"/>
    </w:r>
    <w:r w:rsidRPr="00841C25">
      <w:rPr>
        <w:b/>
        <w:noProof/>
        <w:sz w:val="18"/>
      </w:rPr>
      <w:t>3</w:t>
    </w:r>
    <w:r w:rsidRPr="00841C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15816" w14:textId="7EB3061A" w:rsidR="00042B72" w:rsidRPr="00E22999" w:rsidRDefault="00841C25" w:rsidP="00841C2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6C5BC51" wp14:editId="580FC83D">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24-08945  (R)</w:t>
    </w:r>
    <w:r>
      <w:rPr>
        <w:noProof/>
      </w:rPr>
      <w:drawing>
        <wp:anchor distT="0" distB="0" distL="114300" distR="114300" simplePos="0" relativeHeight="251659264" behindDoc="0" locked="0" layoutInCell="1" allowOverlap="1" wp14:anchorId="36367BF2" wp14:editId="1F8368A8">
          <wp:simplePos x="0" y="0"/>
          <wp:positionH relativeFrom="margin">
            <wp:posOffset>5489575</wp:posOffset>
          </wp:positionH>
          <wp:positionV relativeFrom="margin">
            <wp:posOffset>8855710</wp:posOffset>
          </wp:positionV>
          <wp:extent cx="628650" cy="628650"/>
          <wp:effectExtent l="0" t="0" r="0" b="0"/>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22999">
      <w:rPr>
        <w:lang w:val="en-US"/>
      </w:rPr>
      <w:t xml:space="preserve">   100724   120724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4628" w14:textId="77777777" w:rsidR="005C3FD3" w:rsidRPr="00841C25" w:rsidRDefault="005C3FD3" w:rsidP="00841C25">
    <w:pPr>
      <w:spacing w:before="120" w:line="240" w:lineRule="auto"/>
    </w:pPr>
    <w:r>
      <w:t>GE.</w:t>
    </w:r>
    <w:r>
      <w:rPr>
        <w:b/>
        <w:noProof/>
        <w:lang w:val="fr-CH" w:eastAsia="fr-CH"/>
      </w:rPr>
      <w:drawing>
        <wp:anchor distT="0" distB="0" distL="114300" distR="114300" simplePos="0" relativeHeight="251665408" behindDoc="0" locked="0" layoutInCell="1" allowOverlap="1" wp14:anchorId="016557E8" wp14:editId="27EA1DEC">
          <wp:simplePos x="0" y="0"/>
          <wp:positionH relativeFrom="margin">
            <wp:posOffset>2699385</wp:posOffset>
          </wp:positionH>
          <wp:positionV relativeFrom="margin">
            <wp:posOffset>9179560</wp:posOffset>
          </wp:positionV>
          <wp:extent cx="2656800" cy="277200"/>
          <wp:effectExtent l="0" t="0" r="0" b="8890"/>
          <wp:wrapNone/>
          <wp:docPr id="15" name="Рисунок 15"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24-08945  (R)</w:t>
    </w:r>
    <w:r>
      <w:rPr>
        <w:noProof/>
      </w:rPr>
      <w:drawing>
        <wp:anchor distT="0" distB="0" distL="114300" distR="114300" simplePos="0" relativeHeight="251666432" behindDoc="0" locked="0" layoutInCell="1" allowOverlap="1" wp14:anchorId="5B8ABAE1" wp14:editId="74302E67">
          <wp:simplePos x="0" y="0"/>
          <wp:positionH relativeFrom="margin">
            <wp:posOffset>5489575</wp:posOffset>
          </wp:positionH>
          <wp:positionV relativeFrom="margin">
            <wp:posOffset>8855710</wp:posOffset>
          </wp:positionV>
          <wp:extent cx="628650" cy="62865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1785" w14:textId="3F5AB089" w:rsidR="00026474" w:rsidRPr="00026474" w:rsidRDefault="00026474" w:rsidP="00026474">
    <w:pPr>
      <w:pStyle w:val="a8"/>
    </w:pPr>
    <w:r>
      <w:rPr>
        <w:noProof/>
      </w:rPr>
      <mc:AlternateContent>
        <mc:Choice Requires="wps">
          <w:drawing>
            <wp:anchor distT="0" distB="0" distL="114300" distR="114300" simplePos="0" relativeHeight="251663360" behindDoc="0" locked="0" layoutInCell="1" allowOverlap="1" wp14:anchorId="15334BC4" wp14:editId="1864BE4B">
              <wp:simplePos x="0" y="0"/>
              <wp:positionH relativeFrom="margin">
                <wp:posOffset>-431800</wp:posOffset>
              </wp:positionH>
              <wp:positionV relativeFrom="margin">
                <wp:posOffset>0</wp:posOffset>
              </wp:positionV>
              <wp:extent cx="215900" cy="6120130"/>
              <wp:effectExtent l="0" t="0" r="0" b="0"/>
              <wp:wrapNone/>
              <wp:docPr id="14" name="Надпись 1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F2F2A91" w14:textId="77777777" w:rsidR="00026474" w:rsidRPr="00841C25" w:rsidRDefault="00026474" w:rsidP="00026474">
                          <w:pPr>
                            <w:pStyle w:val="a8"/>
                          </w:pPr>
                          <w:r w:rsidRPr="00841C25">
                            <w:rPr>
                              <w:b/>
                              <w:sz w:val="18"/>
                            </w:rPr>
                            <w:fldChar w:fldCharType="begin"/>
                          </w:r>
                          <w:r w:rsidRPr="00841C25">
                            <w:rPr>
                              <w:b/>
                              <w:sz w:val="18"/>
                            </w:rPr>
                            <w:instrText xml:space="preserve"> PAGE  \* MERGEFORMAT </w:instrText>
                          </w:r>
                          <w:r w:rsidRPr="00841C25">
                            <w:rPr>
                              <w:b/>
                              <w:sz w:val="18"/>
                            </w:rPr>
                            <w:fldChar w:fldCharType="separate"/>
                          </w:r>
                          <w:r>
                            <w:rPr>
                              <w:b/>
                              <w:sz w:val="18"/>
                            </w:rPr>
                            <w:t>62</w:t>
                          </w:r>
                          <w:r w:rsidRPr="00841C25">
                            <w:rPr>
                              <w:b/>
                              <w:sz w:val="18"/>
                            </w:rPr>
                            <w:fldChar w:fldCharType="end"/>
                          </w:r>
                          <w:r>
                            <w:rPr>
                              <w:b/>
                              <w:sz w:val="18"/>
                            </w:rPr>
                            <w:tab/>
                          </w:r>
                          <w:r>
                            <w:t>GE.24-08945</w:t>
                          </w:r>
                        </w:p>
                        <w:p w14:paraId="6A4343E7" w14:textId="77777777" w:rsidR="00026474" w:rsidRDefault="000264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15334BC4" id="_x0000_t202" coordsize="21600,21600" o:spt="202" path="m,l,21600r21600,l21600,xe">
              <v:stroke joinstyle="miter"/>
              <v:path gradientshapeok="t" o:connecttype="rect"/>
            </v:shapetype>
            <v:shape id="Надпись 14" o:spid="_x0000_s1028" type="#_x0000_t202" style="position:absolute;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F2F2A91" w14:textId="77777777" w:rsidR="00026474" w:rsidRPr="00841C25" w:rsidRDefault="00026474" w:rsidP="00026474">
                    <w:pPr>
                      <w:pStyle w:val="a8"/>
                    </w:pPr>
                    <w:r w:rsidRPr="00841C25">
                      <w:rPr>
                        <w:b/>
                        <w:sz w:val="18"/>
                      </w:rPr>
                      <w:fldChar w:fldCharType="begin"/>
                    </w:r>
                    <w:r w:rsidRPr="00841C25">
                      <w:rPr>
                        <w:b/>
                        <w:sz w:val="18"/>
                      </w:rPr>
                      <w:instrText xml:space="preserve"> PAGE  \* MERGEFORMAT </w:instrText>
                    </w:r>
                    <w:r w:rsidRPr="00841C25">
                      <w:rPr>
                        <w:b/>
                        <w:sz w:val="18"/>
                      </w:rPr>
                      <w:fldChar w:fldCharType="separate"/>
                    </w:r>
                    <w:r>
                      <w:rPr>
                        <w:b/>
                        <w:sz w:val="18"/>
                      </w:rPr>
                      <w:t>62</w:t>
                    </w:r>
                    <w:r w:rsidRPr="00841C25">
                      <w:rPr>
                        <w:b/>
                        <w:sz w:val="18"/>
                      </w:rPr>
                      <w:fldChar w:fldCharType="end"/>
                    </w:r>
                    <w:r>
                      <w:rPr>
                        <w:b/>
                        <w:sz w:val="18"/>
                      </w:rPr>
                      <w:tab/>
                    </w:r>
                    <w:r>
                      <w:t>GE.24-08945</w:t>
                    </w:r>
                  </w:p>
                  <w:p w14:paraId="6A4343E7" w14:textId="77777777" w:rsidR="00026474" w:rsidRDefault="00026474"/>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06A9B" w14:textId="4F81EA69" w:rsidR="00026474" w:rsidRPr="00026474" w:rsidRDefault="00026474" w:rsidP="00026474">
    <w:pPr>
      <w:pStyle w:val="a8"/>
    </w:pPr>
    <w:r>
      <w:rPr>
        <w:noProof/>
      </w:rPr>
      <mc:AlternateContent>
        <mc:Choice Requires="wps">
          <w:drawing>
            <wp:anchor distT="0" distB="0" distL="114300" distR="114300" simplePos="0" relativeHeight="251661312" behindDoc="0" locked="0" layoutInCell="1" allowOverlap="1" wp14:anchorId="460AA9B4" wp14:editId="0B344571">
              <wp:simplePos x="0" y="0"/>
              <wp:positionH relativeFrom="margin">
                <wp:posOffset>-431800</wp:posOffset>
              </wp:positionH>
              <wp:positionV relativeFrom="margin">
                <wp:posOffset>0</wp:posOffset>
              </wp:positionV>
              <wp:extent cx="215900" cy="6120130"/>
              <wp:effectExtent l="0" t="0" r="0" b="0"/>
              <wp:wrapNone/>
              <wp:docPr id="10" name="Надпись 10"/>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2264951" w14:textId="77777777" w:rsidR="00026474" w:rsidRPr="00841C25" w:rsidRDefault="00026474" w:rsidP="00026474">
                          <w:pPr>
                            <w:pStyle w:val="a8"/>
                            <w:tabs>
                              <w:tab w:val="clear" w:pos="9639"/>
                              <w:tab w:val="right" w:pos="9638"/>
                            </w:tabs>
                            <w:rPr>
                              <w:b/>
                              <w:sz w:val="18"/>
                            </w:rPr>
                          </w:pPr>
                          <w:r>
                            <w:t>GE.24-08945</w:t>
                          </w:r>
                          <w:r>
                            <w:tab/>
                          </w:r>
                          <w:r w:rsidRPr="00841C25">
                            <w:rPr>
                              <w:b/>
                              <w:sz w:val="18"/>
                            </w:rPr>
                            <w:fldChar w:fldCharType="begin"/>
                          </w:r>
                          <w:r w:rsidRPr="00841C25">
                            <w:rPr>
                              <w:b/>
                              <w:sz w:val="18"/>
                            </w:rPr>
                            <w:instrText xml:space="preserve"> PAGE  \* MERGEFORMAT </w:instrText>
                          </w:r>
                          <w:r w:rsidRPr="00841C25">
                            <w:rPr>
                              <w:b/>
                              <w:sz w:val="18"/>
                            </w:rPr>
                            <w:fldChar w:fldCharType="separate"/>
                          </w:r>
                          <w:r>
                            <w:rPr>
                              <w:b/>
                              <w:sz w:val="18"/>
                            </w:rPr>
                            <w:t>61</w:t>
                          </w:r>
                          <w:r w:rsidRPr="00841C25">
                            <w:rPr>
                              <w:b/>
                              <w:sz w:val="18"/>
                            </w:rPr>
                            <w:fldChar w:fldCharType="end"/>
                          </w:r>
                        </w:p>
                        <w:p w14:paraId="24AFF688" w14:textId="77777777" w:rsidR="00026474" w:rsidRDefault="000264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60AA9B4" id="_x0000_t202" coordsize="21600,21600" o:spt="202" path="m,l,21600r21600,l21600,xe">
              <v:stroke joinstyle="miter"/>
              <v:path gradientshapeok="t" o:connecttype="rect"/>
            </v:shapetype>
            <v:shape id="Надпись 10" o:spid="_x0000_s1029" type="#_x0000_t202" style="position:absolute;margin-left:-34pt;margin-top:0;width:17pt;height:481.9pt;z-index:25166131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" fillcolor="#4f81bd [3204]" stroked="f" strokeweight=".5pt">
              <v:fill opacity="0"/>
              <v:stroke joinstyle="round"/>
              <v:textbox style="layout-flow:vertical" inset="0,0,0,0">
                <w:txbxContent>
                  <w:p w14:paraId="12264951" w14:textId="77777777" w:rsidR="00026474" w:rsidRPr="00841C25" w:rsidRDefault="00026474" w:rsidP="00026474">
                    <w:pPr>
                      <w:pStyle w:val="a8"/>
                      <w:tabs>
                        <w:tab w:val="clear" w:pos="9639"/>
                        <w:tab w:val="right" w:pos="9638"/>
                      </w:tabs>
                      <w:rPr>
                        <w:b/>
                        <w:sz w:val="18"/>
                      </w:rPr>
                    </w:pPr>
                    <w:r>
                      <w:t>GE.24-08945</w:t>
                    </w:r>
                    <w:r>
                      <w:tab/>
                    </w:r>
                    <w:r w:rsidRPr="00841C25">
                      <w:rPr>
                        <w:b/>
                        <w:sz w:val="18"/>
                      </w:rPr>
                      <w:fldChar w:fldCharType="begin"/>
                    </w:r>
                    <w:r w:rsidRPr="00841C25">
                      <w:rPr>
                        <w:b/>
                        <w:sz w:val="18"/>
                      </w:rPr>
                      <w:instrText xml:space="preserve"> PAGE  \* MERGEFORMAT </w:instrText>
                    </w:r>
                    <w:r w:rsidRPr="00841C25">
                      <w:rPr>
                        <w:b/>
                        <w:sz w:val="18"/>
                      </w:rPr>
                      <w:fldChar w:fldCharType="separate"/>
                    </w:r>
                    <w:r>
                      <w:rPr>
                        <w:b/>
                        <w:sz w:val="18"/>
                      </w:rPr>
                      <w:t>61</w:t>
                    </w:r>
                    <w:r w:rsidRPr="00841C25">
                      <w:rPr>
                        <w:b/>
                        <w:sz w:val="18"/>
                      </w:rPr>
                      <w:fldChar w:fldCharType="end"/>
                    </w:r>
                  </w:p>
                  <w:p w14:paraId="24AFF688" w14:textId="77777777" w:rsidR="00026474" w:rsidRDefault="00026474"/>
                </w:txbxContent>
              </v:textbox>
              <w10:wrap anchorx="margin" anchory="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8E4C7" w14:textId="4FD36089" w:rsidR="00E0204C" w:rsidRPr="00E0204C" w:rsidRDefault="00E0204C" w:rsidP="00E0204C">
    <w:pPr>
      <w:pStyle w:val="a8"/>
      <w:rPr>
        <w:b/>
        <w:sz w:val="18"/>
      </w:rPr>
    </w:pPr>
    <w:r>
      <w:rPr>
        <w:b/>
        <w:sz w:val="18"/>
      </w:rPr>
      <w:fldChar w:fldCharType="begin"/>
    </w:r>
    <w:r>
      <w:rPr>
        <w:b/>
        <w:sz w:val="18"/>
      </w:rPr>
      <w:instrText xml:space="preserve"> PAGE  \* MERGEFORMAT </w:instrText>
    </w:r>
    <w:r>
      <w:rPr>
        <w:b/>
        <w:sz w:val="18"/>
      </w:rPr>
      <w:fldChar w:fldCharType="separate"/>
    </w:r>
    <w:r>
      <w:rPr>
        <w:b/>
        <w:noProof/>
        <w:sz w:val="18"/>
      </w:rPr>
      <w:t>64</w:t>
    </w:r>
    <w:r>
      <w:rPr>
        <w:b/>
        <w:sz w:val="18"/>
      </w:rPr>
      <w:fldChar w:fldCharType="end"/>
    </w:r>
    <w:r>
      <w:rPr>
        <w:b/>
        <w:sz w:val="18"/>
      </w:rPr>
      <w:tab/>
    </w:r>
    <w:r w:rsidRPr="00E0204C">
      <w:t>GE.24-08945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B946D" w14:textId="2CA70C7F" w:rsidR="00E0204C" w:rsidRPr="00E0204C" w:rsidRDefault="00E0204C" w:rsidP="00E0204C">
    <w:pPr>
      <w:pStyle w:val="a8"/>
      <w:rPr>
        <w:b/>
        <w:sz w:val="18"/>
      </w:rPr>
    </w:pPr>
    <w:r>
      <w:t>GE.</w:t>
    </w:r>
    <w:r w:rsidRPr="00E0204C">
      <w:t>24</w:t>
    </w:r>
    <w:r>
      <w:t>-</w:t>
    </w:r>
    <w:r w:rsidRPr="00E0204C">
      <w:t>08945</w:t>
    </w:r>
    <w:r>
      <w:tab/>
    </w:r>
    <w:r>
      <w:rPr>
        <w:b/>
        <w:sz w:val="18"/>
      </w:rPr>
      <w:fldChar w:fldCharType="begin"/>
    </w:r>
    <w:r>
      <w:rPr>
        <w:b/>
        <w:sz w:val="18"/>
      </w:rPr>
      <w:instrText xml:space="preserve"> PAGE  \* MERGEFORMAT </w:instrText>
    </w:r>
    <w:r>
      <w:rPr>
        <w:b/>
        <w:sz w:val="18"/>
      </w:rPr>
      <w:fldChar w:fldCharType="separate"/>
    </w:r>
    <w:r>
      <w:rPr>
        <w:b/>
        <w:noProof/>
        <w:sz w:val="18"/>
      </w:rPr>
      <w:t>63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15553" w14:textId="77777777" w:rsidR="0069781D" w:rsidRPr="001075E9" w:rsidRDefault="0069781D" w:rsidP="001075E9">
      <w:pPr>
        <w:tabs>
          <w:tab w:val="right" w:pos="2155"/>
        </w:tabs>
        <w:spacing w:after="80" w:line="240" w:lineRule="auto"/>
        <w:ind w:left="680"/>
        <w:rPr>
          <w:u w:val="single"/>
        </w:rPr>
      </w:pPr>
      <w:r>
        <w:rPr>
          <w:u w:val="single"/>
        </w:rPr>
        <w:tab/>
      </w:r>
    </w:p>
  </w:footnote>
  <w:footnote w:type="continuationSeparator" w:id="0">
    <w:p w14:paraId="40D5BB48" w14:textId="77777777" w:rsidR="0069781D" w:rsidRDefault="0069781D" w:rsidP="00407B78">
      <w:pPr>
        <w:tabs>
          <w:tab w:val="right" w:pos="2155"/>
        </w:tabs>
        <w:spacing w:after="80"/>
        <w:ind w:left="680"/>
        <w:rPr>
          <w:u w:val="single"/>
        </w:rPr>
      </w:pPr>
      <w:r>
        <w:rPr>
          <w:u w:val="single"/>
        </w:rPr>
        <w:tab/>
      </w:r>
    </w:p>
  </w:footnote>
  <w:footnote w:id="1">
    <w:p w14:paraId="5A2E97AB" w14:textId="77777777" w:rsidR="00841C25" w:rsidRPr="008F3942" w:rsidRDefault="00841C25" w:rsidP="00E0204C">
      <w:pPr>
        <w:pStyle w:val="ad"/>
        <w:rPr>
          <w:sz w:val="20"/>
        </w:rPr>
      </w:pPr>
      <w:r>
        <w:tab/>
        <w:t>*</w:t>
      </w:r>
      <w:r>
        <w:tab/>
        <w:t>Настоящий документ выпускается без официального редактирования.</w:t>
      </w:r>
    </w:p>
  </w:footnote>
  <w:footnote w:id="2">
    <w:p w14:paraId="487D5D0D" w14:textId="45765FD9" w:rsidR="00841C25" w:rsidRPr="008F3942" w:rsidRDefault="00841C25" w:rsidP="00E0204C">
      <w:pPr>
        <w:pStyle w:val="ad"/>
      </w:pPr>
      <w:r w:rsidRPr="00D62FAA">
        <w:tab/>
      </w:r>
      <w:r w:rsidRPr="00E0204C">
        <w:rPr>
          <w:rStyle w:val="aa"/>
        </w:rPr>
        <w:footnoteRef/>
      </w:r>
      <w:r w:rsidRPr="008F3942">
        <w:rPr>
          <w:lang w:val="en-US"/>
        </w:rPr>
        <w:tab/>
        <w:t xml:space="preserve">Australian Bureau of Statistics, </w:t>
      </w:r>
      <w:r w:rsidRPr="00E22999">
        <w:rPr>
          <w:i/>
          <w:iCs/>
          <w:lang w:val="en-US"/>
        </w:rPr>
        <w:t>Australian National Accounts: National Income, Expenditure and Product, December quarter 2022</w:t>
      </w:r>
      <w:r w:rsidRPr="008F3942">
        <w:rPr>
          <w:lang w:val="en-US"/>
        </w:rPr>
        <w:t xml:space="preserve">, </w:t>
      </w:r>
      <w:hyperlink r:id="rId1" w:history="1">
        <w:r w:rsidR="00466706" w:rsidRPr="005313E9">
          <w:rPr>
            <w:rStyle w:val="af1"/>
            <w:lang w:val="en-US"/>
          </w:rPr>
          <w:t>https://www.abs.gov.au/statistics/economy/national-accounts/australian-national-accounts-national-income-expenditure-and-product/mar-2023</w:t>
        </w:r>
      </w:hyperlink>
      <w:r w:rsidRPr="008F3942">
        <w:rPr>
          <w:lang w:val="en-US"/>
        </w:rPr>
        <w:t>.</w:t>
      </w:r>
      <w:r w:rsidR="00466706" w:rsidRPr="00466706">
        <w:rPr>
          <w:lang w:val="en-US"/>
        </w:rPr>
        <w:t xml:space="preserve"> </w:t>
      </w:r>
      <w:r w:rsidRPr="008F3942">
        <w:rPr>
          <w:lang w:val="en-US"/>
        </w:rPr>
        <w:t xml:space="preserve"> </w:t>
      </w:r>
      <w:r>
        <w:t xml:space="preserve">Примечание: </w:t>
      </w:r>
      <w:r w:rsidR="00E22999">
        <w:t>В</w:t>
      </w:r>
      <w:r>
        <w:t>се финансовые показатели в настоящем докладе приведены в австралийских долларах. На момент составления доклада обменный курс составлял примерно $1AUD = $0,68USD.</w:t>
      </w:r>
      <w:r w:rsidR="00466706">
        <w:t xml:space="preserve"> </w:t>
      </w:r>
    </w:p>
  </w:footnote>
  <w:footnote w:id="3">
    <w:p w14:paraId="0C67A513" w14:textId="30851499" w:rsidR="00841C25" w:rsidRPr="00466706" w:rsidRDefault="00841C25" w:rsidP="00E0204C">
      <w:pPr>
        <w:pStyle w:val="ad"/>
        <w:rPr>
          <w:lang w:val="en-US"/>
        </w:rPr>
      </w:pPr>
      <w:r w:rsidRPr="00D62FAA">
        <w:tab/>
      </w:r>
      <w:r w:rsidRPr="00E0204C">
        <w:rPr>
          <w:rStyle w:val="aa"/>
        </w:rPr>
        <w:footnoteRef/>
      </w:r>
      <w:r w:rsidRPr="008F3942">
        <w:rPr>
          <w:lang w:val="en-US"/>
        </w:rPr>
        <w:tab/>
        <w:t xml:space="preserve">Ibid; OECD, </w:t>
      </w:r>
      <w:hyperlink r:id="rId2" w:history="1">
        <w:r w:rsidR="00466706" w:rsidRPr="005313E9">
          <w:rPr>
            <w:rStyle w:val="af1"/>
            <w:lang w:val="en-US"/>
          </w:rPr>
          <w:t>https://stats.oecd.org/Index.aspx?DataSetCode=PDB_GR</w:t>
        </w:r>
      </w:hyperlink>
      <w:r w:rsidRPr="008F3942">
        <w:rPr>
          <w:lang w:val="en-US"/>
        </w:rPr>
        <w:t>.</w:t>
      </w:r>
      <w:r w:rsidR="00466706" w:rsidRPr="00466706">
        <w:rPr>
          <w:lang w:val="en-US"/>
        </w:rPr>
        <w:t xml:space="preserve"> </w:t>
      </w:r>
    </w:p>
  </w:footnote>
  <w:footnote w:id="4">
    <w:p w14:paraId="7F348C36" w14:textId="75FE979A"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Commonwealth of Australia, </w:t>
      </w:r>
      <w:r w:rsidRPr="00E22999">
        <w:rPr>
          <w:i/>
          <w:iCs/>
          <w:lang w:val="en-US"/>
        </w:rPr>
        <w:t>Budget Overview 2022–23</w:t>
      </w:r>
      <w:r w:rsidRPr="008F3942">
        <w:rPr>
          <w:lang w:val="en-US"/>
        </w:rPr>
        <w:t xml:space="preserve">, </w:t>
      </w:r>
      <w:hyperlink r:id="rId3" w:history="1">
        <w:r w:rsidR="00466706" w:rsidRPr="005313E9">
          <w:rPr>
            <w:rStyle w:val="af1"/>
            <w:lang w:val="en-US"/>
          </w:rPr>
          <w:t>https://budget.gov.au/2022-23-october/content/overview/index.htm</w:t>
        </w:r>
      </w:hyperlink>
      <w:r w:rsidRPr="008F3942">
        <w:rPr>
          <w:lang w:val="en-US"/>
        </w:rPr>
        <w:t>.</w:t>
      </w:r>
      <w:r w:rsidR="00466706" w:rsidRPr="00466706">
        <w:rPr>
          <w:lang w:val="en-US"/>
        </w:rPr>
        <w:t xml:space="preserve"> </w:t>
      </w:r>
    </w:p>
  </w:footnote>
  <w:footnote w:id="5">
    <w:p w14:paraId="1DF3EA4E" w14:textId="699B9049"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Consumer Price Index, Australia, 2022</w:t>
      </w:r>
      <w:r w:rsidRPr="008F3942">
        <w:rPr>
          <w:lang w:val="en-US"/>
        </w:rPr>
        <w:t xml:space="preserve">, 2023, </w:t>
      </w:r>
      <w:hyperlink r:id="rId4" w:history="1">
        <w:r w:rsidR="00466706" w:rsidRPr="005313E9">
          <w:rPr>
            <w:rStyle w:val="af1"/>
            <w:lang w:val="en-US"/>
          </w:rPr>
          <w:t>https://www.abs.gov.au/statistics/economy/price-indexes-and-inflation/consumer-price-index-australia/latest-release</w:t>
        </w:r>
      </w:hyperlink>
      <w:r w:rsidRPr="008F3942">
        <w:rPr>
          <w:lang w:val="en-US"/>
        </w:rPr>
        <w:t>.</w:t>
      </w:r>
      <w:r w:rsidR="00466706" w:rsidRPr="00466706">
        <w:rPr>
          <w:lang w:val="en-US"/>
        </w:rPr>
        <w:t xml:space="preserve"> </w:t>
      </w:r>
    </w:p>
  </w:footnote>
  <w:footnote w:id="6">
    <w:p w14:paraId="31708163" w14:textId="7502368C"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Parliament House, </w:t>
      </w:r>
      <w:r w:rsidRPr="00E22999">
        <w:rPr>
          <w:i/>
          <w:iCs/>
          <w:lang w:val="en-US"/>
        </w:rPr>
        <w:t>Australian Government Debt, 2022–23</w:t>
      </w:r>
      <w:r w:rsidRPr="008F3942">
        <w:rPr>
          <w:lang w:val="en-US"/>
        </w:rPr>
        <w:t xml:space="preserve">, </w:t>
      </w:r>
      <w:hyperlink r:id="rId5" w:anchor=":~:text=This%20continues%20the%20trend%20of,as%20of%2028%20October%202022" w:history="1">
        <w:r w:rsidR="00466706" w:rsidRPr="005313E9">
          <w:rPr>
            <w:rStyle w:val="af1"/>
            <w:lang w:val="en-US"/>
          </w:rPr>
          <w:t>https://www.aph.gov.au/About_Parliament/Parliamentary_departments/Parliamentary_Library/pubs/rp/BudgetReviewOctober202223/AustralianGovernmentDebt#:~:text=This%20continues%20the%20trend%20of,as%20of%2028%20October%202022</w:t>
        </w:r>
      </w:hyperlink>
      <w:r w:rsidRPr="008F3942">
        <w:rPr>
          <w:lang w:val="en-US"/>
        </w:rPr>
        <w:t>.</w:t>
      </w:r>
      <w:r w:rsidR="00466706" w:rsidRPr="00466706">
        <w:rPr>
          <w:lang w:val="en-US"/>
        </w:rPr>
        <w:t xml:space="preserve"> </w:t>
      </w:r>
    </w:p>
  </w:footnote>
  <w:footnote w:id="7">
    <w:p w14:paraId="44207EA4" w14:textId="69C6C77A"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Parliament House, </w:t>
      </w:r>
      <w:r w:rsidRPr="00E22999">
        <w:rPr>
          <w:i/>
          <w:iCs/>
          <w:lang w:val="en-US"/>
        </w:rPr>
        <w:t>Foreign Aid Budget, 2022–23</w:t>
      </w:r>
      <w:r w:rsidRPr="008F3942">
        <w:rPr>
          <w:lang w:val="en-US"/>
        </w:rPr>
        <w:t xml:space="preserve">, </w:t>
      </w:r>
      <w:hyperlink r:id="rId6" w:anchor=":~:text=Australia%27s%20foreign%20aid%20program%20in,(inclusive%20of%20temporary%20measures)" w:history="1">
        <w:r w:rsidR="00466706" w:rsidRPr="005313E9">
          <w:rPr>
            <w:rStyle w:val="af1"/>
            <w:lang w:val="en-US"/>
          </w:rPr>
          <w:t>https://www.aph.gov.au/About_Parliament/Parliamentary_Departments/Parliamentary_Library/pubs/rp/BudgetReview202223/ForeignAidBudget#:~:text=Australia%27s%20foreign%20aid%20program%20in,(inclusive%20of%20temporary%20measures)</w:t>
        </w:r>
      </w:hyperlink>
      <w:r w:rsidRPr="008F3942">
        <w:rPr>
          <w:lang w:val="en-US"/>
        </w:rPr>
        <w:t>.</w:t>
      </w:r>
      <w:r w:rsidR="00466706" w:rsidRPr="00466706">
        <w:rPr>
          <w:lang w:val="en-US"/>
        </w:rPr>
        <w:t xml:space="preserve"> </w:t>
      </w:r>
    </w:p>
  </w:footnote>
  <w:footnote w:id="8">
    <w:p w14:paraId="2DA744F4" w14:textId="3C9F9870"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National, state and territory population, June 2022</w:t>
      </w:r>
      <w:r w:rsidRPr="008F3942">
        <w:rPr>
          <w:lang w:val="en-US"/>
        </w:rPr>
        <w:t xml:space="preserve">, </w:t>
      </w:r>
      <w:hyperlink r:id="rId7" w:history="1">
        <w:r w:rsidR="00466706" w:rsidRPr="005313E9">
          <w:rPr>
            <w:rStyle w:val="af1"/>
            <w:lang w:val="en-US"/>
          </w:rPr>
          <w:t>https://www.abs.gov.au/statistics/people/population/national-state-and-territory-population/jun-2022</w:t>
        </w:r>
      </w:hyperlink>
      <w:r w:rsidRPr="008F3942">
        <w:rPr>
          <w:lang w:val="en-US"/>
        </w:rPr>
        <w:t>.</w:t>
      </w:r>
      <w:r w:rsidR="00466706" w:rsidRPr="00466706">
        <w:rPr>
          <w:lang w:val="en-US"/>
        </w:rPr>
        <w:t xml:space="preserve"> </w:t>
      </w:r>
    </w:p>
  </w:footnote>
  <w:footnote w:id="9">
    <w:p w14:paraId="050D0349"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
    <w:p w14:paraId="5F43B54D" w14:textId="627AC714"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World Bank, </w:t>
      </w:r>
      <w:r w:rsidRPr="00E22999">
        <w:rPr>
          <w:i/>
          <w:iCs/>
          <w:lang w:val="en-US"/>
        </w:rPr>
        <w:t>Open Data: Population Density</w:t>
      </w:r>
      <w:r w:rsidRPr="008F3942">
        <w:rPr>
          <w:lang w:val="en-US"/>
        </w:rPr>
        <w:t>, data.worldbank.org/indicator/en.pop.dnst.</w:t>
      </w:r>
      <w:r w:rsidR="00466706" w:rsidRPr="00466706">
        <w:rPr>
          <w:lang w:val="en-US"/>
        </w:rPr>
        <w:t xml:space="preserve"> </w:t>
      </w:r>
    </w:p>
  </w:footnote>
  <w:footnote w:id="11">
    <w:p w14:paraId="438F2423" w14:textId="7B841D42" w:rsidR="00841C25" w:rsidRPr="008F3942" w:rsidRDefault="00841C25" w:rsidP="00E0204C">
      <w:pPr>
        <w:pStyle w:val="ad"/>
      </w:pPr>
      <w:r w:rsidRPr="008F3942">
        <w:rPr>
          <w:lang w:val="en-US"/>
        </w:rPr>
        <w:tab/>
      </w:r>
      <w:r w:rsidRPr="00E0204C">
        <w:rPr>
          <w:rStyle w:val="aa"/>
        </w:rPr>
        <w:footnoteRef/>
      </w:r>
      <w:r w:rsidRPr="008F3942">
        <w:rPr>
          <w:lang w:val="en-US"/>
        </w:rPr>
        <w:tab/>
        <w:t xml:space="preserve">Australian Bureau of Statistics, 3218.0 – Regional Population Growth, Australia, 2020–21, 2022, </w:t>
      </w:r>
      <w:hyperlink r:id="rId8" w:history="1">
        <w:r w:rsidR="00466706" w:rsidRPr="005313E9">
          <w:rPr>
            <w:rStyle w:val="af1"/>
            <w:lang w:val="en-US"/>
          </w:rPr>
          <w:t>https://www.abs.gov.au/statistics/people/population/regional-population/2020-21</w:t>
        </w:r>
      </w:hyperlink>
      <w:r w:rsidRPr="008F3942">
        <w:rPr>
          <w:lang w:val="en-US"/>
        </w:rPr>
        <w:t>.</w:t>
      </w:r>
      <w:r w:rsidR="00466706" w:rsidRPr="00466706">
        <w:rPr>
          <w:lang w:val="en-US"/>
        </w:rPr>
        <w:t xml:space="preserve"> </w:t>
      </w:r>
      <w:r>
        <w:t>Интерактивная карта, показывающая плотность населения по регионам, доступна по этой ссылке.</w:t>
      </w:r>
    </w:p>
  </w:footnote>
  <w:footnote w:id="12">
    <w:p w14:paraId="656A3265" w14:textId="78454F5B" w:rsidR="00841C25" w:rsidRPr="00466706" w:rsidRDefault="00841C25" w:rsidP="00E0204C">
      <w:pPr>
        <w:pStyle w:val="ad"/>
        <w:rPr>
          <w:lang w:val="en-US"/>
        </w:rPr>
      </w:pPr>
      <w:r w:rsidRPr="00D62FAA">
        <w:tab/>
      </w:r>
      <w:r w:rsidRPr="00E0204C">
        <w:rPr>
          <w:rStyle w:val="aa"/>
        </w:rPr>
        <w:footnoteRef/>
      </w:r>
      <w:r w:rsidRPr="008F3942">
        <w:rPr>
          <w:lang w:val="en-US"/>
        </w:rPr>
        <w:tab/>
        <w:t xml:space="preserve">Australian Bureau of Statistics, </w:t>
      </w:r>
      <w:r w:rsidRPr="00E22999">
        <w:rPr>
          <w:i/>
          <w:iCs/>
          <w:lang w:val="en-US"/>
        </w:rPr>
        <w:t>Estimates of Aboriginal and Torres Strait Islander Australians, 2021</w:t>
      </w:r>
      <w:r w:rsidRPr="008F3942">
        <w:rPr>
          <w:lang w:val="en-US"/>
        </w:rPr>
        <w:t xml:space="preserve">, </w:t>
      </w:r>
      <w:hyperlink r:id="rId9" w:history="1">
        <w:r w:rsidR="00466706" w:rsidRPr="005313E9">
          <w:rPr>
            <w:rStyle w:val="af1"/>
            <w:lang w:val="en-US"/>
          </w:rPr>
          <w:t>https://www.abs.gov.au/statistics/people/aboriginal-and-torres-strait-islander-peoples/estimates-aboriginal-and-torres-strait-islander-australians/latest-release</w:t>
        </w:r>
      </w:hyperlink>
      <w:r w:rsidRPr="008F3942">
        <w:rPr>
          <w:lang w:val="en-US"/>
        </w:rPr>
        <w:t>.</w:t>
      </w:r>
      <w:r w:rsidR="00466706" w:rsidRPr="00466706">
        <w:rPr>
          <w:lang w:val="en-US"/>
        </w:rPr>
        <w:t xml:space="preserve"> </w:t>
      </w:r>
    </w:p>
  </w:footnote>
  <w:footnote w:id="13">
    <w:p w14:paraId="361C4B2C" w14:textId="5ABE3024"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Snapshot of Australia</w:t>
      </w:r>
      <w:r w:rsidRPr="008F3942">
        <w:rPr>
          <w:lang w:val="en-US"/>
        </w:rPr>
        <w:t xml:space="preserve">, 2021, </w:t>
      </w:r>
      <w:hyperlink r:id="rId10" w:history="1">
        <w:r w:rsidR="00466706" w:rsidRPr="005313E9">
          <w:rPr>
            <w:rStyle w:val="af1"/>
            <w:lang w:val="en-US"/>
          </w:rPr>
          <w:t>https://www.abs.gov.au/statistics/people/people-and-communities/snapshot-australia/2021</w:t>
        </w:r>
      </w:hyperlink>
      <w:r w:rsidRPr="008F3942">
        <w:rPr>
          <w:lang w:val="en-US"/>
        </w:rPr>
        <w:t>.</w:t>
      </w:r>
      <w:r w:rsidR="00466706" w:rsidRPr="00466706">
        <w:rPr>
          <w:lang w:val="en-US"/>
        </w:rPr>
        <w:t xml:space="preserve"> </w:t>
      </w:r>
    </w:p>
  </w:footnote>
  <w:footnote w:id="14">
    <w:p w14:paraId="767CA1D6" w14:textId="5BA36216"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Australia: Aboriginal and Torres Strait Islander population summary</w:t>
      </w:r>
      <w:r w:rsidRPr="008F3942">
        <w:rPr>
          <w:lang w:val="en-US"/>
        </w:rPr>
        <w:t xml:space="preserve">, 2022 </w:t>
      </w:r>
      <w:hyperlink r:id="rId11" w:history="1">
        <w:r w:rsidR="00466706" w:rsidRPr="005313E9">
          <w:rPr>
            <w:rStyle w:val="af1"/>
            <w:lang w:val="en-US"/>
          </w:rPr>
          <w:t>https://www.abs.gov.au/articles/australia-aboriginal-and-torres-strait-islander-population-summary</w:t>
        </w:r>
      </w:hyperlink>
      <w:r w:rsidRPr="008F3942">
        <w:rPr>
          <w:lang w:val="en-US"/>
        </w:rPr>
        <w:t>.</w:t>
      </w:r>
      <w:r w:rsidR="00466706" w:rsidRPr="00466706">
        <w:rPr>
          <w:lang w:val="en-US"/>
        </w:rPr>
        <w:t xml:space="preserve"> </w:t>
      </w:r>
    </w:p>
  </w:footnote>
  <w:footnote w:id="15">
    <w:p w14:paraId="26597A31"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Steering Committee for the Review of Government Service Provision, </w:t>
      </w:r>
      <w:r w:rsidRPr="00E22999">
        <w:rPr>
          <w:i/>
          <w:iCs/>
          <w:lang w:val="en-US"/>
        </w:rPr>
        <w:t>Overcoming Indigenous Disadvantage: Key Indicators 2020</w:t>
      </w:r>
      <w:r w:rsidRPr="008F3942">
        <w:rPr>
          <w:lang w:val="en-US"/>
        </w:rPr>
        <w:t>, Productivity Commission, Canberra, 2020.</w:t>
      </w:r>
    </w:p>
  </w:footnote>
  <w:footnote w:id="16">
    <w:p w14:paraId="51B16F8F" w14:textId="4A2C2E01"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National Indigenous Australians Agency, </w:t>
      </w:r>
      <w:r w:rsidRPr="00E22999">
        <w:rPr>
          <w:i/>
          <w:iCs/>
          <w:lang w:val="en-US"/>
        </w:rPr>
        <w:t>Commonwealth Closing the Gap Annual Report 2022</w:t>
      </w:r>
      <w:r w:rsidRPr="008F3942">
        <w:rPr>
          <w:lang w:val="en-US"/>
        </w:rPr>
        <w:t xml:space="preserve">, </w:t>
      </w:r>
      <w:hyperlink r:id="rId12" w:history="1">
        <w:r w:rsidR="00466706" w:rsidRPr="005313E9">
          <w:rPr>
            <w:rStyle w:val="af1"/>
            <w:lang w:val="en-US"/>
          </w:rPr>
          <w:t>https://www.niaa.gov.au/sites/default/files/publications/niaa-closing-the-gap-annual-report-2022.pdf</w:t>
        </w:r>
      </w:hyperlink>
      <w:r w:rsidRPr="008F3942">
        <w:rPr>
          <w:lang w:val="en-US"/>
        </w:rPr>
        <w:t>;</w:t>
      </w:r>
      <w:r w:rsidR="00466706" w:rsidRPr="00466706">
        <w:rPr>
          <w:lang w:val="en-US"/>
        </w:rPr>
        <w:t xml:space="preserve"> </w:t>
      </w:r>
      <w:r w:rsidRPr="008F3942">
        <w:rPr>
          <w:lang w:val="en-US"/>
        </w:rPr>
        <w:t xml:space="preserve">Closing the Gap, </w:t>
      </w:r>
      <w:r w:rsidRPr="00E22999">
        <w:rPr>
          <w:i/>
          <w:iCs/>
          <w:lang w:val="en-US"/>
        </w:rPr>
        <w:t>National Agreement on Closing the Gap, July 2020</w:t>
      </w:r>
      <w:r w:rsidRPr="008F3942">
        <w:rPr>
          <w:lang w:val="en-US"/>
        </w:rPr>
        <w:t xml:space="preserve">, </w:t>
      </w:r>
      <w:hyperlink r:id="rId13" w:history="1">
        <w:r w:rsidR="00466706" w:rsidRPr="005313E9">
          <w:rPr>
            <w:rStyle w:val="af1"/>
            <w:lang w:val="en-US"/>
          </w:rPr>
          <w:t>https://www.closingthegap.gov.au/sites/default/files/2022-09/ctg-national-agreement_apr-21-comm-infra-targets-updated-24-august-2022_0.pdf</w:t>
        </w:r>
      </w:hyperlink>
      <w:r w:rsidRPr="008F3942">
        <w:rPr>
          <w:lang w:val="en-US"/>
        </w:rPr>
        <w:t>.</w:t>
      </w:r>
      <w:r w:rsidR="00466706" w:rsidRPr="00466706">
        <w:rPr>
          <w:lang w:val="en-US"/>
        </w:rPr>
        <w:t xml:space="preserve"> </w:t>
      </w:r>
      <w:r w:rsidRPr="008F3942">
        <w:rPr>
          <w:lang w:val="en-US"/>
        </w:rPr>
        <w:t xml:space="preserve"> </w:t>
      </w:r>
    </w:p>
  </w:footnote>
  <w:footnote w:id="17">
    <w:p w14:paraId="1F119EE9" w14:textId="091F68B3"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Snapshot of Australia</w:t>
      </w:r>
      <w:r w:rsidRPr="008F3942">
        <w:rPr>
          <w:lang w:val="en-US"/>
        </w:rPr>
        <w:t xml:space="preserve">, 2021, </w:t>
      </w:r>
      <w:hyperlink r:id="rId14" w:history="1">
        <w:r w:rsidR="00466706" w:rsidRPr="005313E9">
          <w:rPr>
            <w:rStyle w:val="af1"/>
            <w:lang w:val="en-US"/>
          </w:rPr>
          <w:t>https://www.abs.gov.au/statistics/people/people-and-communities/snapshot-australia/2021</w:t>
        </w:r>
      </w:hyperlink>
      <w:r w:rsidRPr="008F3942">
        <w:rPr>
          <w:lang w:val="en-US"/>
        </w:rPr>
        <w:t>.</w:t>
      </w:r>
      <w:r w:rsidR="00466706" w:rsidRPr="00466706">
        <w:rPr>
          <w:lang w:val="en-US"/>
        </w:rPr>
        <w:t xml:space="preserve"> </w:t>
      </w:r>
    </w:p>
  </w:footnote>
  <w:footnote w:id="18">
    <w:p w14:paraId="020A21F2"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9">
    <w:p w14:paraId="59C4F776"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20">
    <w:p w14:paraId="74564CB2" w14:textId="4EF3E5E1"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Births, Australia, 2021</w:t>
      </w:r>
      <w:r w:rsidRPr="008F3942">
        <w:rPr>
          <w:lang w:val="en-US"/>
        </w:rPr>
        <w:t xml:space="preserve">, </w:t>
      </w:r>
      <w:hyperlink r:id="rId15" w:history="1">
        <w:r w:rsidR="00466706" w:rsidRPr="005313E9">
          <w:rPr>
            <w:rStyle w:val="af1"/>
            <w:lang w:val="en-US"/>
          </w:rPr>
          <w:t>https://www.abs.gov.au/statistics/people/population/births-australia/latest-release</w:t>
        </w:r>
      </w:hyperlink>
      <w:r w:rsidRPr="008F3942">
        <w:rPr>
          <w:lang w:val="en-US"/>
        </w:rPr>
        <w:t>.</w:t>
      </w:r>
      <w:r w:rsidR="00466706" w:rsidRPr="00466706">
        <w:rPr>
          <w:lang w:val="en-US"/>
        </w:rPr>
        <w:t xml:space="preserve"> </w:t>
      </w:r>
    </w:p>
  </w:footnote>
  <w:footnote w:id="21">
    <w:p w14:paraId="2DC94FE9" w14:textId="1F160EA7"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Deaths, Australia, 2021</w:t>
      </w:r>
      <w:r w:rsidRPr="008F3942">
        <w:rPr>
          <w:lang w:val="en-US"/>
        </w:rPr>
        <w:t xml:space="preserve">, </w:t>
      </w:r>
      <w:hyperlink r:id="rId16" w:history="1">
        <w:r w:rsidR="00466706" w:rsidRPr="005313E9">
          <w:rPr>
            <w:rStyle w:val="af1"/>
            <w:lang w:val="en-US"/>
          </w:rPr>
          <w:t>https://www.abs.gov.au/statistics/people/population/deaths-australia/latest-release</w:t>
        </w:r>
      </w:hyperlink>
      <w:r w:rsidRPr="008F3942">
        <w:rPr>
          <w:lang w:val="en-US"/>
        </w:rPr>
        <w:t>.</w:t>
      </w:r>
      <w:r w:rsidR="00466706" w:rsidRPr="00466706">
        <w:rPr>
          <w:lang w:val="en-US"/>
        </w:rPr>
        <w:t xml:space="preserve"> </w:t>
      </w:r>
    </w:p>
  </w:footnote>
  <w:footnote w:id="22">
    <w:p w14:paraId="1F0B723E" w14:textId="0AE744BF"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Life tables, 2019–2021</w:t>
      </w:r>
      <w:r w:rsidRPr="008F3942">
        <w:rPr>
          <w:lang w:val="en-US"/>
        </w:rPr>
        <w:t xml:space="preserve">, 2022, </w:t>
      </w:r>
      <w:hyperlink r:id="rId17" w:history="1">
        <w:r w:rsidR="00466706" w:rsidRPr="005313E9">
          <w:rPr>
            <w:rStyle w:val="af1"/>
            <w:lang w:val="en-US"/>
          </w:rPr>
          <w:t>https://www.abs.gov.au/statistics/people/population/life-tables/latest-release</w:t>
        </w:r>
      </w:hyperlink>
      <w:r w:rsidRPr="008F3942">
        <w:rPr>
          <w:lang w:val="en-US"/>
        </w:rPr>
        <w:t>.</w:t>
      </w:r>
      <w:r w:rsidR="00466706" w:rsidRPr="00466706">
        <w:rPr>
          <w:lang w:val="en-US"/>
        </w:rPr>
        <w:t xml:space="preserve"> </w:t>
      </w:r>
    </w:p>
  </w:footnote>
  <w:footnote w:id="23">
    <w:p w14:paraId="152A6AC6" w14:textId="4A8BC342"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Life Tables for Aboriginal and Torres Strait Islander Australians, 2015–2017, 2018, </w:t>
      </w:r>
      <w:hyperlink r:id="rId18" w:history="1">
        <w:r w:rsidR="00466706" w:rsidRPr="005313E9">
          <w:rPr>
            <w:rStyle w:val="af1"/>
            <w:lang w:val="en-US"/>
          </w:rPr>
          <w:t>https://www.abs.gov.au/statistics/people/aboriginal-and-torres-strait-islander-peoples/aboriginal-and-torres-strait-islander-life-expectancy-estimates/latest-release</w:t>
        </w:r>
      </w:hyperlink>
      <w:r w:rsidRPr="008F3942">
        <w:rPr>
          <w:lang w:val="en-US"/>
        </w:rPr>
        <w:t>.</w:t>
      </w:r>
      <w:r w:rsidR="00466706" w:rsidRPr="00466706">
        <w:rPr>
          <w:lang w:val="en-US"/>
        </w:rPr>
        <w:t xml:space="preserve"> </w:t>
      </w:r>
    </w:p>
  </w:footnote>
  <w:footnote w:id="24">
    <w:p w14:paraId="174EF4E4" w14:textId="2056BDD0" w:rsidR="00841C25" w:rsidRPr="00466706" w:rsidRDefault="00841C25" w:rsidP="00E0204C">
      <w:pPr>
        <w:pStyle w:val="ad"/>
        <w:rPr>
          <w:lang w:val="en-US"/>
        </w:rPr>
      </w:pPr>
      <w:r w:rsidRPr="008F3942">
        <w:rPr>
          <w:lang w:val="en-US"/>
        </w:rPr>
        <w:tab/>
      </w:r>
      <w:r w:rsidRPr="00E0204C">
        <w:rPr>
          <w:rStyle w:val="aa"/>
        </w:rPr>
        <w:footnoteRef/>
      </w:r>
      <w:bookmarkStart w:id="9" w:name="_Hlk142304490"/>
      <w:r w:rsidRPr="008F3942">
        <w:rPr>
          <w:lang w:val="en-US"/>
        </w:rPr>
        <w:tab/>
        <w:t xml:space="preserve">Productivity Commission, Closing the Gap: Annual Data Compilation Report July 2023, </w:t>
      </w:r>
      <w:hyperlink r:id="rId19" w:history="1">
        <w:r w:rsidR="00466706" w:rsidRPr="005313E9">
          <w:rPr>
            <w:rStyle w:val="af1"/>
            <w:lang w:val="en-US"/>
          </w:rPr>
          <w:t>https://www.pc.gov.au/closing-the-gap-data/annual-data-report/report</w:t>
        </w:r>
      </w:hyperlink>
      <w:r w:rsidRPr="008F3942">
        <w:rPr>
          <w:lang w:val="en-US"/>
        </w:rPr>
        <w:t>.</w:t>
      </w:r>
      <w:bookmarkEnd w:id="9"/>
      <w:r w:rsidR="00466706" w:rsidRPr="00466706">
        <w:rPr>
          <w:lang w:val="en-US"/>
        </w:rPr>
        <w:t xml:space="preserve"> </w:t>
      </w:r>
    </w:p>
  </w:footnote>
  <w:footnote w:id="25">
    <w:p w14:paraId="4B1582D4" w14:textId="3DAE7F0F"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National, state and territory population, 2020, </w:t>
      </w:r>
      <w:hyperlink r:id="rId20" w:history="1">
        <w:r w:rsidR="00466706" w:rsidRPr="005313E9">
          <w:rPr>
            <w:rStyle w:val="af1"/>
            <w:lang w:val="en-US"/>
          </w:rPr>
          <w:t>www.abs.gov.au/articles/twenty-years-population-change</w:t>
        </w:r>
      </w:hyperlink>
      <w:r w:rsidRPr="008F3942">
        <w:rPr>
          <w:lang w:val="en-US"/>
        </w:rPr>
        <w:t>.</w:t>
      </w:r>
      <w:r w:rsidR="00466706" w:rsidRPr="00466706">
        <w:rPr>
          <w:lang w:val="en-US"/>
        </w:rPr>
        <w:t xml:space="preserve"> </w:t>
      </w:r>
    </w:p>
  </w:footnote>
  <w:footnote w:id="26">
    <w:p w14:paraId="1348DB1B" w14:textId="48226E66"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Population Projections, Australia, 2017 (base) – 2066, 2018, </w:t>
      </w:r>
      <w:hyperlink r:id="rId21" w:history="1">
        <w:r w:rsidR="00466706" w:rsidRPr="005313E9">
          <w:rPr>
            <w:rStyle w:val="af1"/>
            <w:lang w:val="en-US"/>
          </w:rPr>
          <w:t>https://www.abs.gov.au/statistics/people/population/population-projections-australia/latest-release</w:t>
        </w:r>
      </w:hyperlink>
      <w:r w:rsidRPr="008F3942">
        <w:rPr>
          <w:lang w:val="en-US"/>
        </w:rPr>
        <w:t>.</w:t>
      </w:r>
      <w:r w:rsidR="00466706" w:rsidRPr="00466706">
        <w:rPr>
          <w:lang w:val="en-US"/>
        </w:rPr>
        <w:t xml:space="preserve"> </w:t>
      </w:r>
    </w:p>
  </w:footnote>
  <w:footnote w:id="27">
    <w:p w14:paraId="6D0A5759" w14:textId="0C919383"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National, state and territory population, June 2022, 2022, </w:t>
      </w:r>
      <w:hyperlink r:id="rId22" w:history="1">
        <w:r w:rsidR="00466706" w:rsidRPr="005313E9">
          <w:rPr>
            <w:rStyle w:val="af1"/>
            <w:lang w:val="en-US"/>
          </w:rPr>
          <w:t>https://www.abs.gov.au/statistics/people/population/national-state-and-territory-population/jun-2022</w:t>
        </w:r>
      </w:hyperlink>
      <w:r w:rsidRPr="008F3942">
        <w:rPr>
          <w:lang w:val="en-US"/>
        </w:rPr>
        <w:t>;</w:t>
      </w:r>
      <w:r w:rsidR="00466706" w:rsidRPr="00466706">
        <w:rPr>
          <w:lang w:val="en-US"/>
        </w:rPr>
        <w:t xml:space="preserve"> </w:t>
      </w:r>
    </w:p>
    <w:p w14:paraId="40C5E88B" w14:textId="5C62FC42" w:rsidR="00841C25" w:rsidRPr="00466706" w:rsidRDefault="00841C25" w:rsidP="00E0204C">
      <w:pPr>
        <w:pStyle w:val="ad"/>
        <w:rPr>
          <w:lang w:val="en-US"/>
        </w:rPr>
      </w:pPr>
      <w:r w:rsidRPr="008F3942">
        <w:rPr>
          <w:lang w:val="en-US"/>
        </w:rPr>
        <w:tab/>
      </w:r>
      <w:r w:rsidRPr="008F3942">
        <w:rPr>
          <w:lang w:val="en-US"/>
        </w:rPr>
        <w:tab/>
      </w:r>
      <w:r w:rsidRPr="00841C25">
        <w:rPr>
          <w:lang w:val="en-US"/>
        </w:rPr>
        <w:t xml:space="preserve">Population Projections, Australia, 2017 (base) – 2066, 2018, </w:t>
      </w:r>
      <w:hyperlink r:id="rId23" w:history="1">
        <w:r w:rsidR="00466706" w:rsidRPr="005313E9">
          <w:rPr>
            <w:rStyle w:val="af1"/>
            <w:lang w:val="en-US"/>
          </w:rPr>
          <w:t>https://www.abs.gov.au/statistics/people/population/population-projections-australia/latest-release</w:t>
        </w:r>
      </w:hyperlink>
      <w:r w:rsidRPr="00841C25">
        <w:rPr>
          <w:lang w:val="en-US"/>
        </w:rPr>
        <w:t>.</w:t>
      </w:r>
      <w:r w:rsidR="00466706" w:rsidRPr="00466706">
        <w:rPr>
          <w:lang w:val="en-US"/>
        </w:rPr>
        <w:t xml:space="preserve"> </w:t>
      </w:r>
    </w:p>
  </w:footnote>
  <w:footnote w:id="28">
    <w:p w14:paraId="0376F60A" w14:textId="400FEEB7" w:rsidR="00841C25" w:rsidRPr="00466706" w:rsidRDefault="00841C25" w:rsidP="00E0204C">
      <w:pPr>
        <w:pStyle w:val="ad"/>
        <w:rPr>
          <w:b/>
          <w:lang w:val="en-US"/>
        </w:rPr>
      </w:pPr>
      <w:r w:rsidRPr="00841C25">
        <w:rPr>
          <w:lang w:val="en-US"/>
        </w:rPr>
        <w:tab/>
      </w:r>
      <w:r w:rsidRPr="00E0204C">
        <w:rPr>
          <w:rStyle w:val="aa"/>
        </w:rPr>
        <w:footnoteRef/>
      </w:r>
      <w:r w:rsidRPr="008F3942">
        <w:rPr>
          <w:lang w:val="en-US"/>
        </w:rPr>
        <w:tab/>
        <w:t xml:space="preserve">Australian Bureau of Statistics, </w:t>
      </w:r>
      <w:r w:rsidRPr="00E22999">
        <w:rPr>
          <w:i/>
          <w:iCs/>
          <w:lang w:val="en-US"/>
        </w:rPr>
        <w:t>National, state and territory population</w:t>
      </w:r>
      <w:r w:rsidRPr="008F3942">
        <w:rPr>
          <w:lang w:val="en-US"/>
        </w:rPr>
        <w:t xml:space="preserve">, June 2022, 2022, </w:t>
      </w:r>
      <w:hyperlink r:id="rId24" w:history="1">
        <w:r w:rsidR="00466706" w:rsidRPr="005313E9">
          <w:rPr>
            <w:rStyle w:val="af1"/>
            <w:lang w:val="en-US"/>
          </w:rPr>
          <w:t>https://www.abs.gov.au/statistics/people/population/national-state-and-territory-population/jun-2022</w:t>
        </w:r>
      </w:hyperlink>
      <w:r w:rsidRPr="008F3942">
        <w:rPr>
          <w:lang w:val="en-US"/>
        </w:rPr>
        <w:t>.</w:t>
      </w:r>
      <w:r w:rsidR="00466706" w:rsidRPr="00466706">
        <w:rPr>
          <w:lang w:val="en-US"/>
        </w:rPr>
        <w:t xml:space="preserve"> </w:t>
      </w:r>
    </w:p>
  </w:footnote>
  <w:footnote w:id="29">
    <w:p w14:paraId="05C9936F" w14:textId="4D4D9654"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Snapshot of Australia, 2021</w:t>
      </w:r>
      <w:r w:rsidRPr="008F3942">
        <w:rPr>
          <w:lang w:val="en-US"/>
        </w:rPr>
        <w:t xml:space="preserve">, 2022, </w:t>
      </w:r>
      <w:hyperlink r:id="rId25" w:anchor="our-families-and-households" w:history="1">
        <w:r w:rsidR="00466706" w:rsidRPr="005313E9">
          <w:rPr>
            <w:rStyle w:val="af1"/>
            <w:lang w:val="en-US"/>
          </w:rPr>
          <w:t>https://www.abs.gov.au/statistics/people/people-and-communities/snapshot-australia/2021#our-families-and-households</w:t>
        </w:r>
      </w:hyperlink>
      <w:r w:rsidRPr="008F3942">
        <w:rPr>
          <w:lang w:val="en-US"/>
        </w:rPr>
        <w:t>.</w:t>
      </w:r>
      <w:r w:rsidR="00466706" w:rsidRPr="00466706">
        <w:rPr>
          <w:lang w:val="en-US"/>
        </w:rPr>
        <w:t xml:space="preserve"> </w:t>
      </w:r>
    </w:p>
  </w:footnote>
  <w:footnote w:id="30">
    <w:p w14:paraId="2129CCD6" w14:textId="7176532F"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Australia: Aboriginal and Torres Strait Islander population summary</w:t>
      </w:r>
      <w:r w:rsidRPr="008F3942">
        <w:rPr>
          <w:lang w:val="en-US"/>
        </w:rPr>
        <w:t xml:space="preserve">, 2022, </w:t>
      </w:r>
      <w:hyperlink r:id="rId26" w:anchor="households-and-families" w:history="1">
        <w:r w:rsidR="00466706" w:rsidRPr="005313E9">
          <w:rPr>
            <w:rStyle w:val="af1"/>
            <w:lang w:val="en-US"/>
          </w:rPr>
          <w:t>https://www.abs.gov.au/articles/australia-aboriginal-and-torres-strait-islander-population-summary#households-and-families</w:t>
        </w:r>
      </w:hyperlink>
      <w:r w:rsidRPr="008F3942">
        <w:rPr>
          <w:lang w:val="en-US"/>
        </w:rPr>
        <w:t>.</w:t>
      </w:r>
      <w:r w:rsidR="00466706" w:rsidRPr="00466706">
        <w:rPr>
          <w:lang w:val="en-US"/>
        </w:rPr>
        <w:t xml:space="preserve"> </w:t>
      </w:r>
    </w:p>
  </w:footnote>
  <w:footnote w:id="31">
    <w:p w14:paraId="5BA3FA78" w14:textId="1FDDED33"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Snapshot of Australia, 2021</w:t>
      </w:r>
      <w:r w:rsidRPr="008F3942">
        <w:rPr>
          <w:lang w:val="en-US"/>
        </w:rPr>
        <w:t xml:space="preserve">, 2022, </w:t>
      </w:r>
      <w:hyperlink r:id="rId27" w:anchor="our-families-and-households" w:history="1">
        <w:r w:rsidR="00466706" w:rsidRPr="005313E9">
          <w:rPr>
            <w:rStyle w:val="af1"/>
            <w:lang w:val="en-US"/>
          </w:rPr>
          <w:t>https://www.abs.gov.au/statistics/people/people-and-communities/snapshot-australia/2021#our-families-and-households</w:t>
        </w:r>
      </w:hyperlink>
      <w:r w:rsidRPr="008F3942">
        <w:rPr>
          <w:lang w:val="en-US"/>
        </w:rPr>
        <w:t>.</w:t>
      </w:r>
      <w:r w:rsidR="00466706" w:rsidRPr="00466706">
        <w:rPr>
          <w:lang w:val="en-US"/>
        </w:rPr>
        <w:t xml:space="preserve"> </w:t>
      </w:r>
    </w:p>
  </w:footnote>
  <w:footnote w:id="32">
    <w:p w14:paraId="3CCCA76F" w14:textId="5DB0BA9F"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E22999">
        <w:rPr>
          <w:i/>
          <w:iCs/>
          <w:lang w:val="en-US"/>
        </w:rPr>
        <w:t>Household and families: Census, 2021</w:t>
      </w:r>
      <w:r w:rsidRPr="008F3942">
        <w:rPr>
          <w:lang w:val="en-US"/>
        </w:rPr>
        <w:t xml:space="preserve">, 2022, </w:t>
      </w:r>
      <w:hyperlink r:id="rId28" w:history="1">
        <w:r w:rsidR="00466706" w:rsidRPr="005313E9">
          <w:rPr>
            <w:rStyle w:val="af1"/>
            <w:lang w:val="en-US"/>
          </w:rPr>
          <w:t>https://www.abs.gov.au/statistics/people/people-and-communities/household-and-families-census/2021</w:t>
        </w:r>
      </w:hyperlink>
      <w:r w:rsidRPr="008F3942">
        <w:rPr>
          <w:lang w:val="en-US"/>
        </w:rPr>
        <w:t>.</w:t>
      </w:r>
      <w:r w:rsidR="00466706" w:rsidRPr="00466706">
        <w:rPr>
          <w:lang w:val="en-US"/>
        </w:rPr>
        <w:t xml:space="preserve"> </w:t>
      </w:r>
    </w:p>
  </w:footnote>
  <w:footnote w:id="33">
    <w:p w14:paraId="12401F00" w14:textId="14591F85"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Income and work: Census, 2021, 2022, </w:t>
      </w:r>
      <w:hyperlink r:id="rId29" w:history="1">
        <w:r w:rsidR="00466706" w:rsidRPr="005313E9">
          <w:rPr>
            <w:rStyle w:val="af1"/>
            <w:lang w:val="en-US"/>
          </w:rPr>
          <w:t>https://www.abs.gov.au/statistics/labour/earnings-and-working-conditions/income-and-work-census/2021</w:t>
        </w:r>
      </w:hyperlink>
      <w:r w:rsidRPr="008F3942">
        <w:rPr>
          <w:lang w:val="en-US"/>
        </w:rPr>
        <w:t>.</w:t>
      </w:r>
      <w:r w:rsidR="00466706" w:rsidRPr="00466706">
        <w:rPr>
          <w:lang w:val="en-US"/>
        </w:rPr>
        <w:t xml:space="preserve"> </w:t>
      </w:r>
    </w:p>
  </w:footnote>
  <w:footnote w:id="34">
    <w:p w14:paraId="40F1F607" w14:textId="55CA6FB0"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Household Income and Wealth, Australia, 2019–20</w:t>
      </w:r>
      <w:r w:rsidRPr="008F3942">
        <w:rPr>
          <w:lang w:val="en-US"/>
        </w:rPr>
        <w:t xml:space="preserve">, 2022, </w:t>
      </w:r>
      <w:hyperlink r:id="rId30" w:history="1">
        <w:r w:rsidR="00466706" w:rsidRPr="005313E9">
          <w:rPr>
            <w:rStyle w:val="af1"/>
            <w:lang w:val="en-US"/>
          </w:rPr>
          <w:t>https://www.abs.gov.au/statistics/economy/finance/household-income-and-wealth-australia/2019-20</w:t>
        </w:r>
      </w:hyperlink>
      <w:r w:rsidRPr="008F3942">
        <w:rPr>
          <w:lang w:val="en-US"/>
        </w:rPr>
        <w:t>.</w:t>
      </w:r>
      <w:r w:rsidR="00466706" w:rsidRPr="00466706">
        <w:rPr>
          <w:lang w:val="en-US"/>
        </w:rPr>
        <w:t xml:space="preserve"> </w:t>
      </w:r>
    </w:p>
  </w:footnote>
  <w:footnote w:id="35">
    <w:p w14:paraId="1D7838C5" w14:textId="6C8053FC"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Household Income and Wealth, Australia, 2019–20</w:t>
      </w:r>
      <w:r w:rsidRPr="008F3942">
        <w:rPr>
          <w:lang w:val="en-US"/>
        </w:rPr>
        <w:t xml:space="preserve">, 2022, </w:t>
      </w:r>
      <w:hyperlink r:id="rId31" w:history="1">
        <w:r w:rsidR="00466706" w:rsidRPr="005313E9">
          <w:rPr>
            <w:rStyle w:val="af1"/>
            <w:lang w:val="en-US"/>
          </w:rPr>
          <w:t>https://www.abs.gov.au/statistics/economy/finance/household-income-and-wealth-australia/2019-20</w:t>
        </w:r>
      </w:hyperlink>
      <w:r w:rsidRPr="008F3942">
        <w:rPr>
          <w:lang w:val="en-US"/>
        </w:rPr>
        <w:t>.</w:t>
      </w:r>
      <w:r w:rsidR="00466706" w:rsidRPr="00466706">
        <w:rPr>
          <w:lang w:val="en-US"/>
        </w:rPr>
        <w:t xml:space="preserve"> </w:t>
      </w:r>
    </w:p>
  </w:footnote>
  <w:footnote w:id="36">
    <w:p w14:paraId="2826A952" w14:textId="0046E012" w:rsidR="00841C25" w:rsidRPr="008F3942" w:rsidRDefault="00841C25" w:rsidP="00E0204C">
      <w:pPr>
        <w:pStyle w:val="ad"/>
      </w:pPr>
      <w:r w:rsidRPr="008F3942">
        <w:rPr>
          <w:lang w:val="en-US"/>
        </w:rPr>
        <w:tab/>
      </w:r>
      <w:r w:rsidRPr="00E0204C">
        <w:rPr>
          <w:rStyle w:val="aa"/>
        </w:rPr>
        <w:footnoteRef/>
      </w:r>
      <w:r>
        <w:tab/>
        <w:t xml:space="preserve">Ibid (Коэффициент Джини является показателем отклонения распределения доходов между отдельными лицами или домохозяйствами в стране от абсолютно равного распределения. Значение 0 означает абсолютное равенство, значение 1 </w:t>
      </w:r>
      <w:r w:rsidR="00466706">
        <w:t>—</w:t>
      </w:r>
      <w:r>
        <w:t xml:space="preserve"> абсолютное неравенство).</w:t>
      </w:r>
    </w:p>
  </w:footnote>
  <w:footnote w:id="37">
    <w:p w14:paraId="6E3A7AC4" w14:textId="77777777" w:rsidR="00841C25" w:rsidRPr="008F3942" w:rsidRDefault="00841C25" w:rsidP="00E0204C">
      <w:pPr>
        <w:pStyle w:val="ad"/>
      </w:pPr>
      <w:r w:rsidRPr="00D62FAA">
        <w:tab/>
      </w:r>
      <w:r w:rsidRPr="00E0204C">
        <w:rPr>
          <w:rStyle w:val="aa"/>
        </w:rPr>
        <w:footnoteRef/>
      </w:r>
      <w:r>
        <w:tab/>
        <w:t>Ibid.</w:t>
      </w:r>
    </w:p>
  </w:footnote>
  <w:footnote w:id="38">
    <w:p w14:paraId="54849216" w14:textId="77777777" w:rsidR="00841C25" w:rsidRPr="008F3942" w:rsidRDefault="00841C25" w:rsidP="00E0204C">
      <w:pPr>
        <w:pStyle w:val="ad"/>
      </w:pPr>
      <w:r w:rsidRPr="00D62FAA">
        <w:tab/>
      </w:r>
      <w:r w:rsidRPr="00E0204C">
        <w:rPr>
          <w:rStyle w:val="aa"/>
        </w:rPr>
        <w:footnoteRef/>
      </w:r>
      <w:r>
        <w:tab/>
        <w:t>Ibid.</w:t>
      </w:r>
    </w:p>
  </w:footnote>
  <w:footnote w:id="39">
    <w:p w14:paraId="7CE52A95" w14:textId="77777777" w:rsidR="00841C25" w:rsidRPr="008F3942" w:rsidRDefault="00841C25" w:rsidP="00E0204C">
      <w:pPr>
        <w:pStyle w:val="ad"/>
      </w:pPr>
      <w:r w:rsidRPr="00D62FAA">
        <w:tab/>
      </w:r>
      <w:r w:rsidRPr="00E0204C">
        <w:rPr>
          <w:rStyle w:val="aa"/>
        </w:rPr>
        <w:footnoteRef/>
      </w:r>
      <w:r>
        <w:tab/>
        <w:t>Ibid.</w:t>
      </w:r>
    </w:p>
  </w:footnote>
  <w:footnote w:id="40">
    <w:p w14:paraId="7E9F991A" w14:textId="25B6F499" w:rsidR="00841C25" w:rsidRPr="00466706" w:rsidRDefault="00841C25" w:rsidP="00E0204C">
      <w:pPr>
        <w:pStyle w:val="ad"/>
        <w:rPr>
          <w:lang w:val="en-US"/>
        </w:rPr>
      </w:pPr>
      <w:r w:rsidRPr="00D62FAA">
        <w:tab/>
      </w:r>
      <w:r w:rsidRPr="00E0204C">
        <w:rPr>
          <w:rStyle w:val="aa"/>
        </w:rPr>
        <w:footnoteRef/>
      </w:r>
      <w:r w:rsidRPr="008F3942">
        <w:rPr>
          <w:lang w:val="en-US"/>
        </w:rPr>
        <w:tab/>
        <w:t xml:space="preserve">Australian Bureau of Statistics, </w:t>
      </w:r>
      <w:r w:rsidRPr="000C491C">
        <w:rPr>
          <w:i/>
          <w:iCs/>
          <w:lang w:val="en-US"/>
        </w:rPr>
        <w:t>6530.0 – Household Expenditure Survey, Australia: Summary of Results, 2015–16</w:t>
      </w:r>
      <w:r w:rsidRPr="008F3942">
        <w:rPr>
          <w:lang w:val="en-US"/>
        </w:rPr>
        <w:t xml:space="preserve">, 2017, </w:t>
      </w:r>
      <w:hyperlink r:id="rId32" w:history="1">
        <w:r w:rsidR="00466706" w:rsidRPr="005313E9">
          <w:rPr>
            <w:rStyle w:val="af1"/>
            <w:lang w:val="en-US"/>
          </w:rPr>
          <w:t>www.abs.gov.au/ausstats/abs@.nsf/mf/6530.0</w:t>
        </w:r>
      </w:hyperlink>
      <w:r w:rsidRPr="008F3942">
        <w:rPr>
          <w:lang w:val="en-US"/>
        </w:rPr>
        <w:t>.</w:t>
      </w:r>
      <w:r w:rsidR="00466706" w:rsidRPr="00466706">
        <w:rPr>
          <w:lang w:val="en-US"/>
        </w:rPr>
        <w:t xml:space="preserve"> </w:t>
      </w:r>
    </w:p>
  </w:footnote>
  <w:footnote w:id="41">
    <w:p w14:paraId="4BC167C4" w14:textId="1ECF5AE5"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Measuring What Matters Statement, </w:t>
      </w:r>
      <w:hyperlink r:id="rId33" w:history="1">
        <w:r w:rsidR="00466706" w:rsidRPr="005313E9">
          <w:rPr>
            <w:rStyle w:val="af1"/>
            <w:lang w:val="en-US"/>
          </w:rPr>
          <w:t>https://treasury.gov.au/sites/default/files/2023-07/measuring-what-matters-statement020230721_0.pdf</w:t>
        </w:r>
      </w:hyperlink>
      <w:r w:rsidRPr="008F3942">
        <w:rPr>
          <w:lang w:val="en-US"/>
        </w:rPr>
        <w:t>.</w:t>
      </w:r>
      <w:r w:rsidR="00466706" w:rsidRPr="00466706">
        <w:rPr>
          <w:lang w:val="en-US"/>
        </w:rPr>
        <w:t xml:space="preserve"> </w:t>
      </w:r>
    </w:p>
  </w:footnote>
  <w:footnote w:id="42">
    <w:p w14:paraId="55B6A4A4" w14:textId="402DFC82"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Labour Force, Australia, Feb 2023</w:t>
      </w:r>
      <w:r w:rsidRPr="008F3942">
        <w:rPr>
          <w:lang w:val="en-US"/>
        </w:rPr>
        <w:t xml:space="preserve">, seasonally adjusted data, </w:t>
      </w:r>
      <w:hyperlink r:id="rId34" w:history="1">
        <w:r w:rsidR="00466706" w:rsidRPr="005313E9">
          <w:rPr>
            <w:rStyle w:val="af1"/>
            <w:lang w:val="en-US"/>
          </w:rPr>
          <w:t>https://www.abs.gov.au/statistics/labour/employment-and-unemployment/labour-force-australia/latest-release</w:t>
        </w:r>
      </w:hyperlink>
      <w:r w:rsidRPr="008F3942">
        <w:rPr>
          <w:lang w:val="en-US"/>
        </w:rPr>
        <w:t>.</w:t>
      </w:r>
      <w:r w:rsidR="00466706" w:rsidRPr="00466706">
        <w:rPr>
          <w:lang w:val="en-US"/>
        </w:rPr>
        <w:t xml:space="preserve"> </w:t>
      </w:r>
    </w:p>
  </w:footnote>
  <w:footnote w:id="43">
    <w:p w14:paraId="5AD70AA2"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44">
    <w:p w14:paraId="06BFC7A4" w14:textId="31A21D11"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Labour Force, Australia, Detailed, Quarterly, June 2023</w:t>
      </w:r>
      <w:r w:rsidRPr="008F3942">
        <w:rPr>
          <w:lang w:val="en-US"/>
        </w:rPr>
        <w:t xml:space="preserve">, seasonally adjusted data, </w:t>
      </w:r>
      <w:hyperlink r:id="rId35" w:history="1">
        <w:r w:rsidR="00466706" w:rsidRPr="005313E9">
          <w:rPr>
            <w:rStyle w:val="af1"/>
            <w:lang w:val="en-US"/>
          </w:rPr>
          <w:t>https://www.abs.gov.au/statistics/labour/employment-and-unemployment/labour-force-australia-detailed/latest-release</w:t>
        </w:r>
      </w:hyperlink>
      <w:r w:rsidRPr="008F3942">
        <w:rPr>
          <w:lang w:val="en-US"/>
        </w:rPr>
        <w:t>.</w:t>
      </w:r>
      <w:r w:rsidR="00466706" w:rsidRPr="00466706">
        <w:rPr>
          <w:lang w:val="en-US"/>
        </w:rPr>
        <w:t xml:space="preserve"> </w:t>
      </w:r>
    </w:p>
  </w:footnote>
  <w:footnote w:id="45">
    <w:p w14:paraId="065A8971" w14:textId="686F6D91"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Productivity Commission, </w:t>
      </w:r>
      <w:r w:rsidRPr="000C491C">
        <w:rPr>
          <w:i/>
          <w:iCs/>
          <w:lang w:val="en-US"/>
        </w:rPr>
        <w:t>Closing the Gap: Annual Data Compilation Report July 2023</w:t>
      </w:r>
      <w:r w:rsidRPr="008F3942">
        <w:rPr>
          <w:lang w:val="en-US"/>
        </w:rPr>
        <w:t xml:space="preserve">, </w:t>
      </w:r>
      <w:hyperlink r:id="rId36" w:history="1">
        <w:r w:rsidR="00466706" w:rsidRPr="005313E9">
          <w:rPr>
            <w:rStyle w:val="af1"/>
            <w:lang w:val="en-US"/>
          </w:rPr>
          <w:t>https://www.pc.gov.au/closing-the-gap-data/annual-data-report/report</w:t>
        </w:r>
      </w:hyperlink>
      <w:r w:rsidRPr="008F3942">
        <w:rPr>
          <w:lang w:val="en-US"/>
        </w:rPr>
        <w:t>.</w:t>
      </w:r>
      <w:r w:rsidR="00466706" w:rsidRPr="00466706">
        <w:rPr>
          <w:lang w:val="en-US"/>
        </w:rPr>
        <w:t xml:space="preserve"> </w:t>
      </w:r>
    </w:p>
  </w:footnote>
  <w:footnote w:id="46">
    <w:p w14:paraId="5A5763A1" w14:textId="79C2929F"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Labour Force, Australia, Detailed, Quarterly, May 2023</w:t>
      </w:r>
      <w:r w:rsidRPr="008F3942">
        <w:rPr>
          <w:lang w:val="en-US"/>
        </w:rPr>
        <w:t xml:space="preserve">, seasonally adjusted data, </w:t>
      </w:r>
      <w:hyperlink r:id="rId37" w:history="1">
        <w:r w:rsidR="00466706" w:rsidRPr="005313E9">
          <w:rPr>
            <w:rStyle w:val="af1"/>
            <w:lang w:val="en-US"/>
          </w:rPr>
          <w:t>https://www.abs.gov.au/statistics/labour/employment-and-unemployment/labour-force-australia-detailed/latest-release</w:t>
        </w:r>
      </w:hyperlink>
      <w:r w:rsidRPr="008F3942">
        <w:rPr>
          <w:lang w:val="en-US"/>
        </w:rPr>
        <w:t>.</w:t>
      </w:r>
      <w:r w:rsidR="00466706" w:rsidRPr="00466706">
        <w:rPr>
          <w:lang w:val="en-US"/>
        </w:rPr>
        <w:t xml:space="preserve"> </w:t>
      </w:r>
    </w:p>
  </w:footnote>
  <w:footnote w:id="47">
    <w:p w14:paraId="6595FE70" w14:textId="2EC13B58"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6333.0 – Characteristics of Employment, Australia, Aug 2022</w:t>
      </w:r>
      <w:r w:rsidRPr="008F3942">
        <w:rPr>
          <w:lang w:val="en-US"/>
        </w:rPr>
        <w:t xml:space="preserve">, 2022, </w:t>
      </w:r>
      <w:hyperlink r:id="rId38" w:history="1">
        <w:r w:rsidR="00466706" w:rsidRPr="005313E9">
          <w:rPr>
            <w:rStyle w:val="af1"/>
            <w:lang w:val="en-US"/>
          </w:rPr>
          <w:t>www.abs.gov.au/ausstats/abs@.nsf/mf/6333.0</w:t>
        </w:r>
      </w:hyperlink>
      <w:r w:rsidRPr="008F3942">
        <w:rPr>
          <w:lang w:val="en-US"/>
        </w:rPr>
        <w:t>.</w:t>
      </w:r>
      <w:r w:rsidR="00466706" w:rsidRPr="00466706">
        <w:rPr>
          <w:lang w:val="en-US"/>
        </w:rPr>
        <w:t xml:space="preserve"> </w:t>
      </w:r>
    </w:p>
  </w:footnote>
  <w:footnote w:id="48">
    <w:p w14:paraId="464EFE8E" w14:textId="47617833"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Curriculum and Assessment Reporting Authority, National report on schooling in Australia, 2021, </w:t>
      </w:r>
      <w:hyperlink r:id="rId39" w:history="1">
        <w:r w:rsidR="00466706" w:rsidRPr="005313E9">
          <w:rPr>
            <w:rStyle w:val="af1"/>
            <w:lang w:val="en-US"/>
          </w:rPr>
          <w:t>https://acaraweb.blob.core.windows.net/acaraweb/docs/default-source/assessment-and-reporting-publications/national-report-on-schooling-in-australia-2021.pdf?sfvrsn=f9184c07_0</w:t>
        </w:r>
      </w:hyperlink>
      <w:r w:rsidRPr="008F3942">
        <w:rPr>
          <w:lang w:val="en-US"/>
        </w:rPr>
        <w:t>.</w:t>
      </w:r>
      <w:r w:rsidR="00466706" w:rsidRPr="00466706">
        <w:rPr>
          <w:lang w:val="en-US"/>
        </w:rPr>
        <w:t xml:space="preserve"> </w:t>
      </w:r>
    </w:p>
  </w:footnote>
  <w:footnote w:id="49">
    <w:p w14:paraId="5F886EB1"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50">
    <w:p w14:paraId="100B65BA" w14:textId="7B2A5A01" w:rsidR="00841C25" w:rsidRPr="00466706"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Schools, 2022</w:t>
      </w:r>
      <w:r w:rsidRPr="008F3942">
        <w:rPr>
          <w:lang w:val="en-US"/>
        </w:rPr>
        <w:t xml:space="preserve">, 2023, </w:t>
      </w:r>
      <w:hyperlink r:id="rId40" w:history="1">
        <w:r w:rsidR="00466706" w:rsidRPr="005313E9">
          <w:rPr>
            <w:rStyle w:val="af1"/>
            <w:lang w:val="en-US"/>
          </w:rPr>
          <w:t>https://www.abs.gov.au/statistics/people/education/schools/latest-release</w:t>
        </w:r>
      </w:hyperlink>
      <w:r w:rsidRPr="008F3942">
        <w:rPr>
          <w:lang w:val="en-US"/>
        </w:rPr>
        <w:t>.</w:t>
      </w:r>
      <w:r w:rsidR="00466706" w:rsidRPr="00466706">
        <w:rPr>
          <w:lang w:val="en-US"/>
        </w:rPr>
        <w:t xml:space="preserve"> </w:t>
      </w:r>
    </w:p>
  </w:footnote>
  <w:footnote w:id="51">
    <w:p w14:paraId="204A59DA"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52">
    <w:p w14:paraId="5F65CC65"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53">
    <w:p w14:paraId="5F5F347A"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54">
    <w:p w14:paraId="626D1AD6"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55">
    <w:p w14:paraId="0EAB80E0" w14:textId="118BA3A0"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Council for Education Research Ltd, Reporting Australia's results PIRLS 2016, 2017, Victoria, </w:t>
      </w:r>
      <w:hyperlink r:id="rId41" w:history="1">
        <w:r w:rsidR="0097373E" w:rsidRPr="005313E9">
          <w:rPr>
            <w:rStyle w:val="af1"/>
            <w:lang w:val="en-US"/>
          </w:rPr>
          <w:t>https://research.acer.edu.au/pirls/1/</w:t>
        </w:r>
      </w:hyperlink>
      <w:r w:rsidRPr="008F3942">
        <w:rPr>
          <w:lang w:val="en-US"/>
        </w:rPr>
        <w:t>.</w:t>
      </w:r>
      <w:r w:rsidR="0097373E" w:rsidRPr="0097373E">
        <w:rPr>
          <w:lang w:val="en-US"/>
        </w:rPr>
        <w:t xml:space="preserve"> </w:t>
      </w:r>
    </w:p>
  </w:footnote>
  <w:footnote w:id="56">
    <w:p w14:paraId="647BD1E3" w14:textId="6348AEA8"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National Indigenous Australians Agency, </w:t>
      </w:r>
      <w:r w:rsidRPr="000C491C">
        <w:rPr>
          <w:i/>
          <w:iCs/>
          <w:lang w:val="en-US"/>
        </w:rPr>
        <w:t>Commonwealth Closing the Gap Annual Report 2022</w:t>
      </w:r>
      <w:r w:rsidRPr="008F3942">
        <w:rPr>
          <w:lang w:val="en-US"/>
        </w:rPr>
        <w:t xml:space="preserve">, </w:t>
      </w:r>
      <w:hyperlink r:id="rId42" w:history="1">
        <w:r w:rsidR="0097373E" w:rsidRPr="005313E9">
          <w:rPr>
            <w:rStyle w:val="af1"/>
            <w:lang w:val="en-US"/>
          </w:rPr>
          <w:t>https://www.niaa.gov.au/sites/default/files/publications/niaa-closing-the-gap-annual-report-2022.pdf</w:t>
        </w:r>
      </w:hyperlink>
      <w:r w:rsidRPr="008F3942">
        <w:rPr>
          <w:lang w:val="en-US"/>
        </w:rPr>
        <w:t>.</w:t>
      </w:r>
      <w:r w:rsidR="0097373E" w:rsidRPr="0097373E">
        <w:rPr>
          <w:lang w:val="en-US"/>
        </w:rPr>
        <w:t xml:space="preserve"> </w:t>
      </w:r>
    </w:p>
  </w:footnote>
  <w:footnote w:id="57">
    <w:p w14:paraId="7D2FDA5C"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Higher Education Student Collection. Department of Education Higher Education Statistics – Department of Education, Australian Government Student Data – Department of Education, Australian Government. </w:t>
      </w:r>
    </w:p>
  </w:footnote>
  <w:footnote w:id="58">
    <w:p w14:paraId="2FD90704" w14:textId="771E8D05"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Productivity Commission, </w:t>
      </w:r>
      <w:r w:rsidRPr="000C491C">
        <w:rPr>
          <w:i/>
          <w:iCs/>
          <w:lang w:val="en-US"/>
        </w:rPr>
        <w:t>Closing the Gap: Annual Data Compilation Report</w:t>
      </w:r>
      <w:r w:rsidR="000C491C" w:rsidRPr="000C491C">
        <w:rPr>
          <w:lang w:val="en-US"/>
        </w:rPr>
        <w:t>,</w:t>
      </w:r>
      <w:r w:rsidRPr="008F3942">
        <w:rPr>
          <w:lang w:val="en-US"/>
        </w:rPr>
        <w:t xml:space="preserve"> July 2023, </w:t>
      </w:r>
      <w:hyperlink r:id="rId43" w:history="1">
        <w:r w:rsidR="0097373E" w:rsidRPr="005313E9">
          <w:rPr>
            <w:rStyle w:val="af1"/>
            <w:lang w:val="en-US"/>
          </w:rPr>
          <w:t>https://www.pc.gov.au/closing-the-gap-data/annual-data-report/report</w:t>
        </w:r>
      </w:hyperlink>
      <w:r w:rsidRPr="008F3942">
        <w:rPr>
          <w:lang w:val="en-US"/>
        </w:rPr>
        <w:t>.</w:t>
      </w:r>
      <w:r w:rsidR="0097373E" w:rsidRPr="0097373E">
        <w:rPr>
          <w:lang w:val="en-US"/>
        </w:rPr>
        <w:t xml:space="preserve"> </w:t>
      </w:r>
    </w:p>
  </w:footnote>
  <w:footnote w:id="59">
    <w:p w14:paraId="33EEE737" w14:textId="04660EF9" w:rsidR="00841C25" w:rsidRPr="0097373E" w:rsidRDefault="00841C25" w:rsidP="00E0204C">
      <w:pPr>
        <w:pStyle w:val="ad"/>
        <w:rPr>
          <w:lang w:val="en-US"/>
        </w:rPr>
      </w:pPr>
      <w:r w:rsidRPr="008F3942">
        <w:rPr>
          <w:lang w:val="en-US"/>
        </w:rPr>
        <w:tab/>
      </w:r>
      <w:r w:rsidRPr="00E0204C">
        <w:rPr>
          <w:rStyle w:val="aa"/>
        </w:rPr>
        <w:footnoteRef/>
      </w:r>
      <w:bookmarkStart w:id="13" w:name="_Hlk142304856"/>
      <w:r w:rsidRPr="008F3942">
        <w:rPr>
          <w:lang w:val="en-US"/>
        </w:rPr>
        <w:tab/>
        <w:t xml:space="preserve">Productivity Commission, </w:t>
      </w:r>
      <w:r w:rsidRPr="000C491C">
        <w:rPr>
          <w:i/>
          <w:iCs/>
          <w:lang w:val="en-US"/>
        </w:rPr>
        <w:t>Closing the Gap: Annual Data Compilation Report</w:t>
      </w:r>
      <w:r w:rsidRPr="008F3942">
        <w:rPr>
          <w:lang w:val="en-US"/>
        </w:rPr>
        <w:t xml:space="preserve">, July 2023, </w:t>
      </w:r>
      <w:hyperlink r:id="rId44" w:history="1">
        <w:r w:rsidR="0097373E" w:rsidRPr="005313E9">
          <w:rPr>
            <w:rStyle w:val="af1"/>
            <w:lang w:val="en-US"/>
          </w:rPr>
          <w:t>https://www.pc.gov.au/closing-the-gap-data/annual-data-report/report</w:t>
        </w:r>
      </w:hyperlink>
      <w:r w:rsidRPr="008F3942">
        <w:rPr>
          <w:lang w:val="en-US"/>
        </w:rPr>
        <w:t>.</w:t>
      </w:r>
      <w:bookmarkEnd w:id="13"/>
      <w:r w:rsidR="0097373E" w:rsidRPr="0097373E">
        <w:rPr>
          <w:lang w:val="en-US"/>
        </w:rPr>
        <w:t xml:space="preserve"> </w:t>
      </w:r>
    </w:p>
  </w:footnote>
  <w:footnote w:id="60">
    <w:p w14:paraId="6F28FCBF" w14:textId="3E3FCDFB"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Australian Burden of Disease Study 2022</w:t>
      </w:r>
      <w:r w:rsidRPr="008F3942">
        <w:rPr>
          <w:lang w:val="en-US"/>
        </w:rPr>
        <w:t xml:space="preserve">, </w:t>
      </w:r>
      <w:hyperlink r:id="rId45" w:history="1">
        <w:r w:rsidR="0097373E" w:rsidRPr="005313E9">
          <w:rPr>
            <w:rStyle w:val="af1"/>
            <w:lang w:val="en-US"/>
          </w:rPr>
          <w:t>https://www.aihw.gov.au/getmedia/d9ae4bfa-df27-4e3c-9846-ba452bef6ac5/aihw-bod-37.pdf.aspx?inline=true</w:t>
        </w:r>
      </w:hyperlink>
      <w:r w:rsidRPr="008F3942">
        <w:rPr>
          <w:lang w:val="en-US"/>
        </w:rPr>
        <w:t>.</w:t>
      </w:r>
      <w:r w:rsidR="0097373E" w:rsidRPr="0097373E">
        <w:rPr>
          <w:lang w:val="en-US"/>
        </w:rPr>
        <w:t xml:space="preserve"> </w:t>
      </w:r>
    </w:p>
  </w:footnote>
  <w:footnote w:id="61">
    <w:p w14:paraId="12752E70" w14:textId="1AB8E428"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Australian Burden of Disease Study 2018: Interactive data on risk factor burden</w:t>
      </w:r>
      <w:r w:rsidRPr="008F3942">
        <w:rPr>
          <w:lang w:val="en-US"/>
        </w:rPr>
        <w:t xml:space="preserve">, 2021, </w:t>
      </w:r>
      <w:hyperlink r:id="rId46" w:history="1">
        <w:r w:rsidR="0097373E" w:rsidRPr="005313E9">
          <w:rPr>
            <w:rStyle w:val="af1"/>
            <w:lang w:val="en-US"/>
          </w:rPr>
          <w:t>https://www.aihw.gov.au/reports/burden-of-disease/abds-2018-interactive-data-risk-factors/contents/summary</w:t>
        </w:r>
      </w:hyperlink>
      <w:r w:rsidRPr="008F3942">
        <w:rPr>
          <w:lang w:val="en-US"/>
        </w:rPr>
        <w:t>.</w:t>
      </w:r>
      <w:r w:rsidR="0097373E" w:rsidRPr="0097373E">
        <w:rPr>
          <w:lang w:val="en-US"/>
        </w:rPr>
        <w:t xml:space="preserve"> </w:t>
      </w:r>
    </w:p>
  </w:footnote>
  <w:footnote w:id="62">
    <w:p w14:paraId="34834CB0" w14:textId="36B2EED2"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Australian Burden of Disease Study 2022, </w:t>
      </w:r>
      <w:hyperlink r:id="rId47" w:history="1">
        <w:r w:rsidR="0097373E" w:rsidRPr="005313E9">
          <w:rPr>
            <w:rStyle w:val="af1"/>
            <w:lang w:val="en-US"/>
          </w:rPr>
          <w:t>https://www.aihw.gov.au/reports/burden-of-disease/australian-burden-of-disease-study-2022/contents/summary</w:t>
        </w:r>
      </w:hyperlink>
      <w:r w:rsidRPr="008F3942">
        <w:rPr>
          <w:lang w:val="en-US"/>
        </w:rPr>
        <w:t>.</w:t>
      </w:r>
      <w:r w:rsidR="0097373E" w:rsidRPr="0097373E">
        <w:rPr>
          <w:lang w:val="en-US"/>
        </w:rPr>
        <w:t xml:space="preserve"> </w:t>
      </w:r>
    </w:p>
  </w:footnote>
  <w:footnote w:id="63">
    <w:p w14:paraId="2C21D926" w14:textId="7D5590F3"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Infectious and communicable diseases, 2022</w:t>
      </w:r>
      <w:r w:rsidRPr="008F3942">
        <w:rPr>
          <w:lang w:val="en-US"/>
        </w:rPr>
        <w:t xml:space="preserve">, </w:t>
      </w:r>
      <w:hyperlink r:id="rId48" w:history="1">
        <w:r w:rsidR="0097373E" w:rsidRPr="005313E9">
          <w:rPr>
            <w:rStyle w:val="af1"/>
            <w:lang w:val="en-US"/>
          </w:rPr>
          <w:t>https://www.aihw.gov.au/reports/australias-health/infectious-and-communicable-diseases</w:t>
        </w:r>
      </w:hyperlink>
      <w:r w:rsidRPr="008F3942">
        <w:rPr>
          <w:lang w:val="en-US"/>
        </w:rPr>
        <w:t>.</w:t>
      </w:r>
      <w:r w:rsidR="0097373E" w:rsidRPr="0097373E">
        <w:rPr>
          <w:lang w:val="en-US"/>
        </w:rPr>
        <w:t xml:space="preserve"> </w:t>
      </w:r>
    </w:p>
  </w:footnote>
  <w:footnote w:id="64">
    <w:p w14:paraId="29945F26" w14:textId="1DD45A3B"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The Kirby Institute, HIV, viral hepatitis and sexually transmissible infections in Australia: Annual surveillance report 2022.</w:t>
      </w:r>
      <w:r w:rsidR="0097373E" w:rsidRPr="0097373E">
        <w:rPr>
          <w:lang w:val="en-US"/>
        </w:rPr>
        <w:t xml:space="preserve"> </w:t>
      </w:r>
    </w:p>
  </w:footnote>
  <w:footnote w:id="65">
    <w:p w14:paraId="3C12EE33" w14:textId="1B3DCA35"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Australia’s mothers and babies</w:t>
      </w:r>
      <w:r w:rsidRPr="008F3942">
        <w:rPr>
          <w:lang w:val="en-US"/>
        </w:rPr>
        <w:t>,</w:t>
      </w:r>
      <w:r w:rsidR="000C491C" w:rsidRPr="000C491C">
        <w:rPr>
          <w:lang w:val="en-US"/>
        </w:rPr>
        <w:t xml:space="preserve"> </w:t>
      </w:r>
      <w:r w:rsidRPr="008F3942">
        <w:rPr>
          <w:lang w:val="en-US"/>
        </w:rPr>
        <w:t xml:space="preserve">2023, </w:t>
      </w:r>
      <w:hyperlink r:id="rId49" w:history="1">
        <w:r w:rsidR="0097373E" w:rsidRPr="005313E9">
          <w:rPr>
            <w:rStyle w:val="af1"/>
            <w:lang w:val="en-US"/>
          </w:rPr>
          <w:t>https://www.aihw.gov.au/reports/mothers-babies/australias-mothers-babies/contents/baby-outcomes/birthweight</w:t>
        </w:r>
      </w:hyperlink>
      <w:r w:rsidRPr="008F3942">
        <w:rPr>
          <w:lang w:val="en-US"/>
        </w:rPr>
        <w:t>.</w:t>
      </w:r>
      <w:r w:rsidR="0097373E" w:rsidRPr="0097373E">
        <w:rPr>
          <w:lang w:val="en-US"/>
        </w:rPr>
        <w:t xml:space="preserve"> </w:t>
      </w:r>
    </w:p>
  </w:footnote>
  <w:footnote w:id="66">
    <w:p w14:paraId="3D48F99D" w14:textId="58DAC79B"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Productivity Commission, </w:t>
      </w:r>
      <w:r w:rsidRPr="000C491C">
        <w:rPr>
          <w:i/>
          <w:iCs/>
          <w:lang w:val="en-US"/>
        </w:rPr>
        <w:t>Closing the Gap: Annual Data Compilation Report</w:t>
      </w:r>
      <w:r w:rsidRPr="008F3942">
        <w:rPr>
          <w:lang w:val="en-US"/>
        </w:rPr>
        <w:t xml:space="preserve">, July 2023, </w:t>
      </w:r>
      <w:hyperlink r:id="rId50" w:history="1">
        <w:r w:rsidR="0097373E" w:rsidRPr="005313E9">
          <w:rPr>
            <w:rStyle w:val="af1"/>
            <w:lang w:val="en-US"/>
          </w:rPr>
          <w:t>https://www.pc.gov.au/closing-the-gap-data/annual-data-report/report</w:t>
        </w:r>
      </w:hyperlink>
      <w:r w:rsidRPr="008F3942">
        <w:rPr>
          <w:lang w:val="en-US"/>
        </w:rPr>
        <w:t>.</w:t>
      </w:r>
      <w:r w:rsidR="0097373E" w:rsidRPr="0097373E">
        <w:rPr>
          <w:lang w:val="en-US"/>
        </w:rPr>
        <w:t xml:space="preserve"> </w:t>
      </w:r>
    </w:p>
  </w:footnote>
  <w:footnote w:id="67">
    <w:p w14:paraId="339CC2C5" w14:textId="7621F172"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Dietary Behaviour, 2022, </w:t>
      </w:r>
      <w:hyperlink r:id="rId51" w:history="1">
        <w:r w:rsidR="0097373E" w:rsidRPr="005313E9">
          <w:rPr>
            <w:rStyle w:val="af1"/>
            <w:lang w:val="en-US"/>
          </w:rPr>
          <w:t>https://www.abs.gov.au/statistics/health/health-conditions-and-risks/dietary-behaviour/latest-release</w:t>
        </w:r>
      </w:hyperlink>
      <w:r w:rsidRPr="008F3942">
        <w:rPr>
          <w:lang w:val="en-US"/>
        </w:rPr>
        <w:t>.</w:t>
      </w:r>
      <w:r w:rsidR="0097373E" w:rsidRPr="0097373E">
        <w:rPr>
          <w:lang w:val="en-US"/>
        </w:rPr>
        <w:t xml:space="preserve"> </w:t>
      </w:r>
    </w:p>
  </w:footnote>
  <w:footnote w:id="68">
    <w:p w14:paraId="1FE8C507" w14:textId="3B089B8E"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National Health Survey: First results, 2017–18</w:t>
      </w:r>
      <w:r w:rsidRPr="008F3942">
        <w:rPr>
          <w:lang w:val="en-US"/>
        </w:rPr>
        <w:t xml:space="preserve">, 2018, </w:t>
      </w:r>
      <w:hyperlink r:id="rId52" w:history="1">
        <w:r w:rsidR="0097373E" w:rsidRPr="005313E9">
          <w:rPr>
            <w:rStyle w:val="af1"/>
            <w:lang w:val="en-US"/>
          </w:rPr>
          <w:t>www.abs.gov.au/ausstats/abs@.nsf/mf/4364.0.55.001</w:t>
        </w:r>
      </w:hyperlink>
      <w:r w:rsidRPr="008F3942">
        <w:rPr>
          <w:lang w:val="en-US"/>
        </w:rPr>
        <w:t>.</w:t>
      </w:r>
      <w:r w:rsidR="0097373E" w:rsidRPr="0097373E">
        <w:rPr>
          <w:lang w:val="en-US"/>
        </w:rPr>
        <w:t xml:space="preserve"> </w:t>
      </w:r>
    </w:p>
  </w:footnote>
  <w:footnote w:id="69">
    <w:p w14:paraId="3FDB5FA1" w14:textId="77777777" w:rsidR="00841C25" w:rsidRPr="00841C25" w:rsidRDefault="00841C25" w:rsidP="00E0204C">
      <w:pPr>
        <w:pStyle w:val="ad"/>
        <w:rPr>
          <w:lang w:val="en-US"/>
        </w:rPr>
      </w:pPr>
      <w:r w:rsidRPr="008F3942">
        <w:rPr>
          <w:lang w:val="en-US"/>
        </w:rPr>
        <w:tab/>
      </w:r>
      <w:r w:rsidRPr="00E0204C">
        <w:rPr>
          <w:rStyle w:val="aa"/>
        </w:rPr>
        <w:footnoteRef/>
      </w:r>
      <w:bookmarkStart w:id="14" w:name="OLE_LINK7"/>
      <w:r w:rsidRPr="008F3942">
        <w:rPr>
          <w:lang w:val="en-US"/>
        </w:rPr>
        <w:tab/>
        <w:t xml:space="preserve">Freilich K, Holton S et al. (2017) </w:t>
      </w:r>
      <w:r w:rsidRPr="000C491C">
        <w:rPr>
          <w:i/>
          <w:iCs/>
          <w:lang w:val="en-US"/>
        </w:rPr>
        <w:t>Sociodemographic characteristics associated with the use of effective and less effective contraceptive methods: findings from the Understanding Fertility Management in Contemporary Australia survey</w:t>
      </w:r>
      <w:r w:rsidRPr="008F3942">
        <w:rPr>
          <w:lang w:val="en-US"/>
        </w:rPr>
        <w:t xml:space="preserve">. European Journal of Contraception and Reproductive Health Care 22(3):212–221. </w:t>
      </w:r>
      <w:bookmarkEnd w:id="14"/>
    </w:p>
  </w:footnote>
  <w:footnote w:id="70">
    <w:p w14:paraId="5DF08545"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Loxton, D., et al., Reproductive health: Contraception, conception, and change of life – Findings from the Australian Longitudinal Study on Women’s Health. 2021. 2021. </w:t>
      </w:r>
    </w:p>
  </w:footnote>
  <w:footnote w:id="71">
    <w:p w14:paraId="6F35837A"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r>
      <w:r w:rsidRPr="008F3942">
        <w:rPr>
          <w:lang w:val="en-US"/>
        </w:rPr>
        <w:tab/>
        <w:t>Wright, S. M., Bateson, D., &amp; McGeechan, K. (2021). Induced abortion in Australia: 2000–2020. Family Planning NSW: Ashfield, Australia</w:t>
      </w:r>
      <w:proofErr w:type="gramStart"/>
      <w:r w:rsidRPr="008F3942">
        <w:rPr>
          <w:lang w:val="en-US"/>
        </w:rPr>
        <w:t xml:space="preserve">.  </w:t>
      </w:r>
      <w:proofErr w:type="gramEnd"/>
    </w:p>
  </w:footnote>
  <w:footnote w:id="72">
    <w:p w14:paraId="7301D03C" w14:textId="36D7DB81"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Australia’s mothers and babies</w:t>
      </w:r>
      <w:r w:rsidRPr="008F3942">
        <w:rPr>
          <w:lang w:val="en-US"/>
        </w:rPr>
        <w:t xml:space="preserve">, 2023, </w:t>
      </w:r>
      <w:hyperlink r:id="rId53" w:history="1">
        <w:r w:rsidR="0097373E" w:rsidRPr="005313E9">
          <w:rPr>
            <w:rStyle w:val="af1"/>
            <w:lang w:val="en-US"/>
          </w:rPr>
          <w:t>https://www.aihw.gov.au/reports/mothers-babies/australias-mothers-babies-data-visualisations/contents/summary</w:t>
        </w:r>
      </w:hyperlink>
      <w:r w:rsidRPr="008F3942">
        <w:rPr>
          <w:lang w:val="en-US"/>
        </w:rPr>
        <w:t>.</w:t>
      </w:r>
      <w:r w:rsidR="0097373E" w:rsidRPr="0097373E">
        <w:rPr>
          <w:lang w:val="en-US"/>
        </w:rPr>
        <w:t xml:space="preserve"> </w:t>
      </w:r>
    </w:p>
  </w:footnote>
  <w:footnote w:id="73">
    <w:p w14:paraId="279E83D0" w14:textId="057B8940"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Maternal deaths</w:t>
      </w:r>
      <w:r w:rsidRPr="008F3942">
        <w:rPr>
          <w:lang w:val="en-US"/>
        </w:rPr>
        <w:t xml:space="preserve">, 2020, </w:t>
      </w:r>
      <w:hyperlink r:id="rId54" w:history="1">
        <w:r w:rsidR="0097373E" w:rsidRPr="005313E9">
          <w:rPr>
            <w:rStyle w:val="af1"/>
            <w:lang w:val="en-US"/>
          </w:rPr>
          <w:t>https://www.aihw.gov.au/reports/mothers-babies/maternal-deaths-australia</w:t>
        </w:r>
      </w:hyperlink>
      <w:r w:rsidRPr="008F3942">
        <w:rPr>
          <w:lang w:val="en-US"/>
        </w:rPr>
        <w:t>.</w:t>
      </w:r>
      <w:r w:rsidR="0097373E" w:rsidRPr="0097373E">
        <w:rPr>
          <w:lang w:val="en-US"/>
        </w:rPr>
        <w:t xml:space="preserve"> </w:t>
      </w:r>
    </w:p>
  </w:footnote>
  <w:footnote w:id="74">
    <w:p w14:paraId="07337957" w14:textId="19FCB9F8"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0C491C">
        <w:rPr>
          <w:i/>
          <w:iCs/>
          <w:lang w:val="en-US"/>
        </w:rPr>
        <w:t>Causes of Death, Australia</w:t>
      </w:r>
      <w:r w:rsidRPr="008F3942">
        <w:rPr>
          <w:lang w:val="en-US"/>
        </w:rPr>
        <w:t xml:space="preserve">, 2021, 2022, </w:t>
      </w:r>
      <w:hyperlink r:id="rId55" w:history="1">
        <w:r w:rsidR="0097373E" w:rsidRPr="005313E9">
          <w:rPr>
            <w:rStyle w:val="af1"/>
            <w:lang w:val="en-US"/>
          </w:rPr>
          <w:t>https://www.abs.gov.au/statistics/health/causes-death/causes-death-australia/latest-release</w:t>
        </w:r>
      </w:hyperlink>
      <w:r w:rsidRPr="008F3942">
        <w:rPr>
          <w:lang w:val="en-US"/>
        </w:rPr>
        <w:t>.</w:t>
      </w:r>
      <w:r w:rsidR="0097373E" w:rsidRPr="0097373E">
        <w:rPr>
          <w:lang w:val="en-US"/>
        </w:rPr>
        <w:t xml:space="preserve"> </w:t>
      </w:r>
    </w:p>
  </w:footnote>
  <w:footnote w:id="75">
    <w:p w14:paraId="5CC2A99D"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76">
    <w:p w14:paraId="32F1CFEA" w14:textId="747A2506"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0C491C">
        <w:rPr>
          <w:i/>
          <w:iCs/>
          <w:lang w:val="en-US"/>
        </w:rPr>
        <w:t>Australian Burden of Disease Study 2022</w:t>
      </w:r>
      <w:r w:rsidRPr="008F3942">
        <w:rPr>
          <w:lang w:val="en-US"/>
        </w:rPr>
        <w:t xml:space="preserve">, </w:t>
      </w:r>
      <w:hyperlink r:id="rId56" w:history="1">
        <w:r w:rsidR="0097373E" w:rsidRPr="005313E9">
          <w:rPr>
            <w:rStyle w:val="af1"/>
            <w:lang w:val="en-US"/>
          </w:rPr>
          <w:t>https://www.aihw.gov.au/reports/burden-of-disease/australian-burden-of-disease-study-2022/contents/summary</w:t>
        </w:r>
      </w:hyperlink>
      <w:r w:rsidRPr="008F3942">
        <w:rPr>
          <w:lang w:val="en-US"/>
        </w:rPr>
        <w:t>.</w:t>
      </w:r>
      <w:r w:rsidR="0097373E" w:rsidRPr="0097373E">
        <w:rPr>
          <w:lang w:val="en-US"/>
        </w:rPr>
        <w:t xml:space="preserve"> </w:t>
      </w:r>
    </w:p>
  </w:footnote>
  <w:footnote w:id="77">
    <w:p w14:paraId="01C222B9" w14:textId="1F13DB94"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D51E97">
        <w:rPr>
          <w:i/>
          <w:iCs/>
          <w:lang w:val="en-US"/>
        </w:rPr>
        <w:t>National Study of Mental Health and Wellbeing 2020–21</w:t>
      </w:r>
      <w:r w:rsidRPr="008F3942">
        <w:rPr>
          <w:lang w:val="en-US"/>
        </w:rPr>
        <w:t xml:space="preserve">, 2022, </w:t>
      </w:r>
      <w:hyperlink r:id="rId57" w:history="1">
        <w:r w:rsidR="0097373E" w:rsidRPr="005313E9">
          <w:rPr>
            <w:rStyle w:val="af1"/>
            <w:lang w:val="en-US"/>
          </w:rPr>
          <w:t>https://www.abs.gov.au/statistics/health/mental-health/national-study-mental-health-and-wellbeing/latest-release</w:t>
        </w:r>
      </w:hyperlink>
      <w:r w:rsidRPr="008F3942">
        <w:rPr>
          <w:lang w:val="en-US"/>
        </w:rPr>
        <w:t>.</w:t>
      </w:r>
      <w:r w:rsidR="0097373E" w:rsidRPr="0097373E">
        <w:rPr>
          <w:lang w:val="en-US"/>
        </w:rPr>
        <w:t xml:space="preserve"> </w:t>
      </w:r>
    </w:p>
  </w:footnote>
  <w:footnote w:id="78">
    <w:p w14:paraId="0FBAB71A" w14:textId="09A23D8B" w:rsidR="00841C25" w:rsidRPr="008F3942" w:rsidRDefault="00841C25" w:rsidP="00E0204C">
      <w:pPr>
        <w:pStyle w:val="ad"/>
      </w:pPr>
      <w:r w:rsidRPr="008F3942">
        <w:rPr>
          <w:lang w:val="en-US"/>
        </w:rPr>
        <w:tab/>
      </w:r>
      <w:r w:rsidRPr="00E0204C">
        <w:rPr>
          <w:rStyle w:val="aa"/>
        </w:rPr>
        <w:footnoteRef/>
      </w:r>
      <w:r>
        <w:tab/>
        <w:t xml:space="preserve">Эта информация имеется на основе загружаемых данных, таблица 4 </w:t>
      </w:r>
      <w:r w:rsidR="0097373E">
        <w:t>—</w:t>
      </w:r>
      <w:r>
        <w:t xml:space="preserve"> Психические расстройства за 12 месяцев по характеристикам населения, </w:t>
      </w:r>
      <w:hyperlink r:id="rId58" w:anchor="data-downloads" w:history="1">
        <w:r w:rsidR="0097373E" w:rsidRPr="005313E9">
          <w:rPr>
            <w:rStyle w:val="af1"/>
          </w:rPr>
          <w:t>https://www.abs.gov.au/statistics/health/mental-health/national-study-mental-health-and-wellbeing/latest-release#data-downloads</w:t>
        </w:r>
      </w:hyperlink>
      <w:r>
        <w:t>.</w:t>
      </w:r>
      <w:r w:rsidR="0097373E">
        <w:t xml:space="preserve"> </w:t>
      </w:r>
    </w:p>
  </w:footnote>
  <w:footnote w:id="79">
    <w:p w14:paraId="090F1427" w14:textId="77777777" w:rsidR="00841C25" w:rsidRPr="00841C25" w:rsidRDefault="00841C25" w:rsidP="00E0204C">
      <w:pPr>
        <w:pStyle w:val="ad"/>
        <w:rPr>
          <w:lang w:val="en-US"/>
        </w:rPr>
      </w:pPr>
      <w:r w:rsidRPr="00D62FAA">
        <w:tab/>
      </w:r>
      <w:r w:rsidRPr="00E0204C">
        <w:rPr>
          <w:rStyle w:val="aa"/>
        </w:rPr>
        <w:footnoteRef/>
      </w:r>
      <w:r w:rsidRPr="008F3942">
        <w:rPr>
          <w:lang w:val="en-US"/>
        </w:rPr>
        <w:tab/>
        <w:t>Ibid.</w:t>
      </w:r>
    </w:p>
  </w:footnote>
  <w:footnote w:id="80">
    <w:p w14:paraId="2284CD06" w14:textId="30D00D78"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D51E97">
        <w:rPr>
          <w:i/>
          <w:iCs/>
          <w:lang w:val="en-US"/>
        </w:rPr>
        <w:t>Australian Burden of Disease Study 2022</w:t>
      </w:r>
      <w:r w:rsidRPr="008F3942">
        <w:rPr>
          <w:lang w:val="en-US"/>
        </w:rPr>
        <w:t xml:space="preserve">, </w:t>
      </w:r>
      <w:hyperlink r:id="rId59" w:history="1">
        <w:r w:rsidR="0097373E" w:rsidRPr="005313E9">
          <w:rPr>
            <w:rStyle w:val="af1"/>
            <w:lang w:val="en-US"/>
          </w:rPr>
          <w:t>https://www.aihw.gov.au/getmedia/d9ae4bfa-df27-4e3c-9846-ba452bef6ac5/aihw-bod-37.pdf.aspx?inline=true</w:t>
        </w:r>
      </w:hyperlink>
      <w:r w:rsidRPr="008F3942">
        <w:rPr>
          <w:lang w:val="en-US"/>
        </w:rPr>
        <w:t>.</w:t>
      </w:r>
      <w:r w:rsidR="0097373E" w:rsidRPr="0097373E">
        <w:rPr>
          <w:lang w:val="en-US"/>
        </w:rPr>
        <w:t xml:space="preserve"> </w:t>
      </w:r>
    </w:p>
  </w:footnote>
  <w:footnote w:id="81">
    <w:p w14:paraId="5BBA2323" w14:textId="3ECE42BB"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D51E97">
        <w:rPr>
          <w:i/>
          <w:iCs/>
          <w:lang w:val="en-US"/>
        </w:rPr>
        <w:t>Causes of Death, Australia</w:t>
      </w:r>
      <w:r w:rsidRPr="008F3942">
        <w:rPr>
          <w:lang w:val="en-US"/>
        </w:rPr>
        <w:t xml:space="preserve">, 2021, 2022, </w:t>
      </w:r>
      <w:hyperlink r:id="rId60" w:history="1">
        <w:r w:rsidR="0097373E" w:rsidRPr="005313E9">
          <w:rPr>
            <w:rStyle w:val="af1"/>
            <w:lang w:val="en-US"/>
          </w:rPr>
          <w:t>https://www.abs.gov.au/statistics/health/causes-death/causes-death-australia/latest-release</w:t>
        </w:r>
      </w:hyperlink>
      <w:r w:rsidRPr="008F3942">
        <w:rPr>
          <w:lang w:val="en-US"/>
        </w:rPr>
        <w:t>.</w:t>
      </w:r>
      <w:r w:rsidR="0097373E" w:rsidRPr="0097373E">
        <w:rPr>
          <w:lang w:val="en-US"/>
        </w:rPr>
        <w:t xml:space="preserve"> </w:t>
      </w:r>
    </w:p>
  </w:footnote>
  <w:footnote w:id="82">
    <w:p w14:paraId="0EE2EC41" w14:textId="605DAB20"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D51E97">
        <w:rPr>
          <w:i/>
          <w:iCs/>
          <w:lang w:val="en-US"/>
        </w:rPr>
        <w:t>Medicare-subsidised mental health-specific services</w:t>
      </w:r>
      <w:r w:rsidRPr="008F3942">
        <w:rPr>
          <w:lang w:val="en-US"/>
        </w:rPr>
        <w:t xml:space="preserve">, </w:t>
      </w:r>
      <w:hyperlink r:id="rId61" w:history="1">
        <w:r w:rsidR="0097373E" w:rsidRPr="005313E9">
          <w:rPr>
            <w:rStyle w:val="af1"/>
            <w:lang w:val="en-US"/>
          </w:rPr>
          <w:t>https://www.aihw.gov.au/mental-health/topic-areas/medicare-subsidised-services</w:t>
        </w:r>
      </w:hyperlink>
      <w:r w:rsidRPr="008F3942">
        <w:rPr>
          <w:lang w:val="en-US"/>
        </w:rPr>
        <w:t>.</w:t>
      </w:r>
      <w:r w:rsidR="0097373E" w:rsidRPr="0097373E">
        <w:rPr>
          <w:lang w:val="en-US"/>
        </w:rPr>
        <w:t xml:space="preserve"> </w:t>
      </w:r>
    </w:p>
  </w:footnote>
  <w:footnote w:id="83">
    <w:p w14:paraId="328E3ABA"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84">
    <w:p w14:paraId="156FC57E" w14:textId="6EC02ED2"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Hill, Bourne, McNair, Carman, &amp; Lyons, </w:t>
      </w:r>
      <w:r w:rsidRPr="00D51E97">
        <w:rPr>
          <w:i/>
          <w:iCs/>
          <w:lang w:val="en-US"/>
        </w:rPr>
        <w:t>Private Lives 3: The health and wellbeing of LGBTIQ people in Australia</w:t>
      </w:r>
      <w:r w:rsidRPr="008F3942">
        <w:rPr>
          <w:lang w:val="en-US"/>
        </w:rPr>
        <w:t xml:space="preserve">, 2020, </w:t>
      </w:r>
      <w:hyperlink r:id="rId62" w:history="1">
        <w:r w:rsidR="0097373E" w:rsidRPr="005313E9">
          <w:rPr>
            <w:rStyle w:val="af1"/>
            <w:lang w:val="en-US"/>
          </w:rPr>
          <w:t>https://www.latrobe.edu.au/__data/assets/pdf_file/0009/1185885/Private-Lives-3.pdf</w:t>
        </w:r>
      </w:hyperlink>
      <w:r w:rsidRPr="008F3942">
        <w:rPr>
          <w:lang w:val="en-US"/>
        </w:rPr>
        <w:t>.</w:t>
      </w:r>
      <w:r w:rsidR="0097373E" w:rsidRPr="0097373E">
        <w:rPr>
          <w:lang w:val="en-US"/>
        </w:rPr>
        <w:t xml:space="preserve"> </w:t>
      </w:r>
    </w:p>
  </w:footnote>
  <w:footnote w:id="85">
    <w:p w14:paraId="7BF83708" w14:textId="6E7858DC"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Leonard et al., 2012, 2015; McKay, 2011; Perales, 2019, cited in Private Lives 3 National Report, 2020, </w:t>
      </w:r>
      <w:hyperlink r:id="rId63" w:history="1">
        <w:r w:rsidR="0097373E" w:rsidRPr="005313E9">
          <w:rPr>
            <w:rStyle w:val="af1"/>
            <w:lang w:val="en-US"/>
          </w:rPr>
          <w:t>https://www.latrobe.edu.au/__data/assets/pdf_file/0009/1185885/Private-Lives-3.pdf</w:t>
        </w:r>
      </w:hyperlink>
      <w:r w:rsidRPr="008F3942">
        <w:rPr>
          <w:lang w:val="en-US"/>
        </w:rPr>
        <w:t>.</w:t>
      </w:r>
      <w:r w:rsidR="0097373E" w:rsidRPr="0097373E">
        <w:rPr>
          <w:lang w:val="en-US"/>
        </w:rPr>
        <w:t xml:space="preserve"> </w:t>
      </w:r>
      <w:r w:rsidRPr="008F3942">
        <w:rPr>
          <w:lang w:val="en-US"/>
        </w:rPr>
        <w:t xml:space="preserve">  </w:t>
      </w:r>
    </w:p>
  </w:footnote>
  <w:footnote w:id="86">
    <w:p w14:paraId="7C6419F3" w14:textId="12812FA7" w:rsidR="00841C25" w:rsidRPr="0097373E" w:rsidRDefault="00841C25" w:rsidP="00E0204C">
      <w:pPr>
        <w:pStyle w:val="ad"/>
        <w:rPr>
          <w:lang w:val="en-US"/>
        </w:rPr>
      </w:pPr>
      <w:r w:rsidRPr="008F3942">
        <w:rPr>
          <w:lang w:val="en-US"/>
        </w:rPr>
        <w:tab/>
      </w:r>
      <w:r w:rsidRPr="00E0204C">
        <w:rPr>
          <w:rStyle w:val="aa"/>
        </w:rPr>
        <w:footnoteRef/>
      </w:r>
      <w:r w:rsidRPr="008F3942">
        <w:rPr>
          <w:lang w:val="en-US"/>
        </w:rPr>
        <w:tab/>
        <w:t xml:space="preserve">Hill AO, Lyons A, Jones J, McGowan I, Carman M, Parsons M, Power J, Bourne </w:t>
      </w:r>
      <w:r w:rsidRPr="00D51E97">
        <w:rPr>
          <w:i/>
          <w:iCs/>
          <w:lang w:val="en-US"/>
        </w:rPr>
        <w:t>A Writing Themselves In 4 The health and wellbeing of LGBTQA+ young people in Australia</w:t>
      </w:r>
      <w:r w:rsidRPr="008F3942">
        <w:rPr>
          <w:lang w:val="en-US"/>
        </w:rPr>
        <w:t xml:space="preserve">, 2021, </w:t>
      </w:r>
      <w:hyperlink r:id="rId64" w:history="1">
        <w:r w:rsidR="0097373E" w:rsidRPr="005313E9">
          <w:rPr>
            <w:rStyle w:val="af1"/>
            <w:lang w:val="en-US"/>
          </w:rPr>
          <w:t>https://www.latrobe.edu.au/__data/assets/pdf_file/0010/1198945/Writing-Themselves-In-4-National-report.pdf</w:t>
        </w:r>
      </w:hyperlink>
      <w:r w:rsidRPr="008F3942">
        <w:rPr>
          <w:lang w:val="en-US"/>
        </w:rPr>
        <w:t>.</w:t>
      </w:r>
      <w:r w:rsidR="0097373E" w:rsidRPr="0097373E">
        <w:rPr>
          <w:lang w:val="en-US"/>
        </w:rPr>
        <w:t xml:space="preserve"> </w:t>
      </w:r>
    </w:p>
  </w:footnote>
  <w:footnote w:id="87">
    <w:p w14:paraId="27447CC9" w14:textId="46674E8F"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Electoral Commission, </w:t>
      </w:r>
      <w:hyperlink r:id="rId65" w:history="1">
        <w:r w:rsidR="00654C9D" w:rsidRPr="005313E9">
          <w:rPr>
            <w:rStyle w:val="af1"/>
            <w:lang w:val="en-US"/>
          </w:rPr>
          <w:t>https://www.aec.gov.au/Enrolling_to_vote/Enrolment_stats/national/2022.htm</w:t>
        </w:r>
      </w:hyperlink>
      <w:r w:rsidRPr="008F3942">
        <w:rPr>
          <w:lang w:val="en-US"/>
        </w:rPr>
        <w:t>.</w:t>
      </w:r>
      <w:r w:rsidR="00654C9D">
        <w:rPr>
          <w:lang w:val="en-US"/>
        </w:rPr>
        <w:t xml:space="preserve"> </w:t>
      </w:r>
    </w:p>
  </w:footnote>
  <w:footnote w:id="88">
    <w:p w14:paraId="0973E817" w14:textId="5120A67C"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Electoral Commission, </w:t>
      </w:r>
      <w:r w:rsidRPr="00D51E97">
        <w:rPr>
          <w:i/>
          <w:iCs/>
          <w:lang w:val="en-US"/>
        </w:rPr>
        <w:t>Media Release: New Indigenous enrolment record: An in-depth</w:t>
      </w:r>
      <w:r w:rsidRPr="008F3942">
        <w:rPr>
          <w:lang w:val="en-US"/>
        </w:rPr>
        <w:t xml:space="preserve">, look, August 2023, </w:t>
      </w:r>
      <w:hyperlink r:id="rId66" w:history="1">
        <w:r w:rsidR="00654C9D" w:rsidRPr="005313E9">
          <w:rPr>
            <w:rStyle w:val="af1"/>
            <w:lang w:val="en-US"/>
          </w:rPr>
          <w:t>https://www.aec.gov.au/media/2023/08-03.htm</w:t>
        </w:r>
      </w:hyperlink>
      <w:r w:rsidRPr="008F3942">
        <w:rPr>
          <w:lang w:val="en-US"/>
        </w:rPr>
        <w:t>.</w:t>
      </w:r>
      <w:r w:rsidR="00654C9D">
        <w:rPr>
          <w:lang w:val="en-US"/>
        </w:rPr>
        <w:t xml:space="preserve"> </w:t>
      </w:r>
    </w:p>
  </w:footnote>
  <w:footnote w:id="89">
    <w:p w14:paraId="3E9B6F41" w14:textId="1013314E"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Electoral Commission Current Register of Political Parties, </w:t>
      </w:r>
      <w:hyperlink r:id="rId67" w:history="1">
        <w:r w:rsidR="00654C9D" w:rsidRPr="005313E9">
          <w:rPr>
            <w:rStyle w:val="af1"/>
            <w:lang w:val="en-US"/>
          </w:rPr>
          <w:t>www.aec.gov.au/parties_and_representatives/party_registration/Registered_parties</w:t>
        </w:r>
      </w:hyperlink>
      <w:r w:rsidRPr="008F3942">
        <w:rPr>
          <w:lang w:val="en-US"/>
        </w:rPr>
        <w:t>.</w:t>
      </w:r>
      <w:r w:rsidR="00654C9D">
        <w:rPr>
          <w:lang w:val="en-US"/>
        </w:rPr>
        <w:t xml:space="preserve"> </w:t>
      </w:r>
    </w:p>
  </w:footnote>
  <w:footnote w:id="90">
    <w:p w14:paraId="6C07F397" w14:textId="2F954831"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Parliament of Australia, </w:t>
      </w:r>
      <w:r w:rsidRPr="00D51E97">
        <w:rPr>
          <w:i/>
          <w:iCs/>
          <w:lang w:val="en-US"/>
        </w:rPr>
        <w:t>Trends in the gender composition of state and territory parliaments, 2022</w:t>
      </w:r>
      <w:r w:rsidRPr="008F3942">
        <w:rPr>
          <w:lang w:val="en-US"/>
        </w:rPr>
        <w:t xml:space="preserve">, </w:t>
      </w:r>
      <w:hyperlink r:id="rId68" w:history="1">
        <w:r w:rsidR="00654C9D" w:rsidRPr="005313E9">
          <w:rPr>
            <w:rStyle w:val="af1"/>
            <w:lang w:val="en-US"/>
          </w:rPr>
          <w:t>https://www.aph.gov.au/About_Parliament/Parliamentary_departments/Parliamentary_Library/FlagPost/2022/May/Gender_composition_of_state_and_territory_parliaments</w:t>
        </w:r>
      </w:hyperlink>
      <w:r w:rsidRPr="008F3942">
        <w:rPr>
          <w:lang w:val="en-US"/>
        </w:rPr>
        <w:t>.</w:t>
      </w:r>
      <w:r w:rsidR="00654C9D">
        <w:rPr>
          <w:lang w:val="en-US"/>
        </w:rPr>
        <w:t xml:space="preserve"> </w:t>
      </w:r>
    </w:p>
  </w:footnote>
  <w:footnote w:id="91">
    <w:p w14:paraId="0818E60A" w14:textId="6502DD68"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Human Rights Commission, </w:t>
      </w:r>
      <w:r w:rsidRPr="00D51E97">
        <w:rPr>
          <w:i/>
          <w:iCs/>
          <w:lang w:val="en-US"/>
        </w:rPr>
        <w:t>Leading for Change: A blueprint for cultural diversity and inclusive leadership revisited</w:t>
      </w:r>
      <w:r w:rsidRPr="008F3942">
        <w:rPr>
          <w:lang w:val="en-US"/>
        </w:rPr>
        <w:t>, Sydney, 2018.</w:t>
      </w:r>
      <w:r w:rsidR="00654C9D">
        <w:rPr>
          <w:lang w:val="en-US"/>
        </w:rPr>
        <w:t xml:space="preserve"> </w:t>
      </w:r>
    </w:p>
  </w:footnote>
  <w:footnote w:id="92">
    <w:p w14:paraId="3E3DBC9D" w14:textId="1BF1DE14"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Government Department of Foreign Affairs and Trade, </w:t>
      </w:r>
      <w:r w:rsidRPr="00D51E97">
        <w:rPr>
          <w:i/>
          <w:iCs/>
          <w:lang w:val="en-US"/>
        </w:rPr>
        <w:t>Non-government organisations (NGOs)</w:t>
      </w:r>
      <w:r w:rsidRPr="008F3942">
        <w:rPr>
          <w:lang w:val="en-US"/>
        </w:rPr>
        <w:t xml:space="preserve">, 2023, </w:t>
      </w:r>
      <w:hyperlink r:id="rId69" w:history="1">
        <w:r w:rsidR="00654C9D" w:rsidRPr="005313E9">
          <w:rPr>
            <w:rStyle w:val="af1"/>
            <w:lang w:val="en-US"/>
          </w:rPr>
          <w:t>https://www.dfat.gov.au/development/who-we-work-with/ngos/list-of-australian-accredited-non-government-organisations</w:t>
        </w:r>
      </w:hyperlink>
      <w:r w:rsidRPr="008F3942">
        <w:rPr>
          <w:lang w:val="en-US"/>
        </w:rPr>
        <w:t>.</w:t>
      </w:r>
      <w:r w:rsidR="00654C9D">
        <w:rPr>
          <w:lang w:val="en-US"/>
        </w:rPr>
        <w:t xml:space="preserve"> </w:t>
      </w:r>
    </w:p>
  </w:footnote>
  <w:footnote w:id="93">
    <w:p w14:paraId="6179A89A" w14:textId="1FD4EDEB"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Dwyer, T. </w:t>
      </w:r>
      <w:r w:rsidRPr="00D51E97">
        <w:rPr>
          <w:i/>
          <w:iCs/>
          <w:lang w:val="en-US"/>
        </w:rPr>
        <w:t xml:space="preserve">FactCheck: Is Australia’s level of media ownership concentration one of the highest in the world? </w:t>
      </w:r>
      <w:r w:rsidRPr="008F3942">
        <w:rPr>
          <w:lang w:val="en-US"/>
        </w:rPr>
        <w:t>The Conversation, 12 Dec 2016, /theconversation.com/factcheck-is-australias-level-of-media-ownership-concentration-one-of-the-highest-in-the-world-68437</w:t>
      </w:r>
      <w:proofErr w:type="gramStart"/>
      <w:r w:rsidRPr="008F3942">
        <w:rPr>
          <w:lang w:val="en-US"/>
        </w:rPr>
        <w:t>.</w:t>
      </w:r>
      <w:r w:rsidR="00E60A05">
        <w:rPr>
          <w:lang w:val="en-US"/>
        </w:rPr>
        <w:t xml:space="preserve"> </w:t>
      </w:r>
      <w:r w:rsidR="00654C9D">
        <w:rPr>
          <w:lang w:val="en-US"/>
        </w:rPr>
        <w:t xml:space="preserve"> </w:t>
      </w:r>
      <w:proofErr w:type="gramEnd"/>
      <w:r w:rsidRPr="008F3942">
        <w:rPr>
          <w:lang w:val="en-US"/>
        </w:rPr>
        <w:t xml:space="preserve"> </w:t>
      </w:r>
      <w:r w:rsidR="00654C9D">
        <w:rPr>
          <w:lang w:val="en-US"/>
        </w:rPr>
        <w:t xml:space="preserve"> </w:t>
      </w:r>
    </w:p>
  </w:footnote>
  <w:footnote w:id="94">
    <w:p w14:paraId="1346066C" w14:textId="70BE216D"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Sexual assaults increase for tenth year in a row, 2022, </w:t>
      </w:r>
      <w:hyperlink r:id="rId70" w:history="1">
        <w:r w:rsidR="00654C9D" w:rsidRPr="005313E9">
          <w:rPr>
            <w:rStyle w:val="af1"/>
            <w:lang w:val="en-US"/>
          </w:rPr>
          <w:t>https://www.abs.gov.au/media-centre/media-releases/sexual-assaults-increase-tenth-year-row</w:t>
        </w:r>
      </w:hyperlink>
      <w:r w:rsidRPr="008F3942">
        <w:rPr>
          <w:lang w:val="en-US"/>
        </w:rPr>
        <w:t>.</w:t>
      </w:r>
      <w:r w:rsidR="00654C9D">
        <w:rPr>
          <w:lang w:val="en-US"/>
        </w:rPr>
        <w:t xml:space="preserve"> </w:t>
      </w:r>
    </w:p>
  </w:footnote>
  <w:footnote w:id="95">
    <w:p w14:paraId="007114FC" w14:textId="2CBB6B69"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Recorded Crime – Victims, 2021, </w:t>
      </w:r>
      <w:hyperlink r:id="rId71" w:anchor="key-statistics" w:history="1">
        <w:r w:rsidR="00E60A05" w:rsidRPr="00AC02E3">
          <w:rPr>
            <w:rStyle w:val="af1"/>
            <w:lang w:val="en-US"/>
          </w:rPr>
          <w:t>https://www.abs.gov.au/statistics/people/crime-and-justice/recorded-crime-victims/2021#key-statistics</w:t>
        </w:r>
      </w:hyperlink>
      <w:r w:rsidRPr="008F3942">
        <w:rPr>
          <w:lang w:val="en-US"/>
        </w:rPr>
        <w:t>.</w:t>
      </w:r>
      <w:r w:rsidR="00E60A05">
        <w:rPr>
          <w:lang w:val="en-US"/>
        </w:rPr>
        <w:t xml:space="preserve"> </w:t>
      </w:r>
    </w:p>
  </w:footnote>
  <w:footnote w:id="96">
    <w:p w14:paraId="0D3EC06C"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97">
    <w:p w14:paraId="3B689D8B"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Smith R, et al. </w:t>
      </w:r>
      <w:r w:rsidRPr="00D51E97">
        <w:rPr>
          <w:i/>
          <w:iCs/>
          <w:lang w:val="en-US"/>
        </w:rPr>
        <w:t>Counting the costs of crime in Australia: A 2011 estimate</w:t>
      </w:r>
      <w:r w:rsidRPr="008F3942">
        <w:rPr>
          <w:lang w:val="en-US"/>
        </w:rPr>
        <w:t xml:space="preserve">. Australian Institute of Criminology Research and Public Policy Series No. 129, Canberra, 2014. </w:t>
      </w:r>
    </w:p>
  </w:footnote>
  <w:footnote w:id="98">
    <w:p w14:paraId="3770A637" w14:textId="1312ACCA"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D51E97">
        <w:rPr>
          <w:i/>
          <w:iCs/>
          <w:lang w:val="en-US"/>
        </w:rPr>
        <w:t>4519.0 –Recorded crime – offenders, Australia, 2021–22</w:t>
      </w:r>
      <w:r w:rsidRPr="008F3942">
        <w:rPr>
          <w:lang w:val="en-US"/>
        </w:rPr>
        <w:t xml:space="preserve">, 2023, </w:t>
      </w:r>
      <w:hyperlink r:id="rId72" w:history="1">
        <w:r w:rsidR="00E60A05" w:rsidRPr="00AC02E3">
          <w:rPr>
            <w:rStyle w:val="af1"/>
            <w:lang w:val="en-US"/>
          </w:rPr>
          <w:t>www.abs.gov.au/AUSSTATS/abs@.nsf/mf/4519.0</w:t>
        </w:r>
      </w:hyperlink>
      <w:r w:rsidRPr="008F3942">
        <w:rPr>
          <w:lang w:val="en-US"/>
        </w:rPr>
        <w:t>.</w:t>
      </w:r>
      <w:r w:rsidR="00E60A05">
        <w:rPr>
          <w:lang w:val="en-US"/>
        </w:rPr>
        <w:t xml:space="preserve"> </w:t>
      </w:r>
    </w:p>
  </w:footnote>
  <w:footnote w:id="99">
    <w:p w14:paraId="77A55D80"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0">
    <w:p w14:paraId="1E00E952" w14:textId="49943290"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D51E97">
        <w:rPr>
          <w:i/>
          <w:iCs/>
          <w:lang w:val="en-US"/>
        </w:rPr>
        <w:t>4517.0 – Prisoners in Australia, 2022</w:t>
      </w:r>
      <w:r w:rsidRPr="008F3942">
        <w:rPr>
          <w:lang w:val="en-US"/>
        </w:rPr>
        <w:t xml:space="preserve">, 2023, </w:t>
      </w:r>
      <w:hyperlink r:id="rId73" w:history="1">
        <w:r w:rsidR="00E60A05" w:rsidRPr="00AC02E3">
          <w:rPr>
            <w:rStyle w:val="af1"/>
            <w:lang w:val="en-US"/>
          </w:rPr>
          <w:t>www.abs.gov.au/ausstats/abs@.nsf/mf/4517.0</w:t>
        </w:r>
      </w:hyperlink>
      <w:r w:rsidRPr="008F3942">
        <w:rPr>
          <w:lang w:val="en-US"/>
        </w:rPr>
        <w:t>.</w:t>
      </w:r>
      <w:r w:rsidR="00E60A05">
        <w:rPr>
          <w:lang w:val="en-US"/>
        </w:rPr>
        <w:t xml:space="preserve"> </w:t>
      </w:r>
    </w:p>
  </w:footnote>
  <w:footnote w:id="101">
    <w:p w14:paraId="24039EF8" w14:textId="77D5362A"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5D6745">
        <w:rPr>
          <w:i/>
          <w:iCs/>
          <w:lang w:val="en-US"/>
        </w:rPr>
        <w:t>4517.0 – Prisoners in Australia</w:t>
      </w:r>
      <w:r w:rsidRPr="008F3942">
        <w:rPr>
          <w:lang w:val="en-US"/>
        </w:rPr>
        <w:t xml:space="preserve">, 2022, 2023, </w:t>
      </w:r>
      <w:hyperlink r:id="rId74" w:history="1">
        <w:r w:rsidR="00E60A05" w:rsidRPr="00AC02E3">
          <w:rPr>
            <w:rStyle w:val="af1"/>
            <w:lang w:val="en-US"/>
          </w:rPr>
          <w:t>www.abs.gov.au/ausstats/abs@.nsf/mf/4517.0</w:t>
        </w:r>
      </w:hyperlink>
      <w:r w:rsidRPr="008F3942">
        <w:rPr>
          <w:lang w:val="en-US"/>
        </w:rPr>
        <w:t>.</w:t>
      </w:r>
      <w:r w:rsidR="00E60A05">
        <w:rPr>
          <w:lang w:val="en-US"/>
        </w:rPr>
        <w:t xml:space="preserve"> </w:t>
      </w:r>
    </w:p>
  </w:footnote>
  <w:footnote w:id="102">
    <w:p w14:paraId="39F66211"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3">
    <w:p w14:paraId="3C1CF513"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4">
    <w:p w14:paraId="3DF2BE02" w14:textId="79F4076B"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Criminology, Deaths in Custody in Australia, </w:t>
      </w:r>
      <w:hyperlink r:id="rId75" w:history="1">
        <w:r w:rsidR="00E60A05" w:rsidRPr="00AC02E3">
          <w:rPr>
            <w:rStyle w:val="af1"/>
            <w:lang w:val="en-US"/>
          </w:rPr>
          <w:t>https://www.aic.gov.au/statistics/deaths-custody-australia</w:t>
        </w:r>
      </w:hyperlink>
      <w:r w:rsidRPr="008F3942">
        <w:rPr>
          <w:lang w:val="en-US"/>
        </w:rPr>
        <w:t>.</w:t>
      </w:r>
      <w:r w:rsidR="00E60A05">
        <w:rPr>
          <w:lang w:val="en-US"/>
        </w:rPr>
        <w:t xml:space="preserve"> </w:t>
      </w:r>
    </w:p>
  </w:footnote>
  <w:footnote w:id="105">
    <w:p w14:paraId="24701FFB"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6">
    <w:p w14:paraId="7C879E12"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7">
    <w:p w14:paraId="79C81A16" w14:textId="5E99886F"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Institute of Health and Welfare, </w:t>
      </w:r>
      <w:r w:rsidRPr="005D6745">
        <w:rPr>
          <w:i/>
          <w:iCs/>
          <w:lang w:val="en-US"/>
        </w:rPr>
        <w:t>Youth in justice in Australia 2021–22</w:t>
      </w:r>
      <w:r w:rsidRPr="008F3942">
        <w:rPr>
          <w:lang w:val="en-US"/>
        </w:rPr>
        <w:t xml:space="preserve">, 2023, </w:t>
      </w:r>
      <w:hyperlink r:id="rId76" w:history="1">
        <w:r w:rsidR="00E60A05" w:rsidRPr="00AC02E3">
          <w:rPr>
            <w:rStyle w:val="af1"/>
            <w:lang w:val="en-US"/>
          </w:rPr>
          <w:t>https://www.aihw.gov.au/reports/youth-justice/youth-justice-in-australia-2021-22/contents/summary</w:t>
        </w:r>
      </w:hyperlink>
      <w:r w:rsidRPr="008F3942">
        <w:rPr>
          <w:lang w:val="en-US"/>
        </w:rPr>
        <w:t>.</w:t>
      </w:r>
      <w:r w:rsidR="00E60A05">
        <w:rPr>
          <w:lang w:val="en-US"/>
        </w:rPr>
        <w:t xml:space="preserve"> </w:t>
      </w:r>
    </w:p>
  </w:footnote>
  <w:footnote w:id="108">
    <w:p w14:paraId="0C9DC072"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09">
    <w:p w14:paraId="1AEC9209" w14:textId="132CDF39" w:rsidR="00841C25" w:rsidRPr="00E22999" w:rsidRDefault="00841C25" w:rsidP="00E0204C">
      <w:pPr>
        <w:pStyle w:val="ad"/>
        <w:rPr>
          <w:lang w:val="en-US"/>
        </w:rPr>
      </w:pPr>
      <w:r w:rsidRPr="008F3942">
        <w:rPr>
          <w:lang w:val="en-US"/>
        </w:rPr>
        <w:tab/>
      </w:r>
      <w:r w:rsidRPr="00E0204C">
        <w:rPr>
          <w:rStyle w:val="aa"/>
        </w:rPr>
        <w:footnoteRef/>
      </w:r>
      <w:r w:rsidRPr="008F3942">
        <w:rPr>
          <w:lang w:val="en-US"/>
        </w:rPr>
        <w:tab/>
        <w:t xml:space="preserve">Steering Committee for the Review of Government Service Provision, </w:t>
      </w:r>
      <w:r w:rsidRPr="005D6745">
        <w:rPr>
          <w:i/>
          <w:iCs/>
          <w:lang w:val="en-US"/>
        </w:rPr>
        <w:t>Report on Government Services 2022, vol. C, Justice</w:t>
      </w:r>
      <w:r w:rsidRPr="008F3942">
        <w:rPr>
          <w:lang w:val="en-US"/>
        </w:rPr>
        <w:t xml:space="preserve">, </w:t>
      </w:r>
      <w:hyperlink r:id="rId77" w:history="1">
        <w:r w:rsidR="00064F52" w:rsidRPr="00AC02E3">
          <w:rPr>
            <w:rStyle w:val="af1"/>
            <w:lang w:val="en-US"/>
          </w:rPr>
          <w:t>https://www.pc.gov.au/ongoing/report-on-government-services/2022/justice</w:t>
        </w:r>
      </w:hyperlink>
      <w:r w:rsidRPr="008F3942">
        <w:rPr>
          <w:lang w:val="en-US"/>
        </w:rPr>
        <w:t>.</w:t>
      </w:r>
      <w:r w:rsidR="00064F52" w:rsidRPr="00E22999">
        <w:rPr>
          <w:lang w:val="en-US"/>
        </w:rPr>
        <w:t xml:space="preserve"> </w:t>
      </w:r>
    </w:p>
  </w:footnote>
  <w:footnote w:id="110">
    <w:p w14:paraId="00AB14BA" w14:textId="77777777"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Ibid.</w:t>
      </w:r>
    </w:p>
  </w:footnote>
  <w:footnote w:id="111">
    <w:p w14:paraId="3E46D28D" w14:textId="2066F406" w:rsidR="00841C25" w:rsidRPr="00841C25"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w:t>
      </w:r>
      <w:r w:rsidRPr="005D6745">
        <w:rPr>
          <w:i/>
          <w:iCs/>
          <w:lang w:val="en-US"/>
        </w:rPr>
        <w:t>4513.0 – Criminal Courts, Australia, 2021–22</w:t>
      </w:r>
      <w:r w:rsidRPr="008F3942">
        <w:rPr>
          <w:lang w:val="en-US"/>
        </w:rPr>
        <w:t xml:space="preserve">, 2023, </w:t>
      </w:r>
      <w:hyperlink r:id="rId78" w:history="1">
        <w:r w:rsidR="00064F52" w:rsidRPr="00AC02E3">
          <w:rPr>
            <w:rStyle w:val="af1"/>
            <w:lang w:val="en-US"/>
          </w:rPr>
          <w:t>www.abs.gov.au/AUSSTATS/abs@.nsf/mf/4513.0</w:t>
        </w:r>
      </w:hyperlink>
      <w:proofErr w:type="gramStart"/>
      <w:r w:rsidRPr="008F3942">
        <w:rPr>
          <w:lang w:val="en-US"/>
        </w:rPr>
        <w:t>.</w:t>
      </w:r>
      <w:r w:rsidR="00064F52" w:rsidRPr="00064F52">
        <w:rPr>
          <w:lang w:val="en-US"/>
        </w:rPr>
        <w:t xml:space="preserve"> </w:t>
      </w:r>
      <w:r w:rsidRPr="008F3942">
        <w:rPr>
          <w:lang w:val="en-US"/>
        </w:rPr>
        <w:t xml:space="preserve"> </w:t>
      </w:r>
      <w:proofErr w:type="gramEnd"/>
    </w:p>
  </w:footnote>
  <w:footnote w:id="112">
    <w:p w14:paraId="3E0840CB" w14:textId="6695FF29" w:rsidR="00841C25" w:rsidRPr="00064F52" w:rsidRDefault="00841C25" w:rsidP="00E0204C">
      <w:pPr>
        <w:pStyle w:val="ad"/>
        <w:rPr>
          <w:lang w:val="en-US"/>
        </w:rPr>
      </w:pPr>
      <w:r w:rsidRPr="008F3942">
        <w:rPr>
          <w:lang w:val="en-US"/>
        </w:rPr>
        <w:tab/>
      </w:r>
      <w:r w:rsidRPr="00E0204C">
        <w:rPr>
          <w:rStyle w:val="aa"/>
        </w:rPr>
        <w:footnoteRef/>
      </w:r>
      <w:r w:rsidRPr="008F3942">
        <w:rPr>
          <w:lang w:val="en-US"/>
        </w:rPr>
        <w:tab/>
        <w:t xml:space="preserve">Steering Committee for the Review of Government Service Provision, </w:t>
      </w:r>
      <w:r w:rsidRPr="005D6745">
        <w:rPr>
          <w:i/>
          <w:iCs/>
          <w:lang w:val="en-US"/>
        </w:rPr>
        <w:t>Report on Government Services 2022, vol. C, Justice</w:t>
      </w:r>
      <w:r w:rsidRPr="008F3942">
        <w:rPr>
          <w:lang w:val="en-US"/>
        </w:rPr>
        <w:t xml:space="preserve">, </w:t>
      </w:r>
      <w:hyperlink r:id="rId79" w:history="1">
        <w:r w:rsidR="00064F52" w:rsidRPr="00AC02E3">
          <w:rPr>
            <w:rStyle w:val="af1"/>
            <w:lang w:val="en-US"/>
          </w:rPr>
          <w:t>https://www.pc.gov.au/ongoing/report-on-government-services/2022/justice</w:t>
        </w:r>
      </w:hyperlink>
      <w:r w:rsidRPr="008F3942">
        <w:rPr>
          <w:lang w:val="en-US"/>
        </w:rPr>
        <w:t>.</w:t>
      </w:r>
      <w:r w:rsidR="00064F52" w:rsidRPr="00064F52">
        <w:rPr>
          <w:lang w:val="en-US"/>
        </w:rPr>
        <w:t xml:space="preserve"> </w:t>
      </w:r>
    </w:p>
  </w:footnote>
  <w:footnote w:id="113">
    <w:p w14:paraId="5DAA7B52" w14:textId="0D86F00D" w:rsidR="00841C25" w:rsidRPr="00064F52" w:rsidRDefault="00841C25" w:rsidP="00E0204C">
      <w:pPr>
        <w:pStyle w:val="ad"/>
        <w:rPr>
          <w:lang w:val="en-US"/>
        </w:rPr>
      </w:pPr>
      <w:r w:rsidRPr="008F3942">
        <w:rPr>
          <w:lang w:val="en-US"/>
        </w:rPr>
        <w:tab/>
      </w:r>
      <w:r w:rsidRPr="00E0204C">
        <w:rPr>
          <w:rStyle w:val="aa"/>
        </w:rPr>
        <w:footnoteRef/>
      </w:r>
      <w:r w:rsidRPr="008F3942">
        <w:rPr>
          <w:lang w:val="en-US"/>
        </w:rPr>
        <w:tab/>
        <w:t xml:space="preserve">National Legal Aid, </w:t>
      </w:r>
      <w:r w:rsidRPr="005D6745">
        <w:rPr>
          <w:i/>
          <w:iCs/>
          <w:lang w:val="en-US"/>
        </w:rPr>
        <w:t>National Legal Aid Statistics, 2022-2023</w:t>
      </w:r>
      <w:r w:rsidRPr="008F3942">
        <w:rPr>
          <w:lang w:val="en-US"/>
        </w:rPr>
        <w:t xml:space="preserve">, 2023, </w:t>
      </w:r>
      <w:hyperlink r:id="rId80" w:history="1">
        <w:r w:rsidR="00064F52" w:rsidRPr="00AC02E3">
          <w:rPr>
            <w:rStyle w:val="af1"/>
            <w:lang w:val="en-US"/>
          </w:rPr>
          <w:t>https://nla.legalaid.nsw.gov.au/nlareports/reportviewer.aspx?reportname=ApplicationStatus</w:t>
        </w:r>
      </w:hyperlink>
      <w:r w:rsidRPr="008F3942">
        <w:rPr>
          <w:lang w:val="en-US"/>
        </w:rPr>
        <w:t>.</w:t>
      </w:r>
      <w:r w:rsidR="00064F52" w:rsidRPr="00064F52">
        <w:rPr>
          <w:lang w:val="en-US"/>
        </w:rPr>
        <w:t xml:space="preserve"> </w:t>
      </w:r>
    </w:p>
  </w:footnote>
  <w:footnote w:id="114">
    <w:p w14:paraId="7049CEE1" w14:textId="08CA17E2"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National University Development Policy Centre, </w:t>
      </w:r>
      <w:r w:rsidRPr="00C65C5C">
        <w:rPr>
          <w:i/>
          <w:iCs/>
          <w:lang w:val="en-US"/>
        </w:rPr>
        <w:t>Australian Aid Tracker</w:t>
      </w:r>
      <w:r w:rsidRPr="008F3942">
        <w:rPr>
          <w:lang w:val="en-US"/>
        </w:rPr>
        <w:t xml:space="preserve">, </w:t>
      </w:r>
      <w:hyperlink r:id="rId81" w:history="1">
        <w:r w:rsidR="005F6C50" w:rsidRPr="00AC02E3">
          <w:rPr>
            <w:rStyle w:val="af1"/>
            <w:lang w:val="en-US"/>
          </w:rPr>
          <w:t>www.devpolicy.org/aidtracker</w:t>
        </w:r>
      </w:hyperlink>
      <w:r w:rsidRPr="008F3942">
        <w:rPr>
          <w:lang w:val="en-US"/>
        </w:rPr>
        <w:t>.</w:t>
      </w:r>
      <w:r w:rsidR="005F6C50" w:rsidRPr="005F6C50">
        <w:rPr>
          <w:lang w:val="en-US"/>
        </w:rPr>
        <w:t xml:space="preserve"> </w:t>
      </w:r>
    </w:p>
  </w:footnote>
  <w:footnote w:id="115">
    <w:p w14:paraId="5A9282A0" w14:textId="5BE7FC77" w:rsidR="00841C25" w:rsidRPr="005F6C50" w:rsidRDefault="00841C25" w:rsidP="00E0204C">
      <w:pPr>
        <w:pStyle w:val="ad"/>
        <w:rPr>
          <w:lang w:val="en-US"/>
        </w:rPr>
      </w:pPr>
      <w:r w:rsidRPr="008F3942">
        <w:rPr>
          <w:lang w:val="en-US"/>
        </w:rPr>
        <w:tab/>
      </w:r>
      <w:r w:rsidRPr="00E0204C">
        <w:rPr>
          <w:rStyle w:val="aa"/>
        </w:rPr>
        <w:footnoteRef/>
      </w:r>
      <w:bookmarkStart w:id="38" w:name="_Hlk137220911"/>
      <w:r w:rsidRPr="008F3942">
        <w:rPr>
          <w:lang w:val="en-US"/>
        </w:rPr>
        <w:tab/>
        <w:t xml:space="preserve">Australian Government, Attorney-General’s Department, Treaty body reporting, </w:t>
      </w:r>
      <w:hyperlink r:id="rId82" w:history="1">
        <w:r w:rsidR="005F6C50" w:rsidRPr="00AC02E3">
          <w:rPr>
            <w:rStyle w:val="af1"/>
            <w:lang w:val="en-US"/>
          </w:rPr>
          <w:t>https://www.ag.gov.au/rights-and-protections/human-rights-and-anti-discrimination/united-nations-human-rights-reporting/treaty-body-reporting</w:t>
        </w:r>
      </w:hyperlink>
      <w:r w:rsidRPr="008F3942">
        <w:rPr>
          <w:lang w:val="en-US"/>
        </w:rPr>
        <w:t>.</w:t>
      </w:r>
      <w:bookmarkEnd w:id="38"/>
      <w:r w:rsidR="005F6C50" w:rsidRPr="005F6C50">
        <w:rPr>
          <w:lang w:val="en-US"/>
        </w:rPr>
        <w:t xml:space="preserve"> </w:t>
      </w:r>
    </w:p>
  </w:footnote>
  <w:footnote w:id="116">
    <w:p w14:paraId="41AA1BC0" w14:textId="6FE4D9F0"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Government, Attorney-General’s Department, Universal Periodic Review monitoring, </w:t>
      </w:r>
      <w:hyperlink r:id="rId83" w:history="1">
        <w:r w:rsidR="005F6C50" w:rsidRPr="00AC02E3">
          <w:rPr>
            <w:rStyle w:val="af1"/>
            <w:lang w:val="en-US"/>
          </w:rPr>
          <w:t>https://www.ag.gov.au/RightsAndProtections/HumanRights/United-Nations-Human-Rights-Reporting/upr-recommendations/Pages/default.aspx</w:t>
        </w:r>
      </w:hyperlink>
      <w:r w:rsidRPr="008F3942">
        <w:rPr>
          <w:lang w:val="en-US"/>
        </w:rPr>
        <w:t>.</w:t>
      </w:r>
      <w:r w:rsidR="005F6C50" w:rsidRPr="005F6C50">
        <w:rPr>
          <w:lang w:val="en-US"/>
        </w:rPr>
        <w:t xml:space="preserve"> </w:t>
      </w:r>
    </w:p>
  </w:footnote>
  <w:footnote w:id="117">
    <w:p w14:paraId="35F7769B" w14:textId="7326EC7E"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84" w:history="1">
        <w:r w:rsidR="005F6C50" w:rsidRPr="00AC02E3">
          <w:rPr>
            <w:rStyle w:val="af1"/>
            <w:lang w:val="en-US"/>
          </w:rPr>
          <w:t>www.indigenous.gov.au/remote-australia-strategies</w:t>
        </w:r>
      </w:hyperlink>
      <w:r w:rsidRPr="008F3942">
        <w:rPr>
          <w:lang w:val="en-US"/>
        </w:rPr>
        <w:t>.</w:t>
      </w:r>
      <w:r w:rsidR="005F6C50" w:rsidRPr="005F6C50">
        <w:rPr>
          <w:lang w:val="en-US"/>
        </w:rPr>
        <w:t xml:space="preserve"> </w:t>
      </w:r>
    </w:p>
  </w:footnote>
  <w:footnote w:id="118">
    <w:p w14:paraId="718DFAB0" w14:textId="012B6337"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85" w:history="1">
        <w:r w:rsidR="005F6C50" w:rsidRPr="00AC02E3">
          <w:rPr>
            <w:rStyle w:val="af1"/>
            <w:lang w:val="en-US"/>
          </w:rPr>
          <w:t>www.health.gov.au/internet/main/publishing.nsf/Content/national-strategic-framework-rural-remote-health</w:t>
        </w:r>
      </w:hyperlink>
      <w:r w:rsidRPr="008F3942">
        <w:rPr>
          <w:lang w:val="en-US"/>
        </w:rPr>
        <w:t>.</w:t>
      </w:r>
      <w:r w:rsidR="005F6C50" w:rsidRPr="005F6C50">
        <w:rPr>
          <w:lang w:val="en-US"/>
        </w:rPr>
        <w:t xml:space="preserve"> </w:t>
      </w:r>
    </w:p>
  </w:footnote>
  <w:footnote w:id="119">
    <w:p w14:paraId="6ED71EBB" w14:textId="178860CC"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86" w:history="1">
        <w:r w:rsidR="005F6C50" w:rsidRPr="00AC02E3">
          <w:rPr>
            <w:rStyle w:val="af1"/>
            <w:lang w:val="en-US"/>
          </w:rPr>
          <w:t>www.ndis.gov.au/about-us/strategies/rural-and-remote-strategy</w:t>
        </w:r>
      </w:hyperlink>
      <w:r w:rsidRPr="008F3942">
        <w:rPr>
          <w:lang w:val="en-US"/>
        </w:rPr>
        <w:t>.</w:t>
      </w:r>
      <w:r w:rsidR="005F6C50" w:rsidRPr="005F6C50">
        <w:rPr>
          <w:lang w:val="en-US"/>
        </w:rPr>
        <w:t xml:space="preserve"> </w:t>
      </w:r>
    </w:p>
  </w:footnote>
  <w:footnote w:id="120">
    <w:p w14:paraId="4DC2E23F" w14:textId="42293624"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87" w:history="1">
        <w:r w:rsidR="005F6C50" w:rsidRPr="00AC02E3">
          <w:rPr>
            <w:rStyle w:val="af1"/>
            <w:lang w:val="en-US"/>
          </w:rPr>
          <w:t>www.education.gov.au/national-regional-rural-and-remote-education-strategy</w:t>
        </w:r>
      </w:hyperlink>
      <w:r w:rsidRPr="008F3942">
        <w:rPr>
          <w:lang w:val="en-US"/>
        </w:rPr>
        <w:t>.</w:t>
      </w:r>
      <w:r w:rsidR="005F6C50" w:rsidRPr="005F6C50">
        <w:rPr>
          <w:lang w:val="en-US"/>
        </w:rPr>
        <w:t xml:space="preserve"> </w:t>
      </w:r>
    </w:p>
  </w:footnote>
  <w:footnote w:id="121">
    <w:p w14:paraId="486E5D88" w14:textId="774B71DE"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National Indigenous Australians Agency, Land and Housing, </w:t>
      </w:r>
      <w:hyperlink r:id="rId88" w:history="1">
        <w:r w:rsidR="005F6C50" w:rsidRPr="00AC02E3">
          <w:rPr>
            <w:rStyle w:val="af1"/>
            <w:lang w:val="en-US"/>
          </w:rPr>
          <w:t>https://www.niaa.gov.au/indigenous-affairs/land-and-housing</w:t>
        </w:r>
      </w:hyperlink>
      <w:r w:rsidRPr="008F3942">
        <w:rPr>
          <w:lang w:val="en-US"/>
        </w:rPr>
        <w:t>.</w:t>
      </w:r>
      <w:r w:rsidR="005F6C50" w:rsidRPr="005F6C50">
        <w:rPr>
          <w:lang w:val="en-US"/>
        </w:rPr>
        <w:t xml:space="preserve"> </w:t>
      </w:r>
    </w:p>
  </w:footnote>
  <w:footnote w:id="122">
    <w:p w14:paraId="4D0711A8" w14:textId="60EE28CE"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Bureau of Statistics, Language Statistics for Aboriginal and Torres Strait Islander Peoples, </w:t>
      </w:r>
      <w:hyperlink r:id="rId89" w:history="1">
        <w:r w:rsidR="005F6C50" w:rsidRPr="00AC02E3">
          <w:rPr>
            <w:rStyle w:val="af1"/>
            <w:lang w:val="en-US"/>
          </w:rPr>
          <w:t>https://www.abs.gov.au/statistics/people/aboriginal-and-torres-strait-islander-peoples/language-statistics-aboriginal-and-torres-strait-islander-peoples/latest-release</w:t>
        </w:r>
      </w:hyperlink>
      <w:r w:rsidRPr="008F3942">
        <w:rPr>
          <w:lang w:val="en-US"/>
        </w:rPr>
        <w:t>.</w:t>
      </w:r>
      <w:r w:rsidR="005F6C50" w:rsidRPr="005F6C50">
        <w:rPr>
          <w:lang w:val="en-US"/>
        </w:rPr>
        <w:t xml:space="preserve"> </w:t>
      </w:r>
    </w:p>
  </w:footnote>
  <w:footnote w:id="123">
    <w:p w14:paraId="233D3F69" w14:textId="256D6B85"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90" w:history="1">
        <w:r w:rsidR="005F6C50" w:rsidRPr="00AC02E3">
          <w:rPr>
            <w:rStyle w:val="af1"/>
            <w:lang w:val="en-US"/>
          </w:rPr>
          <w:t>www.ag.gov.au/Publications/Pages/</w:t>
        </w:r>
        <w:r w:rsidR="005F6C50" w:rsidRPr="00AC02E3">
          <w:rPr>
            <w:rStyle w:val="af1"/>
            <w:lang w:val="en-US"/>
          </w:rPr>
          <w:br/>
          <w:t>AustralianGovernmentGuidelinesontheRecognitionofSexandGender.aspx</w:t>
        </w:r>
      </w:hyperlink>
      <w:r w:rsidRPr="008F3942">
        <w:rPr>
          <w:lang w:val="en-US"/>
        </w:rPr>
        <w:t>.</w:t>
      </w:r>
      <w:r w:rsidR="005F6C50" w:rsidRPr="005F6C50">
        <w:rPr>
          <w:lang w:val="en-US"/>
        </w:rPr>
        <w:t xml:space="preserve"> </w:t>
      </w:r>
    </w:p>
  </w:footnote>
  <w:footnote w:id="124">
    <w:p w14:paraId="7FB66FC4" w14:textId="7426F2C2"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r>
      <w:hyperlink r:id="rId91" w:history="1">
        <w:r w:rsidR="005F6C50" w:rsidRPr="00AC02E3">
          <w:rPr>
            <w:rStyle w:val="af1"/>
            <w:lang w:val="en-US"/>
          </w:rPr>
          <w:t>https://www.abs.gov.au/statistics/standards/standard-sex-gender-variations-sex-characteristics-and-sexual-orientation-variables/latest-release</w:t>
        </w:r>
      </w:hyperlink>
      <w:r w:rsidRPr="008F3942">
        <w:rPr>
          <w:lang w:val="en-US"/>
        </w:rPr>
        <w:t>.</w:t>
      </w:r>
      <w:r w:rsidR="005F6C50" w:rsidRPr="005F6C50">
        <w:rPr>
          <w:lang w:val="en-US"/>
        </w:rPr>
        <w:t xml:space="preserve"> </w:t>
      </w:r>
    </w:p>
  </w:footnote>
  <w:footnote w:id="125">
    <w:p w14:paraId="14EA9D21" w14:textId="29DAD0B6"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Government Department of Social Services, Disability and Australia’s Disability Strategy 2021–2031, </w:t>
      </w:r>
      <w:hyperlink r:id="rId92" w:history="1">
        <w:r w:rsidR="005F6C50" w:rsidRPr="00AC02E3">
          <w:rPr>
            <w:rStyle w:val="af1"/>
            <w:lang w:val="en-US"/>
          </w:rPr>
          <w:t>https://www.dss.gov.au/disability-and-australias-disability-strategy-2021-2031</w:t>
        </w:r>
      </w:hyperlink>
      <w:r w:rsidRPr="008F3942">
        <w:rPr>
          <w:lang w:val="en-US"/>
        </w:rPr>
        <w:t>.</w:t>
      </w:r>
      <w:r w:rsidR="005F6C50" w:rsidRPr="005F6C50">
        <w:rPr>
          <w:lang w:val="en-US"/>
        </w:rPr>
        <w:t xml:space="preserve"> </w:t>
      </w:r>
    </w:p>
  </w:footnote>
  <w:footnote w:id="126">
    <w:p w14:paraId="079AB643" w14:textId="1A32767B"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Government, Stop it at the Start, 2023, </w:t>
      </w:r>
      <w:hyperlink r:id="rId93" w:history="1">
        <w:r w:rsidR="005F6C50" w:rsidRPr="00AC02E3">
          <w:rPr>
            <w:rStyle w:val="af1"/>
            <w:lang w:val="en-US"/>
          </w:rPr>
          <w:t>www.respect.gov.au</w:t>
        </w:r>
      </w:hyperlink>
      <w:r w:rsidRPr="008F3942">
        <w:rPr>
          <w:lang w:val="en-US"/>
        </w:rPr>
        <w:t>.</w:t>
      </w:r>
      <w:r w:rsidR="005F6C50" w:rsidRPr="005F6C50">
        <w:rPr>
          <w:lang w:val="en-US"/>
        </w:rPr>
        <w:t xml:space="preserve"> </w:t>
      </w:r>
    </w:p>
  </w:footnote>
  <w:footnote w:id="127">
    <w:p w14:paraId="554ECF74" w14:textId="53296737" w:rsidR="00841C25" w:rsidRPr="005F6C50" w:rsidRDefault="00841C25" w:rsidP="00E0204C">
      <w:pPr>
        <w:pStyle w:val="ad"/>
        <w:rPr>
          <w:lang w:val="en-US"/>
        </w:rPr>
      </w:pPr>
      <w:r w:rsidRPr="008F3942">
        <w:rPr>
          <w:lang w:val="en-US"/>
        </w:rPr>
        <w:tab/>
      </w:r>
      <w:r w:rsidRPr="00E0204C">
        <w:rPr>
          <w:rStyle w:val="aa"/>
        </w:rPr>
        <w:footnoteRef/>
      </w:r>
      <w:r w:rsidRPr="008F3942">
        <w:rPr>
          <w:lang w:val="en-US"/>
        </w:rPr>
        <w:tab/>
        <w:t xml:space="preserve">Australian Human Rights Commission, </w:t>
      </w:r>
      <w:r w:rsidRPr="008348B3">
        <w:rPr>
          <w:i/>
          <w:iCs/>
          <w:lang w:val="en-US"/>
        </w:rPr>
        <w:t>AHRC 2018–19 Complaint Statistics</w:t>
      </w:r>
      <w:r w:rsidRPr="008F3942">
        <w:rPr>
          <w:lang w:val="en-US"/>
        </w:rPr>
        <w:t xml:space="preserve">, </w:t>
      </w:r>
      <w:hyperlink r:id="rId94" w:history="1">
        <w:r w:rsidR="005F6C50" w:rsidRPr="00AC02E3">
          <w:rPr>
            <w:rStyle w:val="af1"/>
            <w:lang w:val="en-US"/>
          </w:rPr>
          <w:t>https://humanrights.gov.au/sites/default/files/ahrc_ar_2021-2022_complaint_stats_0.pdf</w:t>
        </w:r>
      </w:hyperlink>
      <w:r w:rsidRPr="008F3942">
        <w:rPr>
          <w:lang w:val="en-US"/>
        </w:rPr>
        <w:t>.</w:t>
      </w:r>
      <w:r w:rsidR="005F6C50" w:rsidRPr="005F6C50">
        <w:rPr>
          <w:lang w:val="en-US"/>
        </w:rPr>
        <w:t xml:space="preserve"> </w:t>
      </w:r>
    </w:p>
  </w:footnote>
  <w:footnote w:id="128">
    <w:p w14:paraId="631E03D1" w14:textId="408E897C" w:rsidR="00841C25" w:rsidRPr="008F3942" w:rsidRDefault="00841C25" w:rsidP="00E0204C">
      <w:pPr>
        <w:pStyle w:val="ad"/>
        <w:rPr>
          <w:iCs/>
        </w:rPr>
      </w:pPr>
      <w:r w:rsidRPr="008F3942">
        <w:rPr>
          <w:lang w:val="en-US"/>
        </w:rPr>
        <w:tab/>
      </w:r>
      <w:r w:rsidRPr="00E0204C">
        <w:rPr>
          <w:rStyle w:val="aa"/>
        </w:rPr>
        <w:footnoteRef/>
      </w:r>
      <w:r>
        <w:tab/>
        <w:t xml:space="preserve">Включая расходы на аренду/ипотеку, страхование и налоги, бытовые услуги и эксплуатационные расходы, расходы на отопление и электроэнергию, а также на предметы домашней обстановки и оборудование. </w:t>
      </w:r>
      <w:r w:rsidRPr="008348B3">
        <w:rPr>
          <w:i/>
          <w:iCs/>
        </w:rPr>
        <w:t>Источник</w:t>
      </w:r>
      <w:r>
        <w:t xml:space="preserve">: Австралийское бюро статистики, </w:t>
      </w:r>
      <w:r w:rsidR="008348B3">
        <w:br/>
      </w:r>
      <w:r>
        <w:t xml:space="preserve">6530.0 </w:t>
      </w:r>
      <w:r w:rsidRPr="00B61330">
        <w:t>—</w:t>
      </w:r>
      <w:r>
        <w:t xml:space="preserve"> обследование расходов домохозяйств, 2017 год.</w:t>
      </w:r>
    </w:p>
  </w:footnote>
  <w:footnote w:id="129">
    <w:p w14:paraId="118561A3" w14:textId="410FD9F3" w:rsidR="00841C25" w:rsidRPr="00D62FAA" w:rsidRDefault="00841C25" w:rsidP="00E0204C">
      <w:pPr>
        <w:pStyle w:val="ad"/>
      </w:pPr>
      <w:r w:rsidRPr="00D62FAA">
        <w:tab/>
      </w:r>
      <w:r w:rsidRPr="00E0204C">
        <w:rPr>
          <w:rStyle w:val="aa"/>
        </w:rPr>
        <w:footnoteRef/>
      </w:r>
      <w:r>
        <w:tab/>
        <w:t xml:space="preserve">Включая алкогольные напитки, табачные изделия, одежду и обувь, связь, досуг, предметы личной гигиены и разные товары и услуги. </w:t>
      </w:r>
      <w:r w:rsidRPr="007C22DE">
        <w:rPr>
          <w:i/>
          <w:iCs/>
        </w:rPr>
        <w:t>Источник</w:t>
      </w:r>
      <w:r>
        <w:t xml:space="preserve">: Австралийское бюро статистики, </w:t>
      </w:r>
      <w:r w:rsidR="00E11789">
        <w:br/>
      </w:r>
      <w:r>
        <w:t xml:space="preserve">6530.0 </w:t>
      </w:r>
      <w:r w:rsidRPr="00B61330">
        <w:t>—</w:t>
      </w:r>
      <w:r>
        <w:t xml:space="preserve"> обследование расходов домохозяйств, 2017 год.</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2B215" w14:textId="7CE7FAF8" w:rsidR="00841C25" w:rsidRPr="00841C25" w:rsidRDefault="009E2401">
    <w:pPr>
      <w:pStyle w:val="a5"/>
    </w:pPr>
    <w:fldSimple w:instr=" TITLE  \* MERGEFORMAT ">
      <w:r w:rsidR="006F54D3">
        <w:t>HRI/CORE/AUS/2023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331FD" w14:textId="48E9D0E0" w:rsidR="00841C25" w:rsidRPr="00841C25" w:rsidRDefault="009E2401" w:rsidP="00841C25">
    <w:pPr>
      <w:pStyle w:val="a5"/>
      <w:jc w:val="right"/>
    </w:pPr>
    <w:fldSimple w:instr=" TITLE  \* MERGEFORMAT ">
      <w:r w:rsidR="006F54D3">
        <w:t>HRI/CORE/AUS/2023</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88CCD" w14:textId="19B17923" w:rsidR="00026474" w:rsidRPr="00026474" w:rsidRDefault="00026474" w:rsidP="00026474">
    <w:r>
      <w:rPr>
        <w:noProof/>
      </w:rPr>
      <mc:AlternateContent>
        <mc:Choice Requires="wps">
          <w:drawing>
            <wp:anchor distT="0" distB="0" distL="114300" distR="114300" simplePos="0" relativeHeight="251662336" behindDoc="0" locked="0" layoutInCell="1" allowOverlap="1" wp14:anchorId="4880E8FD" wp14:editId="061C8BF0">
              <wp:simplePos x="0" y="0"/>
              <wp:positionH relativeFrom="page">
                <wp:posOffset>9935845</wp:posOffset>
              </wp:positionH>
              <wp:positionV relativeFrom="margin">
                <wp:posOffset>0</wp:posOffset>
              </wp:positionV>
              <wp:extent cx="215900" cy="6120130"/>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0ED37995" w14:textId="60AB0505" w:rsidR="00026474" w:rsidRPr="00841C25" w:rsidRDefault="006F54D3" w:rsidP="00026474">
                          <w:pPr>
                            <w:pStyle w:val="a5"/>
                          </w:pPr>
                          <w:r>
                            <w:fldChar w:fldCharType="begin"/>
                          </w:r>
                          <w:r>
                            <w:instrText xml:space="preserve"> TITLE  \* MERGEFORMAT </w:instrText>
                          </w:r>
                          <w:r>
                            <w:fldChar w:fldCharType="separate"/>
                          </w:r>
                          <w:r>
                            <w:t>HRI/CORE/AUS/2023</w:t>
                          </w:r>
                          <w:r>
                            <w:fldChar w:fldCharType="end"/>
                          </w:r>
                        </w:p>
                        <w:p w14:paraId="1DDA8C6D" w14:textId="77777777" w:rsidR="00026474" w:rsidRDefault="000264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4880E8FD" id="_x0000_t202" coordsize="21600,21600" o:spt="202" path="m,l,21600r21600,l21600,xe">
              <v:stroke joinstyle="miter"/>
              <v:path gradientshapeok="t" o:connecttype="rect"/>
            </v:shapetype>
            <v:shape id="Надпись 13" o:spid="_x0000_s1026" type="#_x0000_t202" style="position:absolute;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0ED37995" w14:textId="60AB0505" w:rsidR="00026474" w:rsidRPr="00841C25" w:rsidRDefault="006F54D3" w:rsidP="00026474">
                    <w:pPr>
                      <w:pStyle w:val="a5"/>
                    </w:pPr>
                    <w:r>
                      <w:fldChar w:fldCharType="begin"/>
                    </w:r>
                    <w:r>
                      <w:instrText xml:space="preserve"> TITLE  \* MERGEFORMAT </w:instrText>
                    </w:r>
                    <w:r>
                      <w:fldChar w:fldCharType="separate"/>
                    </w:r>
                    <w:r>
                      <w:t>HRI/CORE/AUS/2023</w:t>
                    </w:r>
                    <w:r>
                      <w:fldChar w:fldCharType="end"/>
                    </w:r>
                  </w:p>
                  <w:p w14:paraId="1DDA8C6D" w14:textId="77777777" w:rsidR="00026474" w:rsidRDefault="0002647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492A6" w14:textId="75131696" w:rsidR="00026474" w:rsidRPr="00026474" w:rsidRDefault="00026474" w:rsidP="00026474">
    <w:r>
      <w:rPr>
        <w:noProof/>
      </w:rPr>
      <mc:AlternateContent>
        <mc:Choice Requires="wps">
          <w:drawing>
            <wp:anchor distT="0" distB="0" distL="114300" distR="114300" simplePos="0" relativeHeight="251660288" behindDoc="0" locked="0" layoutInCell="1" allowOverlap="1" wp14:anchorId="78567C37" wp14:editId="70207DF2">
              <wp:simplePos x="0" y="0"/>
              <wp:positionH relativeFrom="page">
                <wp:posOffset>9935845</wp:posOffset>
              </wp:positionH>
              <wp:positionV relativeFrom="margin">
                <wp:posOffset>0</wp:posOffset>
              </wp:positionV>
              <wp:extent cx="215900" cy="6120130"/>
              <wp:effectExtent l="0" t="0" r="0" b="0"/>
              <wp:wrapNone/>
              <wp:docPr id="8" name="Надпись 8"/>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0A35A964" w14:textId="5BC6B288" w:rsidR="00026474" w:rsidRPr="00841C25" w:rsidRDefault="006F54D3" w:rsidP="00026474">
                          <w:pPr>
                            <w:pStyle w:val="a5"/>
                            <w:jc w:val="right"/>
                          </w:pPr>
                          <w:r>
                            <w:fldChar w:fldCharType="begin"/>
                          </w:r>
                          <w:r>
                            <w:instrText xml:space="preserve"> TITLE  \* MERGEFORMAT </w:instrText>
                          </w:r>
                          <w:r>
                            <w:fldChar w:fldCharType="separate"/>
                          </w:r>
                          <w:r>
                            <w:t>HRI/CORE/AUS/2023</w:t>
                          </w:r>
                          <w:r>
                            <w:fldChar w:fldCharType="end"/>
                          </w:r>
                        </w:p>
                        <w:p w14:paraId="75230ACE" w14:textId="77777777" w:rsidR="00026474" w:rsidRDefault="0002647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8567C37" id="_x0000_t202" coordsize="21600,21600" o:spt="202" path="m,l,21600r21600,l21600,xe">
              <v:stroke joinstyle="miter"/>
              <v:path gradientshapeok="t" o:connecttype="rect"/>
            </v:shapetype>
            <v:shape id="Надпись 8" o:spid="_x0000_s1027" type="#_x0000_t202" style="position:absolute;margin-left:782.35pt;margin-top:0;width:17pt;height:481.9pt;z-index:25166028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0A35A964" w14:textId="5BC6B288" w:rsidR="00026474" w:rsidRPr="00841C25" w:rsidRDefault="006F54D3" w:rsidP="00026474">
                    <w:pPr>
                      <w:pStyle w:val="a5"/>
                      <w:jc w:val="right"/>
                    </w:pPr>
                    <w:r>
                      <w:fldChar w:fldCharType="begin"/>
                    </w:r>
                    <w:r>
                      <w:instrText xml:space="preserve"> TITLE  \* MERGEFORMAT </w:instrText>
                    </w:r>
                    <w:r>
                      <w:fldChar w:fldCharType="separate"/>
                    </w:r>
                    <w:r>
                      <w:t>HRI/CORE/AUS/2023</w:t>
                    </w:r>
                    <w:r>
                      <w:fldChar w:fldCharType="end"/>
                    </w:r>
                  </w:p>
                  <w:p w14:paraId="75230ACE" w14:textId="77777777" w:rsidR="00026474" w:rsidRDefault="00026474"/>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32AF1" w14:textId="6D515AA4" w:rsidR="00E0204C" w:rsidRPr="00E0204C" w:rsidRDefault="009E2401" w:rsidP="00E0204C">
    <w:pPr>
      <w:pStyle w:val="a5"/>
    </w:pPr>
    <w:fldSimple w:instr=" TITLE  \* MERGEFORMAT ">
      <w:r w:rsidR="006F54D3">
        <w:t>HRI/CORE/AUS/2023</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1269D" w14:textId="13FDD1F7" w:rsidR="00E0204C" w:rsidRPr="00E0204C" w:rsidRDefault="009E2401" w:rsidP="00E0204C">
    <w:pPr>
      <w:pStyle w:val="a5"/>
      <w:jc w:val="right"/>
    </w:pPr>
    <w:fldSimple w:instr=" TITLE  \* MERGEFORMAT ">
      <w:r w:rsidR="006F54D3">
        <w:t>HRI/CORE/AUS/2023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A15B4B"/>
    <w:multiLevelType w:val="hybridMultilevel"/>
    <w:tmpl w:val="818EAD90"/>
    <w:lvl w:ilvl="0" w:tplc="C128CF22">
      <w:start w:val="1"/>
      <w:numFmt w:val="decimal"/>
      <w:lvlText w:val="1.%1"/>
      <w:lvlJc w:val="left"/>
      <w:pPr>
        <w:tabs>
          <w:tab w:val="num" w:pos="-1440"/>
        </w:tabs>
        <w:ind w:left="720" w:hanging="720"/>
      </w:pPr>
      <w:rPr>
        <w:rFonts w:hint="default"/>
      </w:rPr>
    </w:lvl>
    <w:lvl w:ilvl="1" w:tplc="0BA8A7E8">
      <w:start w:val="1"/>
      <w:numFmt w:val="lowerLetter"/>
      <w:lvlText w:val="%2)"/>
      <w:lvlJc w:val="left"/>
      <w:pPr>
        <w:tabs>
          <w:tab w:val="num" w:pos="1980"/>
        </w:tabs>
        <w:ind w:left="1980" w:hanging="360"/>
      </w:pPr>
      <w:rPr>
        <w:rFonts w:ascii="Arial" w:eastAsia="Times New Roman" w:hAnsi="Arial" w:cs="Arial" w:hint="default"/>
      </w:r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186A51E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19BB445B"/>
    <w:multiLevelType w:val="hybridMultilevel"/>
    <w:tmpl w:val="63B6B996"/>
    <w:lvl w:ilvl="0" w:tplc="061C9C8E">
      <w:start w:val="1"/>
      <w:numFmt w:val="decimal"/>
      <w:lvlText w:val="%1."/>
      <w:lvlJc w:val="left"/>
      <w:pPr>
        <w:tabs>
          <w:tab w:val="num" w:pos="360"/>
        </w:tabs>
        <w:ind w:left="360" w:hanging="360"/>
      </w:pPr>
      <w:rPr>
        <w:rFonts w:hint="default"/>
        <w:b w:val="0"/>
        <w:i w:val="0"/>
        <w:color w:val="333333"/>
        <w:sz w:val="24"/>
        <w:szCs w:val="24"/>
      </w:rPr>
    </w:lvl>
    <w:lvl w:ilvl="1" w:tplc="0C090019">
      <w:start w:val="1"/>
      <w:numFmt w:val="lowerLetter"/>
      <w:lvlText w:val="%2."/>
      <w:lvlJc w:val="left"/>
      <w:pPr>
        <w:tabs>
          <w:tab w:val="num" w:pos="2700"/>
        </w:tabs>
        <w:ind w:left="2700" w:hanging="360"/>
      </w:pPr>
    </w:lvl>
    <w:lvl w:ilvl="2" w:tplc="0C09001B">
      <w:start w:val="1"/>
      <w:numFmt w:val="lowerRoman"/>
      <w:lvlText w:val="%3."/>
      <w:lvlJc w:val="right"/>
      <w:pPr>
        <w:tabs>
          <w:tab w:val="num" w:pos="3420"/>
        </w:tabs>
        <w:ind w:left="3420" w:hanging="180"/>
      </w:pPr>
    </w:lvl>
    <w:lvl w:ilvl="3" w:tplc="FE2A5490">
      <w:start w:val="1"/>
      <w:numFmt w:val="lowerLetter"/>
      <w:lvlText w:val="%4)"/>
      <w:lvlJc w:val="left"/>
      <w:pPr>
        <w:tabs>
          <w:tab w:val="num" w:pos="1440"/>
        </w:tabs>
        <w:ind w:left="1440" w:hanging="360"/>
      </w:pPr>
      <w:rPr>
        <w:rFonts w:hint="default"/>
        <w:sz w:val="24"/>
        <w:szCs w:val="24"/>
      </w:rPr>
    </w:lvl>
    <w:lvl w:ilvl="4" w:tplc="0C090003">
      <w:start w:val="1"/>
      <w:numFmt w:val="bullet"/>
      <w:lvlText w:val="o"/>
      <w:lvlJc w:val="left"/>
      <w:pPr>
        <w:tabs>
          <w:tab w:val="num" w:pos="4860"/>
        </w:tabs>
        <w:ind w:left="4860" w:hanging="360"/>
      </w:pPr>
      <w:rPr>
        <w:rFonts w:ascii="Courier New" w:hAnsi="Courier New" w:cs="Courier New" w:hint="default"/>
        <w:b w:val="0"/>
        <w:i w:val="0"/>
        <w:color w:val="333333"/>
        <w:sz w:val="24"/>
        <w:szCs w:val="24"/>
      </w:rPr>
    </w:lvl>
    <w:lvl w:ilvl="5" w:tplc="0C09001B" w:tentative="1">
      <w:start w:val="1"/>
      <w:numFmt w:val="lowerRoman"/>
      <w:lvlText w:val="%6."/>
      <w:lvlJc w:val="right"/>
      <w:pPr>
        <w:tabs>
          <w:tab w:val="num" w:pos="5580"/>
        </w:tabs>
        <w:ind w:left="5580" w:hanging="180"/>
      </w:pPr>
    </w:lvl>
    <w:lvl w:ilvl="6" w:tplc="0C09000F" w:tentative="1">
      <w:start w:val="1"/>
      <w:numFmt w:val="decimal"/>
      <w:lvlText w:val="%7."/>
      <w:lvlJc w:val="left"/>
      <w:pPr>
        <w:tabs>
          <w:tab w:val="num" w:pos="6300"/>
        </w:tabs>
        <w:ind w:left="6300" w:hanging="360"/>
      </w:pPr>
    </w:lvl>
    <w:lvl w:ilvl="7" w:tplc="0C090019" w:tentative="1">
      <w:start w:val="1"/>
      <w:numFmt w:val="lowerLetter"/>
      <w:lvlText w:val="%8."/>
      <w:lvlJc w:val="left"/>
      <w:pPr>
        <w:tabs>
          <w:tab w:val="num" w:pos="7020"/>
        </w:tabs>
        <w:ind w:left="7020" w:hanging="360"/>
      </w:pPr>
    </w:lvl>
    <w:lvl w:ilvl="8" w:tplc="0C09001B" w:tentative="1">
      <w:start w:val="1"/>
      <w:numFmt w:val="lowerRoman"/>
      <w:lvlText w:val="%9."/>
      <w:lvlJc w:val="right"/>
      <w:pPr>
        <w:tabs>
          <w:tab w:val="num" w:pos="7740"/>
        </w:tabs>
        <w:ind w:left="7740" w:hanging="180"/>
      </w:pPr>
    </w:lvl>
  </w:abstractNum>
  <w:abstractNum w:abstractNumId="19" w15:restartNumberingAfterBreak="0">
    <w:nsid w:val="1A3E6FA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871BCF"/>
    <w:multiLevelType w:val="hybridMultilevel"/>
    <w:tmpl w:val="F370D67E"/>
    <w:lvl w:ilvl="0" w:tplc="4908154A">
      <w:start w:val="1"/>
      <w:numFmt w:val="bullet"/>
      <w:lvlText w:val=""/>
      <w:lvlJc w:val="left"/>
      <w:pPr>
        <w:tabs>
          <w:tab w:val="num" w:pos="-31680"/>
        </w:tabs>
        <w:ind w:left="851"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B3F49C6"/>
    <w:multiLevelType w:val="singleLevel"/>
    <w:tmpl w:val="62BC65BC"/>
    <w:lvl w:ilvl="0">
      <w:start w:val="1"/>
      <w:numFmt w:val="lowerRoman"/>
      <w:lvlText w:val="%1)"/>
      <w:lvlJc w:val="right"/>
      <w:pPr>
        <w:tabs>
          <w:tab w:val="num" w:pos="2160"/>
        </w:tabs>
        <w:ind w:left="2160" w:hanging="516"/>
      </w:pPr>
    </w:lvl>
  </w:abstractNum>
  <w:abstractNum w:abstractNumId="24" w15:restartNumberingAfterBreak="0">
    <w:nsid w:val="2FAA5712"/>
    <w:multiLevelType w:val="hybridMultilevel"/>
    <w:tmpl w:val="AD0AFE8A"/>
    <w:lvl w:ilvl="0" w:tplc="FFFFFFFF">
      <w:start w:val="1"/>
      <w:numFmt w:val="decimal"/>
      <w:lvlText w:val="%1."/>
      <w:lvlJc w:val="left"/>
      <w:pPr>
        <w:ind w:left="1942" w:hanging="360"/>
      </w:pPr>
    </w:lvl>
    <w:lvl w:ilvl="1" w:tplc="3B64B33E">
      <w:start w:val="1"/>
      <w:numFmt w:val="bullet"/>
      <w:lvlText w:val="•"/>
      <w:lvlJc w:val="left"/>
      <w:pPr>
        <w:tabs>
          <w:tab w:val="num" w:pos="1701"/>
        </w:tabs>
        <w:ind w:left="1701" w:hanging="170"/>
      </w:pPr>
      <w:rPr>
        <w:rFonts w:ascii="Times New Roman" w:hAnsi="Times New Roman" w:cs="Times New Roman" w:hint="default"/>
      </w:rPr>
    </w:lvl>
    <w:lvl w:ilvl="2" w:tplc="FFFFFFFF" w:tentative="1">
      <w:start w:val="1"/>
      <w:numFmt w:val="lowerRoman"/>
      <w:lvlText w:val="%3."/>
      <w:lvlJc w:val="right"/>
      <w:pPr>
        <w:ind w:left="3382" w:hanging="180"/>
      </w:pPr>
    </w:lvl>
    <w:lvl w:ilvl="3" w:tplc="FFFFFFFF" w:tentative="1">
      <w:start w:val="1"/>
      <w:numFmt w:val="decimal"/>
      <w:lvlText w:val="%4."/>
      <w:lvlJc w:val="left"/>
      <w:pPr>
        <w:ind w:left="4102" w:hanging="360"/>
      </w:pPr>
    </w:lvl>
    <w:lvl w:ilvl="4" w:tplc="FFFFFFFF" w:tentative="1">
      <w:start w:val="1"/>
      <w:numFmt w:val="lowerLetter"/>
      <w:lvlText w:val="%5."/>
      <w:lvlJc w:val="left"/>
      <w:pPr>
        <w:ind w:left="4822" w:hanging="360"/>
      </w:pPr>
    </w:lvl>
    <w:lvl w:ilvl="5" w:tplc="FFFFFFFF" w:tentative="1">
      <w:start w:val="1"/>
      <w:numFmt w:val="lowerRoman"/>
      <w:lvlText w:val="%6."/>
      <w:lvlJc w:val="right"/>
      <w:pPr>
        <w:ind w:left="5542" w:hanging="180"/>
      </w:pPr>
    </w:lvl>
    <w:lvl w:ilvl="6" w:tplc="FFFFFFFF" w:tentative="1">
      <w:start w:val="1"/>
      <w:numFmt w:val="decimal"/>
      <w:lvlText w:val="%7."/>
      <w:lvlJc w:val="left"/>
      <w:pPr>
        <w:ind w:left="6262" w:hanging="360"/>
      </w:pPr>
    </w:lvl>
    <w:lvl w:ilvl="7" w:tplc="FFFFFFFF" w:tentative="1">
      <w:start w:val="1"/>
      <w:numFmt w:val="lowerLetter"/>
      <w:lvlText w:val="%8."/>
      <w:lvlJc w:val="left"/>
      <w:pPr>
        <w:ind w:left="6982" w:hanging="360"/>
      </w:pPr>
    </w:lvl>
    <w:lvl w:ilvl="8" w:tplc="FFFFFFFF" w:tentative="1">
      <w:start w:val="1"/>
      <w:numFmt w:val="lowerRoman"/>
      <w:lvlText w:val="%9."/>
      <w:lvlJc w:val="right"/>
      <w:pPr>
        <w:ind w:left="7702" w:hanging="180"/>
      </w:pPr>
    </w:lvl>
  </w:abstractNum>
  <w:abstractNum w:abstractNumId="25"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472FCE"/>
    <w:multiLevelType w:val="hybridMultilevel"/>
    <w:tmpl w:val="7AC6A0CC"/>
    <w:lvl w:ilvl="0" w:tplc="E230D148">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ACF4EB2"/>
    <w:multiLevelType w:val="hybridMultilevel"/>
    <w:tmpl w:val="0D4802F0"/>
    <w:lvl w:ilvl="0" w:tplc="78607ACC">
      <w:start w:val="1"/>
      <w:numFmt w:val="bullet"/>
      <w:lvlText w:val="•"/>
      <w:lvlJc w:val="left"/>
      <w:pPr>
        <w:tabs>
          <w:tab w:val="num" w:pos="2268"/>
        </w:tabs>
        <w:ind w:left="2268" w:hanging="170"/>
      </w:pPr>
      <w:rPr>
        <w:rFonts w:ascii="Times New Roman" w:hAnsi="Times New Roman" w:cs="Times New Roman" w:hint="default"/>
      </w:rPr>
    </w:lvl>
    <w:lvl w:ilvl="1" w:tplc="7B5AC6F2">
      <w:numFmt w:val="bullet"/>
      <w:lvlText w:val=""/>
      <w:lvlJc w:val="left"/>
      <w:pPr>
        <w:ind w:left="3708" w:hanging="360"/>
      </w:pPr>
      <w:rPr>
        <w:rFonts w:ascii="Symbol" w:eastAsia="Times New Roman" w:hAnsi="Symbol" w:cs="Times New Roman"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CB061AB"/>
    <w:multiLevelType w:val="singleLevel"/>
    <w:tmpl w:val="36CA50DC"/>
    <w:lvl w:ilvl="0">
      <w:start w:val="1"/>
      <w:numFmt w:val="decimal"/>
      <w:lvlText w:val="%1."/>
      <w:lvlJc w:val="left"/>
      <w:pPr>
        <w:tabs>
          <w:tab w:val="num" w:pos="360"/>
        </w:tabs>
        <w:ind w:left="-1" w:firstLine="1"/>
      </w:pPr>
      <w:rPr>
        <w:rFonts w:hint="default"/>
      </w:rPr>
    </w:lvl>
  </w:abstractNum>
  <w:abstractNum w:abstractNumId="32"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E7C37E0"/>
    <w:multiLevelType w:val="hybridMultilevel"/>
    <w:tmpl w:val="9ED26E4E"/>
    <w:lvl w:ilvl="0" w:tplc="29A033A2">
      <w:start w:val="1"/>
      <w:numFmt w:val="decimal"/>
      <w:lvlText w:val="%1."/>
      <w:lvlJc w:val="left"/>
      <w:pPr>
        <w:ind w:left="1920" w:hanging="360"/>
      </w:pPr>
      <w:rPr>
        <w:rFonts w:ascii="Times New Roman" w:hAnsi="Times New Roman" w:hint="default"/>
        <w:b w:val="0"/>
        <w:i w:val="0"/>
        <w:caps w:val="0"/>
        <w:strike w:val="0"/>
        <w:dstrike w:val="0"/>
        <w:vanish w:val="0"/>
        <w:sz w:val="20"/>
        <w:szCs w:val="20"/>
        <w:u w:val="none"/>
        <w:vertAlign w:val="baseline"/>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097792D"/>
    <w:multiLevelType w:val="hybridMultilevel"/>
    <w:tmpl w:val="C772E11A"/>
    <w:lvl w:ilvl="0" w:tplc="37F665DC">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6"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CF349BD"/>
    <w:multiLevelType w:val="singleLevel"/>
    <w:tmpl w:val="6026F4D0"/>
    <w:lvl w:ilvl="0">
      <w:start w:val="1"/>
      <w:numFmt w:val="lowerRoman"/>
      <w:lvlText w:val="%1)"/>
      <w:lvlJc w:val="right"/>
      <w:pPr>
        <w:tabs>
          <w:tab w:val="num" w:pos="1440"/>
        </w:tabs>
        <w:ind w:left="1440" w:hanging="589"/>
      </w:pPr>
      <w:rPr>
        <w:rFonts w:hint="default"/>
      </w:rPr>
    </w:lvl>
  </w:abstractNum>
  <w:num w:numId="1" w16cid:durableId="860778171">
    <w:abstractNumId w:val="40"/>
  </w:num>
  <w:num w:numId="2" w16cid:durableId="621304930">
    <w:abstractNumId w:val="28"/>
  </w:num>
  <w:num w:numId="3" w16cid:durableId="1029912130">
    <w:abstractNumId w:val="16"/>
  </w:num>
  <w:num w:numId="4" w16cid:durableId="1368796948">
    <w:abstractNumId w:val="22"/>
  </w:num>
  <w:num w:numId="5" w16cid:durableId="1554384505">
    <w:abstractNumId w:val="11"/>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39"/>
  </w:num>
  <w:num w:numId="17" w16cid:durableId="1585995679">
    <w:abstractNumId w:val="33"/>
  </w:num>
  <w:num w:numId="18" w16cid:durableId="371081408">
    <w:abstractNumId w:val="36"/>
  </w:num>
  <w:num w:numId="19" w16cid:durableId="1709186490">
    <w:abstractNumId w:val="39"/>
  </w:num>
  <w:num w:numId="20" w16cid:durableId="631594844">
    <w:abstractNumId w:val="33"/>
  </w:num>
  <w:num w:numId="21" w16cid:durableId="1159886099">
    <w:abstractNumId w:val="36"/>
  </w:num>
  <w:num w:numId="22" w16cid:durableId="1213882533">
    <w:abstractNumId w:val="27"/>
  </w:num>
  <w:num w:numId="23" w16cid:durableId="1572350371">
    <w:abstractNumId w:val="20"/>
  </w:num>
  <w:num w:numId="24" w16cid:durableId="395322243">
    <w:abstractNumId w:val="10"/>
  </w:num>
  <w:num w:numId="25" w16cid:durableId="535317033">
    <w:abstractNumId w:val="37"/>
  </w:num>
  <w:num w:numId="26" w16cid:durableId="1433088498">
    <w:abstractNumId w:val="38"/>
  </w:num>
  <w:num w:numId="27" w16cid:durableId="993026332">
    <w:abstractNumId w:val="41"/>
  </w:num>
  <w:num w:numId="28" w16cid:durableId="1276060954">
    <w:abstractNumId w:val="15"/>
  </w:num>
  <w:num w:numId="29" w16cid:durableId="2123644858">
    <w:abstractNumId w:val="14"/>
  </w:num>
  <w:num w:numId="30" w16cid:durableId="1927153379">
    <w:abstractNumId w:val="32"/>
  </w:num>
  <w:num w:numId="31" w16cid:durableId="1410807276">
    <w:abstractNumId w:val="30"/>
  </w:num>
  <w:num w:numId="32" w16cid:durableId="1368334032">
    <w:abstractNumId w:val="19"/>
  </w:num>
  <w:num w:numId="33" w16cid:durableId="1146898248">
    <w:abstractNumId w:val="17"/>
  </w:num>
  <w:num w:numId="34" w16cid:durableId="1568958790">
    <w:abstractNumId w:val="29"/>
  </w:num>
  <w:num w:numId="35" w16cid:durableId="33700712">
    <w:abstractNumId w:val="12"/>
  </w:num>
  <w:num w:numId="36" w16cid:durableId="1064257808">
    <w:abstractNumId w:val="42"/>
  </w:num>
  <w:num w:numId="37" w16cid:durableId="626084735">
    <w:abstractNumId w:val="23"/>
  </w:num>
  <w:num w:numId="38" w16cid:durableId="2138185598">
    <w:abstractNumId w:val="31"/>
  </w:num>
  <w:num w:numId="39" w16cid:durableId="1303998809">
    <w:abstractNumId w:val="21"/>
  </w:num>
  <w:num w:numId="40" w16cid:durableId="872380795">
    <w:abstractNumId w:val="25"/>
  </w:num>
  <w:num w:numId="41" w16cid:durableId="687948398">
    <w:abstractNumId w:val="18"/>
  </w:num>
  <w:num w:numId="42" w16cid:durableId="756485425">
    <w:abstractNumId w:val="26"/>
  </w:num>
  <w:num w:numId="43" w16cid:durableId="1082288755">
    <w:abstractNumId w:val="13"/>
  </w:num>
  <w:num w:numId="44" w16cid:durableId="319045667">
    <w:abstractNumId w:val="34"/>
  </w:num>
  <w:num w:numId="45" w16cid:durableId="7471404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11022722">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81D"/>
    <w:rsid w:val="00026474"/>
    <w:rsid w:val="00033EE1"/>
    <w:rsid w:val="000340C2"/>
    <w:rsid w:val="00041905"/>
    <w:rsid w:val="00042B72"/>
    <w:rsid w:val="0005105F"/>
    <w:rsid w:val="000558BD"/>
    <w:rsid w:val="00064F52"/>
    <w:rsid w:val="00081D9E"/>
    <w:rsid w:val="000B57E7"/>
    <w:rsid w:val="000B6373"/>
    <w:rsid w:val="000C491C"/>
    <w:rsid w:val="000F09DF"/>
    <w:rsid w:val="000F61B2"/>
    <w:rsid w:val="001075E9"/>
    <w:rsid w:val="00180183"/>
    <w:rsid w:val="0018024D"/>
    <w:rsid w:val="00181061"/>
    <w:rsid w:val="0018649F"/>
    <w:rsid w:val="00194938"/>
    <w:rsid w:val="00196389"/>
    <w:rsid w:val="001B3EF6"/>
    <w:rsid w:val="001C7A89"/>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402C2"/>
    <w:rsid w:val="00373BCE"/>
    <w:rsid w:val="00381C24"/>
    <w:rsid w:val="003958D0"/>
    <w:rsid w:val="003A3D90"/>
    <w:rsid w:val="003B00E5"/>
    <w:rsid w:val="003B51C9"/>
    <w:rsid w:val="003D78B6"/>
    <w:rsid w:val="00407B78"/>
    <w:rsid w:val="00424203"/>
    <w:rsid w:val="00452493"/>
    <w:rsid w:val="00454E07"/>
    <w:rsid w:val="00466706"/>
    <w:rsid w:val="00471B10"/>
    <w:rsid w:val="00472C5C"/>
    <w:rsid w:val="004D541E"/>
    <w:rsid w:val="004F59E4"/>
    <w:rsid w:val="0050108D"/>
    <w:rsid w:val="00513081"/>
    <w:rsid w:val="00517901"/>
    <w:rsid w:val="00526683"/>
    <w:rsid w:val="00565172"/>
    <w:rsid w:val="005709E0"/>
    <w:rsid w:val="00572E19"/>
    <w:rsid w:val="005961C8"/>
    <w:rsid w:val="005C3FD3"/>
    <w:rsid w:val="005D6745"/>
    <w:rsid w:val="005D7914"/>
    <w:rsid w:val="005E2B41"/>
    <w:rsid w:val="005F0B42"/>
    <w:rsid w:val="005F6C50"/>
    <w:rsid w:val="00647E5B"/>
    <w:rsid w:val="00654C9D"/>
    <w:rsid w:val="00681A10"/>
    <w:rsid w:val="0069781D"/>
    <w:rsid w:val="006A1ED8"/>
    <w:rsid w:val="006C2031"/>
    <w:rsid w:val="006D461A"/>
    <w:rsid w:val="006F35EE"/>
    <w:rsid w:val="006F54D3"/>
    <w:rsid w:val="007021FF"/>
    <w:rsid w:val="00712895"/>
    <w:rsid w:val="00757357"/>
    <w:rsid w:val="007A79E2"/>
    <w:rsid w:val="007B5263"/>
    <w:rsid w:val="007C22DE"/>
    <w:rsid w:val="00806558"/>
    <w:rsid w:val="00825F8D"/>
    <w:rsid w:val="00830E31"/>
    <w:rsid w:val="008348B3"/>
    <w:rsid w:val="00834B71"/>
    <w:rsid w:val="00841C25"/>
    <w:rsid w:val="0086445C"/>
    <w:rsid w:val="00894693"/>
    <w:rsid w:val="008A08D7"/>
    <w:rsid w:val="008A4001"/>
    <w:rsid w:val="008B6909"/>
    <w:rsid w:val="00906890"/>
    <w:rsid w:val="00911BE4"/>
    <w:rsid w:val="00943923"/>
    <w:rsid w:val="00946182"/>
    <w:rsid w:val="00951972"/>
    <w:rsid w:val="009608F3"/>
    <w:rsid w:val="009729BC"/>
    <w:rsid w:val="0097373E"/>
    <w:rsid w:val="009A24AC"/>
    <w:rsid w:val="009E2401"/>
    <w:rsid w:val="00A0321E"/>
    <w:rsid w:val="00A13ABC"/>
    <w:rsid w:val="00A272FF"/>
    <w:rsid w:val="00A312BC"/>
    <w:rsid w:val="00A4109C"/>
    <w:rsid w:val="00A658A6"/>
    <w:rsid w:val="00A84021"/>
    <w:rsid w:val="00A84D35"/>
    <w:rsid w:val="00A917B3"/>
    <w:rsid w:val="00AB2541"/>
    <w:rsid w:val="00AB4B51"/>
    <w:rsid w:val="00AD5305"/>
    <w:rsid w:val="00B10CC7"/>
    <w:rsid w:val="00B539E7"/>
    <w:rsid w:val="00B62458"/>
    <w:rsid w:val="00BC18B2"/>
    <w:rsid w:val="00BD33EE"/>
    <w:rsid w:val="00C106D6"/>
    <w:rsid w:val="00C60F0C"/>
    <w:rsid w:val="00C65C5C"/>
    <w:rsid w:val="00C77D3E"/>
    <w:rsid w:val="00C805C9"/>
    <w:rsid w:val="00C92939"/>
    <w:rsid w:val="00CA1679"/>
    <w:rsid w:val="00CB151C"/>
    <w:rsid w:val="00CE1BD8"/>
    <w:rsid w:val="00CE5A1A"/>
    <w:rsid w:val="00CE6069"/>
    <w:rsid w:val="00CF55F6"/>
    <w:rsid w:val="00D33D63"/>
    <w:rsid w:val="00D51E97"/>
    <w:rsid w:val="00D90028"/>
    <w:rsid w:val="00D90138"/>
    <w:rsid w:val="00DA62B9"/>
    <w:rsid w:val="00DC7155"/>
    <w:rsid w:val="00DF71B9"/>
    <w:rsid w:val="00E0204C"/>
    <w:rsid w:val="00E11789"/>
    <w:rsid w:val="00E22999"/>
    <w:rsid w:val="00E3402E"/>
    <w:rsid w:val="00E60A05"/>
    <w:rsid w:val="00E73F76"/>
    <w:rsid w:val="00EA2C9F"/>
    <w:rsid w:val="00ED0BDA"/>
    <w:rsid w:val="00ED4505"/>
    <w:rsid w:val="00EF1360"/>
    <w:rsid w:val="00EF3220"/>
    <w:rsid w:val="00F8178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DFF0E"/>
  <w15:docId w15:val="{51884674-0586-44F5-8CCE-3EF24102B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qFormat/>
    <w:rsid w:val="00CE6069"/>
    <w:pPr>
      <w:keepNext/>
      <w:outlineLvl w:val="1"/>
    </w:pPr>
    <w:rPr>
      <w:rFonts w:cs="Arial"/>
      <w:bCs/>
      <w:iCs/>
      <w:szCs w:val="28"/>
    </w:rPr>
  </w:style>
  <w:style w:type="paragraph" w:styleId="3">
    <w:name w:val="heading 3"/>
    <w:basedOn w:val="a"/>
    <w:next w:val="a"/>
    <w:link w:val="30"/>
    <w:qFormat/>
    <w:rsid w:val="00CE6069"/>
    <w:pPr>
      <w:keepNext/>
      <w:spacing w:before="240" w:after="60"/>
      <w:outlineLvl w:val="2"/>
    </w:pPr>
    <w:rPr>
      <w:rFonts w:ascii="Arial" w:hAnsi="Arial" w:cs="Arial"/>
      <w:b/>
      <w:bCs/>
      <w:sz w:val="26"/>
      <w:szCs w:val="26"/>
    </w:rPr>
  </w:style>
  <w:style w:type="paragraph" w:styleId="4">
    <w:name w:val="heading 4"/>
    <w:basedOn w:val="a"/>
    <w:next w:val="a"/>
    <w:link w:val="40"/>
    <w:qFormat/>
    <w:rsid w:val="00CE6069"/>
    <w:pPr>
      <w:keepNext/>
      <w:spacing w:before="240" w:after="60"/>
      <w:outlineLvl w:val="3"/>
    </w:pPr>
    <w:rPr>
      <w:b/>
      <w:bCs/>
      <w:sz w:val="28"/>
      <w:szCs w:val="28"/>
    </w:rPr>
  </w:style>
  <w:style w:type="paragraph" w:styleId="5">
    <w:name w:val="heading 5"/>
    <w:basedOn w:val="a"/>
    <w:next w:val="a"/>
    <w:link w:val="50"/>
    <w:qFormat/>
    <w:rsid w:val="00CE6069"/>
    <w:pPr>
      <w:spacing w:before="240" w:after="60"/>
      <w:outlineLvl w:val="4"/>
    </w:pPr>
    <w:rPr>
      <w:b/>
      <w:bCs/>
      <w:i/>
      <w:iCs/>
      <w:sz w:val="26"/>
      <w:szCs w:val="26"/>
    </w:rPr>
  </w:style>
  <w:style w:type="paragraph" w:styleId="6">
    <w:name w:val="heading 6"/>
    <w:basedOn w:val="a"/>
    <w:next w:val="a"/>
    <w:link w:val="60"/>
    <w:qFormat/>
    <w:rsid w:val="00CE6069"/>
    <w:pPr>
      <w:spacing w:before="240" w:after="60"/>
      <w:outlineLvl w:val="5"/>
    </w:pPr>
    <w:rPr>
      <w:b/>
      <w:bCs/>
      <w:sz w:val="22"/>
    </w:rPr>
  </w:style>
  <w:style w:type="paragraph" w:styleId="7">
    <w:name w:val="heading 7"/>
    <w:basedOn w:val="a"/>
    <w:next w:val="a"/>
    <w:link w:val="70"/>
    <w:qFormat/>
    <w:rsid w:val="00CE6069"/>
    <w:pPr>
      <w:spacing w:before="240" w:after="60"/>
      <w:outlineLvl w:val="6"/>
    </w:pPr>
    <w:rPr>
      <w:sz w:val="24"/>
      <w:szCs w:val="24"/>
    </w:rPr>
  </w:style>
  <w:style w:type="paragraph" w:styleId="8">
    <w:name w:val="heading 8"/>
    <w:basedOn w:val="a"/>
    <w:next w:val="a"/>
    <w:link w:val="80"/>
    <w:qFormat/>
    <w:rsid w:val="00CE6069"/>
    <w:pPr>
      <w:spacing w:before="240" w:after="60"/>
      <w:outlineLvl w:val="7"/>
    </w:pPr>
    <w:rPr>
      <w:i/>
      <w:iCs/>
      <w:sz w:val="24"/>
      <w:szCs w:val="24"/>
    </w:rPr>
  </w:style>
  <w:style w:type="paragraph" w:styleId="9">
    <w:name w:val="heading 9"/>
    <w:basedOn w:val="a"/>
    <w:next w:val="a"/>
    <w:link w:val="90"/>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rsid w:val="00946182"/>
    <w:rPr>
      <w:rFonts w:cs="Arial"/>
      <w:b/>
      <w:bCs/>
      <w:szCs w:val="32"/>
      <w:lang w:val="ru-RU" w:eastAsia="ru-RU"/>
    </w:rPr>
  </w:style>
  <w:style w:type="character" w:styleId="af1">
    <w:name w:val="Hyperlink"/>
    <w:basedOn w:val="a0"/>
    <w:uiPriority w:val="99"/>
    <w:rsid w:val="00946182"/>
    <w:rPr>
      <w:color w:val="0000FF"/>
      <w:u w:val="none"/>
    </w:rPr>
  </w:style>
  <w:style w:type="character" w:styleId="af2">
    <w:name w:val="FollowedHyperlink"/>
    <w:basedOn w:val="a0"/>
    <w:rsid w:val="00946182"/>
    <w:rPr>
      <w:color w:val="0000FF"/>
      <w:u w:val="none"/>
    </w:rPr>
  </w:style>
  <w:style w:type="numbering" w:styleId="111111">
    <w:name w:val="Outline List 2"/>
    <w:basedOn w:val="a2"/>
    <w:semiHidden/>
    <w:rsid w:val="00841C25"/>
    <w:pPr>
      <w:numPr>
        <w:numId w:val="26"/>
      </w:numPr>
    </w:pPr>
  </w:style>
  <w:style w:type="numbering" w:styleId="1ai">
    <w:name w:val="Outline List 1"/>
    <w:basedOn w:val="a2"/>
    <w:semiHidden/>
    <w:rsid w:val="00841C25"/>
    <w:pPr>
      <w:numPr>
        <w:numId w:val="27"/>
      </w:numPr>
    </w:pPr>
  </w:style>
  <w:style w:type="character" w:customStyle="1" w:styleId="20">
    <w:name w:val="Заголовок 2 Знак"/>
    <w:basedOn w:val="a0"/>
    <w:link w:val="2"/>
    <w:rsid w:val="00841C25"/>
    <w:rPr>
      <w:rFonts w:eastAsiaTheme="minorHAnsi" w:cs="Arial"/>
      <w:bCs/>
      <w:iCs/>
      <w:szCs w:val="28"/>
      <w:lang w:val="ru-RU" w:eastAsia="en-US"/>
    </w:rPr>
  </w:style>
  <w:style w:type="character" w:customStyle="1" w:styleId="30">
    <w:name w:val="Заголовок 3 Знак"/>
    <w:basedOn w:val="a0"/>
    <w:link w:val="3"/>
    <w:rsid w:val="00841C25"/>
    <w:rPr>
      <w:rFonts w:ascii="Arial" w:eastAsiaTheme="minorHAnsi" w:hAnsi="Arial" w:cs="Arial"/>
      <w:b/>
      <w:bCs/>
      <w:sz w:val="26"/>
      <w:szCs w:val="26"/>
      <w:lang w:val="ru-RU" w:eastAsia="en-US"/>
    </w:rPr>
  </w:style>
  <w:style w:type="character" w:customStyle="1" w:styleId="40">
    <w:name w:val="Заголовок 4 Знак"/>
    <w:basedOn w:val="a0"/>
    <w:link w:val="4"/>
    <w:rsid w:val="00841C25"/>
    <w:rPr>
      <w:rFonts w:eastAsiaTheme="minorHAnsi" w:cstheme="minorBidi"/>
      <w:b/>
      <w:bCs/>
      <w:sz w:val="28"/>
      <w:szCs w:val="28"/>
      <w:lang w:val="ru-RU" w:eastAsia="en-US"/>
    </w:rPr>
  </w:style>
  <w:style w:type="character" w:customStyle="1" w:styleId="50">
    <w:name w:val="Заголовок 5 Знак"/>
    <w:basedOn w:val="a0"/>
    <w:link w:val="5"/>
    <w:rsid w:val="00841C25"/>
    <w:rPr>
      <w:rFonts w:eastAsiaTheme="minorHAnsi" w:cstheme="minorBidi"/>
      <w:b/>
      <w:bCs/>
      <w:i/>
      <w:iCs/>
      <w:sz w:val="26"/>
      <w:szCs w:val="26"/>
      <w:lang w:val="ru-RU" w:eastAsia="en-US"/>
    </w:rPr>
  </w:style>
  <w:style w:type="character" w:customStyle="1" w:styleId="60">
    <w:name w:val="Заголовок 6 Знак"/>
    <w:basedOn w:val="a0"/>
    <w:link w:val="6"/>
    <w:rsid w:val="00841C25"/>
    <w:rPr>
      <w:rFonts w:eastAsiaTheme="minorHAnsi" w:cstheme="minorBidi"/>
      <w:b/>
      <w:bCs/>
      <w:sz w:val="22"/>
      <w:szCs w:val="22"/>
      <w:lang w:val="ru-RU" w:eastAsia="en-US"/>
    </w:rPr>
  </w:style>
  <w:style w:type="character" w:customStyle="1" w:styleId="70">
    <w:name w:val="Заголовок 7 Знак"/>
    <w:basedOn w:val="a0"/>
    <w:link w:val="7"/>
    <w:rsid w:val="00841C25"/>
    <w:rPr>
      <w:rFonts w:eastAsiaTheme="minorHAnsi" w:cstheme="minorBidi"/>
      <w:sz w:val="24"/>
      <w:szCs w:val="24"/>
      <w:lang w:val="ru-RU" w:eastAsia="en-US"/>
    </w:rPr>
  </w:style>
  <w:style w:type="character" w:customStyle="1" w:styleId="80">
    <w:name w:val="Заголовок 8 Знак"/>
    <w:basedOn w:val="a0"/>
    <w:link w:val="8"/>
    <w:rsid w:val="00841C25"/>
    <w:rPr>
      <w:rFonts w:eastAsiaTheme="minorHAnsi" w:cstheme="minorBidi"/>
      <w:i/>
      <w:iCs/>
      <w:sz w:val="24"/>
      <w:szCs w:val="24"/>
      <w:lang w:val="ru-RU" w:eastAsia="en-US"/>
    </w:rPr>
  </w:style>
  <w:style w:type="character" w:customStyle="1" w:styleId="90">
    <w:name w:val="Заголовок 9 Знак"/>
    <w:basedOn w:val="a0"/>
    <w:link w:val="9"/>
    <w:rsid w:val="00841C25"/>
    <w:rPr>
      <w:rFonts w:ascii="Arial" w:eastAsiaTheme="minorHAnsi" w:hAnsi="Arial" w:cs="Arial"/>
      <w:sz w:val="22"/>
      <w:szCs w:val="22"/>
      <w:lang w:val="ru-RU" w:eastAsia="en-US"/>
    </w:rPr>
  </w:style>
  <w:style w:type="character" w:styleId="af3">
    <w:name w:val="Book Title"/>
    <w:basedOn w:val="a0"/>
    <w:uiPriority w:val="33"/>
    <w:rsid w:val="00841C25"/>
    <w:rPr>
      <w:b/>
      <w:bCs/>
      <w:smallCaps/>
      <w:spacing w:val="5"/>
    </w:rPr>
  </w:style>
  <w:style w:type="paragraph" w:styleId="af4">
    <w:name w:val="Revision"/>
    <w:hidden/>
    <w:uiPriority w:val="99"/>
    <w:semiHidden/>
    <w:rsid w:val="00841C25"/>
    <w:rPr>
      <w:sz w:val="24"/>
      <w:lang w:val="en-GB" w:eastAsia="en-US"/>
    </w:rPr>
  </w:style>
  <w:style w:type="character" w:styleId="af5">
    <w:name w:val="annotation reference"/>
    <w:basedOn w:val="a0"/>
    <w:uiPriority w:val="99"/>
    <w:semiHidden/>
    <w:unhideWhenUsed/>
    <w:rsid w:val="00841C25"/>
    <w:rPr>
      <w:sz w:val="16"/>
      <w:szCs w:val="16"/>
    </w:rPr>
  </w:style>
  <w:style w:type="paragraph" w:styleId="af6">
    <w:name w:val="annotation text"/>
    <w:basedOn w:val="a"/>
    <w:link w:val="af7"/>
    <w:uiPriority w:val="99"/>
    <w:unhideWhenUsed/>
    <w:rsid w:val="00841C25"/>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rsid w:val="00841C25"/>
    <w:rPr>
      <w:lang w:val="en-GB" w:eastAsia="en-US"/>
    </w:rPr>
  </w:style>
  <w:style w:type="paragraph" w:styleId="af8">
    <w:name w:val="annotation subject"/>
    <w:basedOn w:val="af6"/>
    <w:next w:val="af6"/>
    <w:link w:val="af9"/>
    <w:uiPriority w:val="99"/>
    <w:semiHidden/>
    <w:unhideWhenUsed/>
    <w:rsid w:val="00841C25"/>
    <w:rPr>
      <w:b/>
      <w:bCs/>
    </w:rPr>
  </w:style>
  <w:style w:type="character" w:customStyle="1" w:styleId="af9">
    <w:name w:val="Тема примечания Знак"/>
    <w:basedOn w:val="af7"/>
    <w:link w:val="af8"/>
    <w:uiPriority w:val="99"/>
    <w:semiHidden/>
    <w:rsid w:val="00841C25"/>
    <w:rPr>
      <w:b/>
      <w:bCs/>
      <w:lang w:val="en-GB" w:eastAsia="en-US"/>
    </w:rPr>
  </w:style>
  <w:style w:type="paragraph" w:styleId="11">
    <w:name w:val="toc 1"/>
    <w:basedOn w:val="a"/>
    <w:next w:val="a"/>
    <w:autoRedefine/>
    <w:uiPriority w:val="39"/>
    <w:unhideWhenUsed/>
    <w:rsid w:val="00841C25"/>
    <w:pPr>
      <w:spacing w:after="100"/>
    </w:pPr>
    <w:rPr>
      <w:rFonts w:eastAsia="Times New Roman" w:cs="Times New Roman"/>
      <w:szCs w:val="20"/>
      <w:lang w:val="en-GB"/>
    </w:rPr>
  </w:style>
  <w:style w:type="paragraph" w:styleId="21">
    <w:name w:val="toc 2"/>
    <w:basedOn w:val="a"/>
    <w:next w:val="a"/>
    <w:autoRedefine/>
    <w:uiPriority w:val="39"/>
    <w:unhideWhenUsed/>
    <w:rsid w:val="00841C25"/>
    <w:pPr>
      <w:spacing w:after="100"/>
      <w:ind w:left="200"/>
    </w:pPr>
    <w:rPr>
      <w:rFonts w:eastAsia="Times New Roman" w:cs="Times New Roman"/>
      <w:szCs w:val="20"/>
      <w:lang w:val="en-GB"/>
    </w:rPr>
  </w:style>
  <w:style w:type="paragraph" w:styleId="afa">
    <w:name w:val="List Paragraph"/>
    <w:basedOn w:val="a"/>
    <w:uiPriority w:val="34"/>
    <w:rsid w:val="00841C25"/>
    <w:pPr>
      <w:ind w:left="720"/>
      <w:contextualSpacing/>
    </w:pPr>
  </w:style>
  <w:style w:type="character" w:styleId="afb">
    <w:name w:val="Unresolved Mention"/>
    <w:basedOn w:val="a0"/>
    <w:uiPriority w:val="99"/>
    <w:semiHidden/>
    <w:unhideWhenUsed/>
    <w:rsid w:val="00E02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png"/><Relationship Id="rId18" Type="http://schemas.openxmlformats.org/officeDocument/2006/relationships/image" Target="media/image7.emf"/><Relationship Id="rId26" Type="http://schemas.openxmlformats.org/officeDocument/2006/relationships/hyperlink" Target="http://www.oaic.gov.au" TargetMode="External"/><Relationship Id="rId39"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www.dfat.gov.au/development/who-we-work-with/ngos/non-government-organisations-effective-development-partners-statement" TargetMode="External"/><Relationship Id="rId34" Type="http://schemas.openxmlformats.org/officeDocument/2006/relationships/footer" Target="footer3.xml"/><Relationship Id="rId42"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abs.gov.au/AUSSTATS/abs@.nsf/mf/1345.0" TargetMode="External"/><Relationship Id="rId17" Type="http://schemas.openxmlformats.org/officeDocument/2006/relationships/image" Target="media/image6.emf"/><Relationship Id="rId25" Type="http://schemas.openxmlformats.org/officeDocument/2006/relationships/hyperlink" Target="http://www.ombudsman.gov.au" TargetMode="External"/><Relationship Id="rId33" Type="http://schemas.openxmlformats.org/officeDocument/2006/relationships/footer" Target="footer2.xml"/><Relationship Id="rId38" Type="http://schemas.openxmlformats.org/officeDocument/2006/relationships/footer" Target="footer5.xm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8.png"/><Relationship Id="rId29" Type="http://schemas.openxmlformats.org/officeDocument/2006/relationships/hyperlink" Target="https://www.dfat.gov.au/development/australias-development-program"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fat.gov.au/about-australia/Pages/about-australia" TargetMode="External"/><Relationship Id="rId24" Type="http://schemas.openxmlformats.org/officeDocument/2006/relationships/hyperlink" Target="http://www.humanrights.gov.au"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image" Target="media/image12.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alrc.gov.au/publications" TargetMode="External"/><Relationship Id="rId28" Type="http://schemas.openxmlformats.org/officeDocument/2006/relationships/hyperlink" Target="https://ausncp.gov.au/" TargetMode="External"/><Relationship Id="rId36" Type="http://schemas.openxmlformats.org/officeDocument/2006/relationships/header" Target="header3.xml"/><Relationship Id="rId10" Type="http://schemas.openxmlformats.org/officeDocument/2006/relationships/hyperlink" Target="http://undocs.org/ru/HRI/GEN/2/Rev.6" TargetMode="External"/><Relationship Id="rId19" Type="http://schemas.openxmlformats.org/officeDocument/2006/relationships/hyperlink" Target="http://www.aph.gov.au/Senators_and_Members" TargetMode="External"/><Relationship Id="rId31" Type="http://schemas.openxmlformats.org/officeDocument/2006/relationships/header" Target="header2.xml"/><Relationship Id="rId44"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undocs.org/ru/HRI/MC/2006/3" TargetMode="External"/><Relationship Id="rId14" Type="http://schemas.openxmlformats.org/officeDocument/2006/relationships/image" Target="media/image3.png"/><Relationship Id="rId22" Type="http://schemas.openxmlformats.org/officeDocument/2006/relationships/image" Target="media/image9.emf"/><Relationship Id="rId27" Type="http://schemas.openxmlformats.org/officeDocument/2006/relationships/hyperlink" Target="http://www.alrc.gov.au" TargetMode="External"/><Relationship Id="rId30" Type="http://schemas.openxmlformats.org/officeDocument/2006/relationships/header" Target="header1.xml"/><Relationship Id="rId35" Type="http://schemas.openxmlformats.org/officeDocument/2006/relationships/footer" Target="footer4.xml"/><Relationship Id="rId43"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er4.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footnotes.xml.rels><?xml version="1.0" encoding="UTF-8" standalone="yes"?>
<Relationships xmlns="http://schemas.openxmlformats.org/package/2006/relationships"><Relationship Id="rId13" Type="http://schemas.openxmlformats.org/officeDocument/2006/relationships/hyperlink" Target="https://www.closingthegap.gov.au/sites/default/files/2022-09/ctg-national-agreement_apr-21-comm-infra-targets-updated-24-august-2022_0.pdf" TargetMode="External"/><Relationship Id="rId18" Type="http://schemas.openxmlformats.org/officeDocument/2006/relationships/hyperlink" Target="https://www.abs.gov.au/statistics/people/aboriginal-and-torres-strait-islander-peoples/aboriginal-and-torres-strait-islander-life-expectancy-estimates/latest-release" TargetMode="External"/><Relationship Id="rId26" Type="http://schemas.openxmlformats.org/officeDocument/2006/relationships/hyperlink" Target="https://www.abs.gov.au/articles/australia-aboriginal-and-torres-strait-islander-population-summary" TargetMode="External"/><Relationship Id="rId39" Type="http://schemas.openxmlformats.org/officeDocument/2006/relationships/hyperlink" Target="https://acaraweb.blob.core.windows.net/acaraweb/docs/default-source/assessment-and-reporting-publications/national-report-on-schooling-in-australia-2021.pdf?sfvrsn=f9184c07_0" TargetMode="External"/><Relationship Id="rId21" Type="http://schemas.openxmlformats.org/officeDocument/2006/relationships/hyperlink" Target="https://www.abs.gov.au/statistics/people/population/population-projections-australia/latest-release" TargetMode="External"/><Relationship Id="rId34" Type="http://schemas.openxmlformats.org/officeDocument/2006/relationships/hyperlink" Target="https://www.abs.gov.au/statistics/labour/employment-and-unemployment/labour-force-australia/latest-release" TargetMode="External"/><Relationship Id="rId42" Type="http://schemas.openxmlformats.org/officeDocument/2006/relationships/hyperlink" Target="https://www.niaa.gov.au/sites/default/files/publications/niaa-closing-the-gap-annual-report-2022.pdf" TargetMode="External"/><Relationship Id="rId47" Type="http://schemas.openxmlformats.org/officeDocument/2006/relationships/hyperlink" Target="https://www.aihw.gov.au/reports/burden-of-disease/australian-burden-of-disease-study-2022/contents/summary" TargetMode="External"/><Relationship Id="rId50" Type="http://schemas.openxmlformats.org/officeDocument/2006/relationships/hyperlink" Target="https://www.pc.gov.au/closing-the-gap-data/annual-data-report/report" TargetMode="External"/><Relationship Id="rId55" Type="http://schemas.openxmlformats.org/officeDocument/2006/relationships/hyperlink" Target="https://www.abs.gov.au/statistics/health/causes-death/causes-death-australia/latest-release" TargetMode="External"/><Relationship Id="rId63" Type="http://schemas.openxmlformats.org/officeDocument/2006/relationships/hyperlink" Target="https://www.latrobe.edu.au/__data/assets/pdf_file/0009/1185885/Private-Lives-3.pdf" TargetMode="External"/><Relationship Id="rId68" Type="http://schemas.openxmlformats.org/officeDocument/2006/relationships/hyperlink" Target="https://www.aph.gov.au/About_Parliament/Parliamentary_departments/Parliamentary_Library/FlagPost/2022/May/Gender_composition_of_state_and_territory_parliaments" TargetMode="External"/><Relationship Id="rId76" Type="http://schemas.openxmlformats.org/officeDocument/2006/relationships/hyperlink" Target="https://www.aihw.gov.au/reports/youth-justice/youth-justice-in-australia-2021-22/contents/summary" TargetMode="External"/><Relationship Id="rId84" Type="http://schemas.openxmlformats.org/officeDocument/2006/relationships/hyperlink" Target="http://www.indigenous.gov.au/remote-australia-strategies" TargetMode="External"/><Relationship Id="rId89" Type="http://schemas.openxmlformats.org/officeDocument/2006/relationships/hyperlink" Target="https://www.abs.gov.au/statistics/people/aboriginal-and-torres-strait-islander-peoples/language-statistics-aboriginal-and-torres-strait-islander-peoples/latest-release" TargetMode="External"/><Relationship Id="rId7" Type="http://schemas.openxmlformats.org/officeDocument/2006/relationships/hyperlink" Target="https://www.abs.gov.au/statistics/people/population/national-state-and-territory-population/jun-2022" TargetMode="External"/><Relationship Id="rId71" Type="http://schemas.openxmlformats.org/officeDocument/2006/relationships/hyperlink" Target="https://www.abs.gov.au/statistics/people/crime-and-justice/recorded-crime-victims/2021" TargetMode="External"/><Relationship Id="rId92" Type="http://schemas.openxmlformats.org/officeDocument/2006/relationships/hyperlink" Target="https://www.dss.gov.au/disability-and-australias-disability-strategy-2021-2031" TargetMode="External"/><Relationship Id="rId2" Type="http://schemas.openxmlformats.org/officeDocument/2006/relationships/hyperlink" Target="https://stats.oecd.org/Index.aspx?DataSetCode=PDB_GR" TargetMode="External"/><Relationship Id="rId16" Type="http://schemas.openxmlformats.org/officeDocument/2006/relationships/hyperlink" Target="https://www.abs.gov.au/statistics/people/population/deaths-australia/latest-release" TargetMode="External"/><Relationship Id="rId29" Type="http://schemas.openxmlformats.org/officeDocument/2006/relationships/hyperlink" Target="https://www.abs.gov.au/statistics/labour/earnings-and-working-conditions/income-and-work-census/2021" TargetMode="External"/><Relationship Id="rId11" Type="http://schemas.openxmlformats.org/officeDocument/2006/relationships/hyperlink" Target="https://www.abs.gov.au/articles/australia-aboriginal-and-torres-strait-islander-population-summary" TargetMode="External"/><Relationship Id="rId24" Type="http://schemas.openxmlformats.org/officeDocument/2006/relationships/hyperlink" Target="https://www.abs.gov.au/statistics/people/population/national-state-and-territory-population/jun-2022" TargetMode="External"/><Relationship Id="rId32" Type="http://schemas.openxmlformats.org/officeDocument/2006/relationships/hyperlink" Target="http://www.abs.gov.au/ausstats/abs@.nsf/mf/6530.0" TargetMode="External"/><Relationship Id="rId37" Type="http://schemas.openxmlformats.org/officeDocument/2006/relationships/hyperlink" Target="https://www.abs.gov.au/statistics/labour/employment-and-unemployment/labour-force-australia-detailed/latest-release" TargetMode="External"/><Relationship Id="rId40" Type="http://schemas.openxmlformats.org/officeDocument/2006/relationships/hyperlink" Target="https://www.abs.gov.au/statistics/people/education/schools/latest-release" TargetMode="External"/><Relationship Id="rId45" Type="http://schemas.openxmlformats.org/officeDocument/2006/relationships/hyperlink" Target="https://www.aihw.gov.au/getmedia/d9ae4bfa-df27-4e3c-9846-ba452bef6ac5/aihw-bod-37.pdf.aspx?inline=true" TargetMode="External"/><Relationship Id="rId53" Type="http://schemas.openxmlformats.org/officeDocument/2006/relationships/hyperlink" Target="https://www.aihw.gov.au/reports/mothers-babies/australias-mothers-babies-data-visualisations/contents/summary" TargetMode="External"/><Relationship Id="rId58" Type="http://schemas.openxmlformats.org/officeDocument/2006/relationships/hyperlink" Target="https://www.abs.gov.au/statistics/health/mental-health/national-study-mental-health-and-wellbeing/latest-release" TargetMode="External"/><Relationship Id="rId66" Type="http://schemas.openxmlformats.org/officeDocument/2006/relationships/hyperlink" Target="https://www.aec.gov.au/media/2023/08-03.htm" TargetMode="External"/><Relationship Id="rId74" Type="http://schemas.openxmlformats.org/officeDocument/2006/relationships/hyperlink" Target="http://www.abs.gov.au/ausstats/abs@.nsf/mf/4517.0" TargetMode="External"/><Relationship Id="rId79" Type="http://schemas.openxmlformats.org/officeDocument/2006/relationships/hyperlink" Target="https://www.pc.gov.au/ongoing/report-on-government-services/2022/justice" TargetMode="External"/><Relationship Id="rId87" Type="http://schemas.openxmlformats.org/officeDocument/2006/relationships/hyperlink" Target="http://www.education.gov.au/national-regional-rural-and-remote-education-strategy" TargetMode="External"/><Relationship Id="rId5" Type="http://schemas.openxmlformats.org/officeDocument/2006/relationships/hyperlink" Target="https://www.aph.gov.au/About_Parliament/Parliamentary_departments/Parliamentary_Library/pubs/rp/BudgetReviewOctober202223/AustralianGovernmentDebt" TargetMode="External"/><Relationship Id="rId61" Type="http://schemas.openxmlformats.org/officeDocument/2006/relationships/hyperlink" Target="https://www.aihw.gov.au/mental-health/topic-areas/medicare-subsidised-services" TargetMode="External"/><Relationship Id="rId82" Type="http://schemas.openxmlformats.org/officeDocument/2006/relationships/hyperlink" Target="https://www.ag.gov.au/rights-and-protections/human-rights-and-anti-discrimination/united-nations-human-rights-reporting/treaty-body-reporting" TargetMode="External"/><Relationship Id="rId90" Type="http://schemas.openxmlformats.org/officeDocument/2006/relationships/hyperlink" Target="http://www.ag.gov.au/Publications/Pages/AustralianGovernmentGuidelinesontheRecognitionofSexandGender.aspx" TargetMode="External"/><Relationship Id="rId19" Type="http://schemas.openxmlformats.org/officeDocument/2006/relationships/hyperlink" Target="https://www.pc.gov.au/closing-the-gap-data/annual-data-report/report" TargetMode="External"/><Relationship Id="rId14" Type="http://schemas.openxmlformats.org/officeDocument/2006/relationships/hyperlink" Target="https://www.abs.gov.au/statistics/people/people-and-communities/snapshot-australia/2021" TargetMode="External"/><Relationship Id="rId22" Type="http://schemas.openxmlformats.org/officeDocument/2006/relationships/hyperlink" Target="https://www.abs.gov.au/statistics/people/population/national-state-and-territory-population/jun-2022" TargetMode="External"/><Relationship Id="rId27" Type="http://schemas.openxmlformats.org/officeDocument/2006/relationships/hyperlink" Target="https://www.abs.gov.au/statistics/people/people-and-communities/snapshot-australia/2021" TargetMode="External"/><Relationship Id="rId30" Type="http://schemas.openxmlformats.org/officeDocument/2006/relationships/hyperlink" Target="https://www.abs.gov.au/statistics/economy/finance/household-income-and-wealth-australia/2019-20" TargetMode="External"/><Relationship Id="rId35" Type="http://schemas.openxmlformats.org/officeDocument/2006/relationships/hyperlink" Target="https://www.abs.gov.au/statistics/labour/employment-and-unemployment/labour-force-australia-detailed/latest-release" TargetMode="External"/><Relationship Id="rId43" Type="http://schemas.openxmlformats.org/officeDocument/2006/relationships/hyperlink" Target="https://www.pc.gov.au/closing-the-gap-data/annual-data-report/report" TargetMode="External"/><Relationship Id="rId48" Type="http://schemas.openxmlformats.org/officeDocument/2006/relationships/hyperlink" Target="https://www.aihw.gov.au/reports/australias-health/infectious-and-communicable-diseases" TargetMode="External"/><Relationship Id="rId56" Type="http://schemas.openxmlformats.org/officeDocument/2006/relationships/hyperlink" Target="https://www.aihw.gov.au/reports/burden-of-disease/australian-burden-of-disease-study-2022/contents/summary" TargetMode="External"/><Relationship Id="rId64" Type="http://schemas.openxmlformats.org/officeDocument/2006/relationships/hyperlink" Target="https://www.latrobe.edu.au/__data/assets/pdf_file/0010/1198945/Writing-Themselves-In-4-National-report.pdf" TargetMode="External"/><Relationship Id="rId69" Type="http://schemas.openxmlformats.org/officeDocument/2006/relationships/hyperlink" Target="https://www.dfat.gov.au/development/who-we-work-with/ngos/list-of-australian-accredited-non-government-organisations" TargetMode="External"/><Relationship Id="rId77" Type="http://schemas.openxmlformats.org/officeDocument/2006/relationships/hyperlink" Target="https://www.pc.gov.au/ongoing/report-on-government-services/2022/justice" TargetMode="External"/><Relationship Id="rId8" Type="http://schemas.openxmlformats.org/officeDocument/2006/relationships/hyperlink" Target="https://www.abs.gov.au/statistics/people/population/regional-population/2020-21" TargetMode="External"/><Relationship Id="rId51" Type="http://schemas.openxmlformats.org/officeDocument/2006/relationships/hyperlink" Target="https://www.abs.gov.au/statistics/health/health-conditions-and-risks/dietary-behaviour/latest-release" TargetMode="External"/><Relationship Id="rId72" Type="http://schemas.openxmlformats.org/officeDocument/2006/relationships/hyperlink" Target="http://www.abs.gov.au/AUSSTATS/abs@.nsf/mf/4519.0" TargetMode="External"/><Relationship Id="rId80" Type="http://schemas.openxmlformats.org/officeDocument/2006/relationships/hyperlink" Target="https://nla.legalaid.nsw.gov.au/nlareports/reportviewer.aspx?reportname=ApplicationStatus" TargetMode="External"/><Relationship Id="rId85" Type="http://schemas.openxmlformats.org/officeDocument/2006/relationships/hyperlink" Target="http://www.health.gov.au/internet/main/publishing.nsf/Content/national-strategic-framework-rural-remote-health" TargetMode="External"/><Relationship Id="rId93" Type="http://schemas.openxmlformats.org/officeDocument/2006/relationships/hyperlink" Target="http://www.respect.gov.au" TargetMode="External"/><Relationship Id="rId3" Type="http://schemas.openxmlformats.org/officeDocument/2006/relationships/hyperlink" Target="https://budget.gov.au/2022-23-october/content/overview/index.htm" TargetMode="External"/><Relationship Id="rId12" Type="http://schemas.openxmlformats.org/officeDocument/2006/relationships/hyperlink" Target="https://www.niaa.gov.au/sites/default/files/publications/niaa-closing-the-gap-annual-report-2022.pdf" TargetMode="External"/><Relationship Id="rId17" Type="http://schemas.openxmlformats.org/officeDocument/2006/relationships/hyperlink" Target="https://www.abs.gov.au/statistics/people/population/life-tables/latest-release" TargetMode="External"/><Relationship Id="rId25" Type="http://schemas.openxmlformats.org/officeDocument/2006/relationships/hyperlink" Target="https://www.abs.gov.au/statistics/people/people-and-communities/snapshot-australia/2021" TargetMode="External"/><Relationship Id="rId33" Type="http://schemas.openxmlformats.org/officeDocument/2006/relationships/hyperlink" Target="https://treasury.gov.au/sites/default/files/2023-07/measuring-what-matters-statement020230721_0.pdf" TargetMode="External"/><Relationship Id="rId38" Type="http://schemas.openxmlformats.org/officeDocument/2006/relationships/hyperlink" Target="http://www.abs.gov.au/ausstats/abs@.nsf/mf/6333.0" TargetMode="External"/><Relationship Id="rId46" Type="http://schemas.openxmlformats.org/officeDocument/2006/relationships/hyperlink" Target="https://www.aihw.gov.au/reports/burden-of-disease/abds-2018-interactive-data-risk-factors/contents/summary" TargetMode="External"/><Relationship Id="rId59" Type="http://schemas.openxmlformats.org/officeDocument/2006/relationships/hyperlink" Target="https://www.aihw.gov.au/getmedia/d9ae4bfa-df27-4e3c-9846-ba452bef6ac5/aihw-bod-37.pdf.aspx?inline=true" TargetMode="External"/><Relationship Id="rId67" Type="http://schemas.openxmlformats.org/officeDocument/2006/relationships/hyperlink" Target="http://www.aec.gov.au/parties_and_representatives/party_registration/Registered_parties" TargetMode="External"/><Relationship Id="rId20" Type="http://schemas.openxmlformats.org/officeDocument/2006/relationships/hyperlink" Target="http://www.abs.gov.au/articles/twenty-years-population-change" TargetMode="External"/><Relationship Id="rId41" Type="http://schemas.openxmlformats.org/officeDocument/2006/relationships/hyperlink" Target="https://research.acer.edu.au/pirls/1/" TargetMode="External"/><Relationship Id="rId54" Type="http://schemas.openxmlformats.org/officeDocument/2006/relationships/hyperlink" Target="https://www.aihw.gov.au/reports/mothers-babies/maternal-deaths-australia" TargetMode="External"/><Relationship Id="rId62" Type="http://schemas.openxmlformats.org/officeDocument/2006/relationships/hyperlink" Target="https://www.latrobe.edu.au/__data/assets/pdf_file/0009/1185885/Private-Lives-3.pdf" TargetMode="External"/><Relationship Id="rId70" Type="http://schemas.openxmlformats.org/officeDocument/2006/relationships/hyperlink" Target="https://www.abs.gov.au/media-centre/media-releases/sexual-assaults-increase-tenth-year-row" TargetMode="External"/><Relationship Id="rId75" Type="http://schemas.openxmlformats.org/officeDocument/2006/relationships/hyperlink" Target="https://www.aic.gov.au/statistics/deaths-custody-australia" TargetMode="External"/><Relationship Id="rId83" Type="http://schemas.openxmlformats.org/officeDocument/2006/relationships/hyperlink" Target="https://www.ag.gov.au/RightsAndProtections/HumanRights/United-Nations-Human-Rights-Reporting/upr-recommendations/Pages/default.aspx" TargetMode="External"/><Relationship Id="rId88" Type="http://schemas.openxmlformats.org/officeDocument/2006/relationships/hyperlink" Target="https://www.niaa.gov.au/indigenous-affairs/land-and-housing" TargetMode="External"/><Relationship Id="rId91" Type="http://schemas.openxmlformats.org/officeDocument/2006/relationships/hyperlink" Target="https://www.abs.gov.au/statistics/standards/standard-sex-gender-variations-sex-characteristics-and-sexual-orientation-variables/latest-release" TargetMode="External"/><Relationship Id="rId1" Type="http://schemas.openxmlformats.org/officeDocument/2006/relationships/hyperlink" Target="https://www.abs.gov.au/statistics/economy/national-accounts/australian-national-accounts-national-income-expenditure-and-product/mar-2023" TargetMode="External"/><Relationship Id="rId6" Type="http://schemas.openxmlformats.org/officeDocument/2006/relationships/hyperlink" Target="https://www.aph.gov.au/About_Parliament/Parliamentary_Departments/Parliamentary_Library/pubs/rp/BudgetReview202223/ForeignAidBudget" TargetMode="External"/><Relationship Id="rId15" Type="http://schemas.openxmlformats.org/officeDocument/2006/relationships/hyperlink" Target="https://www.abs.gov.au/statistics/people/population/births-australia/latest-release" TargetMode="External"/><Relationship Id="rId23" Type="http://schemas.openxmlformats.org/officeDocument/2006/relationships/hyperlink" Target="https://www.abs.gov.au/statistics/people/population/population-projections-australia/latest-release" TargetMode="External"/><Relationship Id="rId28" Type="http://schemas.openxmlformats.org/officeDocument/2006/relationships/hyperlink" Target="https://www.abs.gov.au/statistics/people/people-and-communities/household-and-families-census/2021" TargetMode="External"/><Relationship Id="rId36" Type="http://schemas.openxmlformats.org/officeDocument/2006/relationships/hyperlink" Target="https://www.pc.gov.au/closing-the-gap-data/annual-data-report/report" TargetMode="External"/><Relationship Id="rId49" Type="http://schemas.openxmlformats.org/officeDocument/2006/relationships/hyperlink" Target="https://www.aihw.gov.au/reports/mothers-babies/australias-mothers-babies/contents/baby-outcomes/birthweight" TargetMode="External"/><Relationship Id="rId57" Type="http://schemas.openxmlformats.org/officeDocument/2006/relationships/hyperlink" Target="https://www.abs.gov.au/statistics/health/mental-health/national-study-mental-health-and-wellbeing/latest-release" TargetMode="External"/><Relationship Id="rId10" Type="http://schemas.openxmlformats.org/officeDocument/2006/relationships/hyperlink" Target="https://www.abs.gov.au/statistics/people/people-and-communities/snapshot-australia/2021" TargetMode="External"/><Relationship Id="rId31" Type="http://schemas.openxmlformats.org/officeDocument/2006/relationships/hyperlink" Target="https://www.abs.gov.au/statistics/economy/finance/household-income-and-wealth-australia/2019-20" TargetMode="External"/><Relationship Id="rId44" Type="http://schemas.openxmlformats.org/officeDocument/2006/relationships/hyperlink" Target="https://www.pc.gov.au/closing-the-gap-data/annual-data-report/report" TargetMode="External"/><Relationship Id="rId52" Type="http://schemas.openxmlformats.org/officeDocument/2006/relationships/hyperlink" Target="http://www.abs.gov.au/ausstats/abs@.nsf/mf/4364.0.55.001" TargetMode="External"/><Relationship Id="rId60" Type="http://schemas.openxmlformats.org/officeDocument/2006/relationships/hyperlink" Target="https://www.abs.gov.au/statistics/health/causes-death/causes-death-australia/latest-release" TargetMode="External"/><Relationship Id="rId65" Type="http://schemas.openxmlformats.org/officeDocument/2006/relationships/hyperlink" Target="https://www.aec.gov.au/Enrolling_to_vote/Enrolment_stats/national/2022.htm" TargetMode="External"/><Relationship Id="rId73" Type="http://schemas.openxmlformats.org/officeDocument/2006/relationships/hyperlink" Target="http://www.abs.gov.au/ausstats/abs@.nsf/mf/4517.0" TargetMode="External"/><Relationship Id="rId78" Type="http://schemas.openxmlformats.org/officeDocument/2006/relationships/hyperlink" Target="http://www.abs.gov.au/AUSSTATS/abs@.nsf/mf/4513.0" TargetMode="External"/><Relationship Id="rId81" Type="http://schemas.openxmlformats.org/officeDocument/2006/relationships/hyperlink" Target="http://www.devpolicy.org/aidtracker" TargetMode="External"/><Relationship Id="rId86" Type="http://schemas.openxmlformats.org/officeDocument/2006/relationships/hyperlink" Target="http://www.ndis.gov.au/about-us/strategies/rural-and-remote-strategy" TargetMode="External"/><Relationship Id="rId94" Type="http://schemas.openxmlformats.org/officeDocument/2006/relationships/hyperlink" Target="https://humanrights.gov.au/sites/default/files/ahrc_ar_2021-2022_complaint_stats_0.pdf" TargetMode="External"/><Relationship Id="rId4" Type="http://schemas.openxmlformats.org/officeDocument/2006/relationships/hyperlink" Target="https://www.abs.gov.au/statistics/economy/price-indexes-and-inflation/consumer-price-index-australia/latest-release" TargetMode="External"/><Relationship Id="rId9" Type="http://schemas.openxmlformats.org/officeDocument/2006/relationships/hyperlink" Target="https://www.abs.gov.au/statistics/people/aboriginal-and-torres-strait-islander-peoples/estimates-aboriginal-and-torres-strait-islander-australians/latest-relea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8DDE84-33C4-426F-8F6A-1C2637476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4</TotalTime>
  <Pages>67</Pages>
  <Words>22346</Words>
  <Characters>149582</Characters>
  <Application>Microsoft Office Word</Application>
  <DocSecurity>0</DocSecurity>
  <Lines>3162</Lines>
  <Paragraphs>1050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HRI/CORE/AUS/2023</vt:lpstr>
      <vt:lpstr>A/</vt:lpstr>
      <vt:lpstr>A/</vt:lpstr>
    </vt:vector>
  </TitlesOfParts>
  <Company>DCM</Company>
  <LinksUpToDate>false</LinksUpToDate>
  <CharactersWithSpaces>171243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HRI/CORE/AUS/2023</dc:title>
  <dc:subject/>
  <dc:creator>Anna BLAGODATSKIKH</dc:creator>
  <cp:keywords/>
  <cp:lastModifiedBy>Anna Blagodatskikh</cp:lastModifiedBy>
  <cp:revision>3</cp:revision>
  <cp:lastPrinted>2024-07-12T14:14:00Z</cp:lastPrinted>
  <dcterms:created xsi:type="dcterms:W3CDTF">2024-07-12T14:14:00Z</dcterms:created>
  <dcterms:modified xsi:type="dcterms:W3CDTF">2024-07-12T14:18:00Z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