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BF0D2A">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06F57" w:rsidP="00106F57">
            <w:pPr>
              <w:jc w:val="right"/>
            </w:pPr>
            <w:r w:rsidRPr="00106F57">
              <w:rPr>
                <w:sz w:val="40"/>
              </w:rPr>
              <w:t>CRPD</w:t>
            </w:r>
            <w:r>
              <w:t>/C/8/D/6/2011</w:t>
            </w:r>
          </w:p>
        </w:tc>
      </w:tr>
      <w:tr w:rsidR="002D5AAC" w:rsidTr="00BF0D2A">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9" w:type="dxa"/>
            <w:tcBorders>
              <w:top w:val="single" w:sz="4" w:space="0" w:color="auto"/>
              <w:bottom w:val="single" w:sz="12" w:space="0" w:color="auto"/>
            </w:tcBorders>
          </w:tcPr>
          <w:p w:rsidR="00106F57" w:rsidRDefault="00106F57" w:rsidP="003977DE">
            <w:pPr>
              <w:spacing w:before="240"/>
            </w:pPr>
            <w:r>
              <w:t>Distr. general</w:t>
            </w:r>
          </w:p>
          <w:p w:rsidR="00106F57" w:rsidRDefault="00106F57" w:rsidP="00106F57">
            <w:pPr>
              <w:spacing w:line="240" w:lineRule="exact"/>
            </w:pPr>
            <w:r>
              <w:t>13 de noviembre de 2012</w:t>
            </w:r>
          </w:p>
          <w:p w:rsidR="00106F57" w:rsidRDefault="00106F57" w:rsidP="00106F57">
            <w:pPr>
              <w:spacing w:line="240" w:lineRule="exact"/>
            </w:pPr>
            <w:r>
              <w:t>Español</w:t>
            </w:r>
          </w:p>
          <w:p w:rsidR="002D5AAC" w:rsidRDefault="00106F57" w:rsidP="00106F57">
            <w:pPr>
              <w:spacing w:line="240" w:lineRule="exact"/>
            </w:pPr>
            <w:r>
              <w:t>Original: inglés</w:t>
            </w:r>
          </w:p>
        </w:tc>
      </w:tr>
    </w:tbl>
    <w:p w:rsidR="00BF0D2A" w:rsidRPr="00DB6A10" w:rsidRDefault="00BF0D2A" w:rsidP="00BF0D2A">
      <w:pPr>
        <w:spacing w:before="120"/>
        <w:rPr>
          <w:b/>
          <w:sz w:val="24"/>
          <w:szCs w:val="24"/>
        </w:rPr>
      </w:pPr>
      <w:r w:rsidRPr="00DB6A10">
        <w:rPr>
          <w:b/>
          <w:sz w:val="24"/>
          <w:szCs w:val="24"/>
        </w:rPr>
        <w:t>Comité sobre los Derechos de las Personas con Discapacidad</w:t>
      </w:r>
    </w:p>
    <w:p w:rsidR="00BF0D2A" w:rsidRPr="000958AE" w:rsidRDefault="00BF0D2A" w:rsidP="00BF0D2A">
      <w:pPr>
        <w:pStyle w:val="HChG"/>
      </w:pPr>
      <w:r w:rsidRPr="000958AE">
        <w:tab/>
      </w:r>
      <w:r w:rsidRPr="000958AE">
        <w:tab/>
        <w:t>Comunicación Nº 6/2011</w:t>
      </w:r>
    </w:p>
    <w:p w:rsidR="00BF0D2A" w:rsidRPr="000958AE" w:rsidRDefault="00BF0D2A" w:rsidP="00BF0D2A">
      <w:pPr>
        <w:pStyle w:val="H1G"/>
      </w:pPr>
      <w:r w:rsidRPr="000958AE">
        <w:tab/>
      </w:r>
      <w:r w:rsidRPr="000958AE">
        <w:tab/>
      </w:r>
      <w:r>
        <w:t>Decisión adoptada por el Comité en su octavo período de sesiones, 17 a 28 de septiembre de 2012</w:t>
      </w:r>
    </w:p>
    <w:p w:rsidR="00BF0D2A" w:rsidRPr="000958AE" w:rsidRDefault="00BF0D2A" w:rsidP="00BF0D2A">
      <w:pPr>
        <w:pStyle w:val="SingleTxtG"/>
        <w:tabs>
          <w:tab w:val="left" w:pos="4500"/>
        </w:tabs>
        <w:ind w:left="4500" w:hanging="2799"/>
        <w:jc w:val="left"/>
      </w:pPr>
      <w:r w:rsidRPr="000958AE">
        <w:rPr>
          <w:i/>
        </w:rPr>
        <w:t>Presentada por:</w:t>
      </w:r>
      <w:r w:rsidRPr="000958AE">
        <w:rPr>
          <w:i/>
        </w:rPr>
        <w:tab/>
      </w:r>
      <w:r w:rsidRPr="000958AE">
        <w:t>Kenneth McAlpine (no representado por abogado)</w:t>
      </w:r>
    </w:p>
    <w:p w:rsidR="00BF0D2A" w:rsidRPr="000958AE" w:rsidRDefault="00BF0D2A" w:rsidP="00BF0D2A">
      <w:pPr>
        <w:pStyle w:val="SingleTxtG"/>
        <w:tabs>
          <w:tab w:val="left" w:pos="4500"/>
        </w:tabs>
        <w:ind w:left="4500" w:hanging="2799"/>
        <w:jc w:val="left"/>
      </w:pPr>
      <w:r w:rsidRPr="000958AE">
        <w:rPr>
          <w:i/>
        </w:rPr>
        <w:t>Presunta víctima:</w:t>
      </w:r>
      <w:r w:rsidRPr="000958AE">
        <w:rPr>
          <w:i/>
        </w:rPr>
        <w:tab/>
      </w:r>
      <w:r w:rsidRPr="000958AE">
        <w:t>El autor</w:t>
      </w:r>
    </w:p>
    <w:p w:rsidR="00BF0D2A" w:rsidRPr="000958AE" w:rsidRDefault="00BF0D2A" w:rsidP="00BF0D2A">
      <w:pPr>
        <w:pStyle w:val="SingleTxtG"/>
        <w:tabs>
          <w:tab w:val="left" w:pos="4500"/>
        </w:tabs>
        <w:ind w:left="4500" w:hanging="2799"/>
        <w:jc w:val="left"/>
      </w:pPr>
      <w:r w:rsidRPr="000958AE">
        <w:rPr>
          <w:i/>
        </w:rPr>
        <w:t>Estado parte:</w:t>
      </w:r>
      <w:r w:rsidRPr="000958AE">
        <w:rPr>
          <w:i/>
        </w:rPr>
        <w:tab/>
      </w:r>
      <w:r w:rsidRPr="000958AE">
        <w:t>Reino Unido de Gran Bretaña e Irlanda del Norte</w:t>
      </w:r>
    </w:p>
    <w:p w:rsidR="00BF0D2A" w:rsidRPr="000958AE" w:rsidRDefault="00BF0D2A" w:rsidP="00BF0D2A">
      <w:pPr>
        <w:pStyle w:val="SingleTxtG"/>
        <w:tabs>
          <w:tab w:val="left" w:pos="4500"/>
        </w:tabs>
        <w:ind w:left="4500" w:hanging="2799"/>
        <w:jc w:val="left"/>
      </w:pPr>
      <w:r w:rsidRPr="000958AE">
        <w:rPr>
          <w:i/>
        </w:rPr>
        <w:t>Fecha de la comunicación:</w:t>
      </w:r>
      <w:r w:rsidRPr="000958AE">
        <w:rPr>
          <w:i/>
        </w:rPr>
        <w:tab/>
      </w:r>
      <w:r w:rsidRPr="000958AE">
        <w:t>25 de mayo de 2011 (presentación inicial)</w:t>
      </w:r>
    </w:p>
    <w:p w:rsidR="00BF0D2A" w:rsidRPr="000958AE" w:rsidRDefault="00BF0D2A" w:rsidP="00BF0D2A">
      <w:pPr>
        <w:pStyle w:val="SingleTxtG"/>
        <w:tabs>
          <w:tab w:val="left" w:pos="4500"/>
        </w:tabs>
        <w:ind w:left="4500" w:hanging="2799"/>
        <w:jc w:val="left"/>
      </w:pPr>
      <w:r w:rsidRPr="000958AE">
        <w:rPr>
          <w:i/>
        </w:rPr>
        <w:t>Referencias:</w:t>
      </w:r>
      <w:r w:rsidRPr="000958AE">
        <w:rPr>
          <w:i/>
        </w:rPr>
        <w:tab/>
      </w:r>
      <w:r w:rsidRPr="000958AE">
        <w:t>Decisión del Relator Especial con arreglo al artículo 70 del reglamento, transmitida al Estado parte el 21 de diciembre de 2011 (no se publicó como documento)</w:t>
      </w:r>
    </w:p>
    <w:p w:rsidR="00BF0D2A" w:rsidRPr="00F968AC" w:rsidRDefault="00BF0D2A" w:rsidP="00BF0D2A">
      <w:pPr>
        <w:pStyle w:val="SingleTxtG"/>
        <w:tabs>
          <w:tab w:val="left" w:pos="4500"/>
        </w:tabs>
        <w:spacing w:after="0"/>
        <w:ind w:left="4502" w:hanging="2801"/>
        <w:jc w:val="left"/>
        <w:rPr>
          <w:i/>
        </w:rPr>
      </w:pPr>
      <w:r w:rsidRPr="000958AE">
        <w:rPr>
          <w:i/>
        </w:rPr>
        <w:t xml:space="preserve">Fecha </w:t>
      </w:r>
      <w:r w:rsidRPr="00F968AC">
        <w:rPr>
          <w:i/>
        </w:rPr>
        <w:t xml:space="preserve">de adopción </w:t>
      </w:r>
    </w:p>
    <w:p w:rsidR="00BF0D2A" w:rsidRPr="000958AE" w:rsidRDefault="00BF0D2A" w:rsidP="00BF0D2A">
      <w:pPr>
        <w:pStyle w:val="SingleTxtG"/>
        <w:tabs>
          <w:tab w:val="left" w:pos="4500"/>
        </w:tabs>
        <w:ind w:left="4500" w:hanging="2799"/>
        <w:jc w:val="left"/>
      </w:pPr>
      <w:r w:rsidRPr="000958AE">
        <w:rPr>
          <w:i/>
        </w:rPr>
        <w:t>de la decisión:</w:t>
      </w:r>
      <w:r w:rsidRPr="000958AE">
        <w:rPr>
          <w:i/>
        </w:rPr>
        <w:tab/>
      </w:r>
      <w:r>
        <w:t>28</w:t>
      </w:r>
      <w:r w:rsidRPr="000958AE">
        <w:t xml:space="preserve"> de septiembre de 2012</w:t>
      </w:r>
    </w:p>
    <w:p w:rsidR="00BF0D2A" w:rsidRPr="000958AE" w:rsidRDefault="00BF0D2A" w:rsidP="00BF0D2A">
      <w:pPr>
        <w:pStyle w:val="SingleTxtG"/>
        <w:tabs>
          <w:tab w:val="left" w:pos="4500"/>
        </w:tabs>
        <w:ind w:left="4500" w:hanging="2799"/>
        <w:jc w:val="left"/>
        <w:rPr>
          <w:i/>
        </w:rPr>
      </w:pPr>
      <w:r w:rsidRPr="000958AE">
        <w:rPr>
          <w:i/>
        </w:rPr>
        <w:t>Asunto:</w:t>
      </w:r>
      <w:r w:rsidRPr="000958AE">
        <w:rPr>
          <w:i/>
        </w:rPr>
        <w:tab/>
      </w:r>
      <w:r w:rsidRPr="000958AE">
        <w:t>El despido del autor como empleado con</w:t>
      </w:r>
      <w:r>
        <w:t xml:space="preserve"> </w:t>
      </w:r>
      <w:r w:rsidRPr="009A2796">
        <w:rPr>
          <w:i/>
        </w:rPr>
        <w:t>diabetes mellitus</w:t>
      </w:r>
      <w:r w:rsidRPr="000958AE">
        <w:t xml:space="preserve"> (diabetes</w:t>
      </w:r>
      <w:r>
        <w:t xml:space="preserve"> </w:t>
      </w:r>
      <w:r w:rsidRPr="000958AE">
        <w:t>de tipo 1)</w:t>
      </w:r>
    </w:p>
    <w:p w:rsidR="00BF0D2A" w:rsidRPr="000958AE" w:rsidRDefault="00BF0D2A" w:rsidP="00BF0D2A">
      <w:pPr>
        <w:pStyle w:val="SingleTxtG"/>
        <w:tabs>
          <w:tab w:val="left" w:pos="4500"/>
        </w:tabs>
        <w:ind w:left="4500" w:hanging="2799"/>
        <w:jc w:val="left"/>
      </w:pPr>
      <w:r w:rsidRPr="000958AE">
        <w:rPr>
          <w:i/>
        </w:rPr>
        <w:t>Cuestiones de procedimiento:</w:t>
      </w:r>
      <w:r w:rsidRPr="000958AE">
        <w:rPr>
          <w:i/>
        </w:rPr>
        <w:tab/>
      </w:r>
      <w:r w:rsidRPr="000958AE">
        <w:t>Los hechos ocurrieron antes de la entrada en vigor del Protocolo facultativo para el Estado parte; el asunto ha sido examinado medi</w:t>
      </w:r>
      <w:r>
        <w:t>a</w:t>
      </w:r>
      <w:r w:rsidRPr="000958AE">
        <w:t xml:space="preserve">nte otro procedimiento de investigación o arreglo internacional; la denuncia es manifiestamente infundada o </w:t>
      </w:r>
      <w:r>
        <w:t xml:space="preserve">no </w:t>
      </w:r>
      <w:r w:rsidRPr="000958AE">
        <w:t xml:space="preserve">está suficientemente </w:t>
      </w:r>
      <w:r>
        <w:t>fundamentada</w:t>
      </w:r>
    </w:p>
    <w:p w:rsidR="00BF0D2A" w:rsidRPr="000958AE" w:rsidRDefault="00BF0D2A" w:rsidP="00BF0D2A">
      <w:pPr>
        <w:pStyle w:val="SingleTxtG"/>
        <w:tabs>
          <w:tab w:val="left" w:pos="4500"/>
        </w:tabs>
        <w:ind w:left="4500" w:hanging="2799"/>
        <w:jc w:val="left"/>
      </w:pPr>
      <w:r w:rsidRPr="000958AE">
        <w:rPr>
          <w:i/>
        </w:rPr>
        <w:t>Cuestiones de fondo:</w:t>
      </w:r>
      <w:r w:rsidRPr="000958AE">
        <w:rPr>
          <w:i/>
        </w:rPr>
        <w:tab/>
      </w:r>
      <w:r w:rsidRPr="000958AE">
        <w:t>Principios generales de la Convención; igualdad y no discriminación</w:t>
      </w:r>
      <w:r>
        <w:t>;</w:t>
      </w:r>
      <w:r w:rsidRPr="000958AE">
        <w:t xml:space="preserve"> toma de conciencia; igual reconocimiento ante la ley; respeto de la vida privada; trabajo y empleo</w:t>
      </w:r>
    </w:p>
    <w:p w:rsidR="00BF0D2A" w:rsidRPr="000958AE" w:rsidRDefault="00BF0D2A" w:rsidP="00BF0D2A">
      <w:pPr>
        <w:pStyle w:val="SingleTxtG"/>
        <w:tabs>
          <w:tab w:val="left" w:pos="4500"/>
        </w:tabs>
        <w:ind w:left="4500" w:hanging="2799"/>
        <w:jc w:val="left"/>
      </w:pPr>
      <w:r w:rsidRPr="000958AE">
        <w:rPr>
          <w:i/>
        </w:rPr>
        <w:t>Artículos de la Convención:</w:t>
      </w:r>
      <w:r w:rsidRPr="000958AE">
        <w:rPr>
          <w:i/>
        </w:rPr>
        <w:tab/>
      </w:r>
      <w:r w:rsidRPr="000958AE">
        <w:t>4, párr</w:t>
      </w:r>
      <w:r w:rsidR="00C3123C">
        <w:t>afos</w:t>
      </w:r>
      <w:r w:rsidRPr="000958AE">
        <w:t xml:space="preserve"> 1 d) y 1 e); 5, párr</w:t>
      </w:r>
      <w:r w:rsidR="00C3123C">
        <w:t>afo</w:t>
      </w:r>
      <w:r w:rsidRPr="000958AE">
        <w:t xml:space="preserve"> 2; 8, párr</w:t>
      </w:r>
      <w:r w:rsidR="00C3123C">
        <w:t>afo</w:t>
      </w:r>
      <w:r w:rsidRPr="000958AE">
        <w:t xml:space="preserve"> 1 b); 12, párr</w:t>
      </w:r>
      <w:r w:rsidR="00C3123C">
        <w:t>afo</w:t>
      </w:r>
      <w:r w:rsidRPr="000958AE">
        <w:t xml:space="preserve"> 4; 22, párr</w:t>
      </w:r>
      <w:r w:rsidR="00C3123C">
        <w:t>afo</w:t>
      </w:r>
      <w:r w:rsidRPr="000958AE">
        <w:t xml:space="preserve"> 1</w:t>
      </w:r>
      <w:r>
        <w:t>;</w:t>
      </w:r>
      <w:r w:rsidRPr="000958AE">
        <w:t xml:space="preserve"> y 27, párr</w:t>
      </w:r>
      <w:r w:rsidR="00C3123C">
        <w:t>afo</w:t>
      </w:r>
      <w:r w:rsidRPr="000958AE">
        <w:t xml:space="preserve"> 1 a)</w:t>
      </w:r>
    </w:p>
    <w:p w:rsidR="00BF0D2A" w:rsidRPr="000958AE" w:rsidRDefault="00BF0D2A" w:rsidP="00BF0D2A">
      <w:pPr>
        <w:pStyle w:val="SingleTxtG"/>
        <w:tabs>
          <w:tab w:val="left" w:pos="4500"/>
        </w:tabs>
        <w:spacing w:after="0"/>
        <w:ind w:left="4502" w:hanging="2801"/>
        <w:jc w:val="left"/>
        <w:rPr>
          <w:i/>
        </w:rPr>
      </w:pPr>
      <w:r w:rsidRPr="000958AE">
        <w:rPr>
          <w:i/>
        </w:rPr>
        <w:t>Artículos del Protocolo</w:t>
      </w:r>
    </w:p>
    <w:p w:rsidR="00BF0D2A" w:rsidRPr="000958AE" w:rsidRDefault="00BF0D2A" w:rsidP="00BF0D2A">
      <w:pPr>
        <w:pStyle w:val="SingleTxtG"/>
        <w:tabs>
          <w:tab w:val="left" w:pos="4500"/>
        </w:tabs>
        <w:ind w:left="4500" w:hanging="2799"/>
        <w:jc w:val="left"/>
      </w:pPr>
      <w:r w:rsidRPr="000958AE">
        <w:rPr>
          <w:i/>
        </w:rPr>
        <w:t>facultativo:</w:t>
      </w:r>
      <w:r w:rsidRPr="000958AE">
        <w:rPr>
          <w:i/>
        </w:rPr>
        <w:tab/>
      </w:r>
      <w:r w:rsidRPr="000958AE">
        <w:t>2 d),</w:t>
      </w:r>
      <w:r>
        <w:t xml:space="preserve"> </w:t>
      </w:r>
      <w:r w:rsidRPr="000958AE">
        <w:t>2 e) y 2 f)</w:t>
      </w:r>
    </w:p>
    <w:p w:rsidR="00BF0D2A" w:rsidRPr="000958AE" w:rsidRDefault="00BF0D2A" w:rsidP="00BF0D2A">
      <w:pPr>
        <w:pStyle w:val="HChG"/>
      </w:pPr>
      <w:r w:rsidRPr="000958AE">
        <w:t>Anexo</w:t>
      </w:r>
    </w:p>
    <w:p w:rsidR="00BF0D2A" w:rsidRDefault="00BF0D2A" w:rsidP="00BF0D2A">
      <w:pPr>
        <w:pStyle w:val="HChG"/>
        <w:spacing w:after="0"/>
      </w:pPr>
      <w:r w:rsidRPr="000958AE">
        <w:tab/>
      </w:r>
      <w:r w:rsidRPr="000958AE">
        <w:tab/>
        <w:t xml:space="preserve">Decisión del Comité sobre los Derechos de las Personas con Discapacidad </w:t>
      </w:r>
      <w:r>
        <w:t>a tenor del artículo 2 del Protocolo facultativo de la Convención sobre los derechos de las personas con discapacidad</w:t>
      </w:r>
    </w:p>
    <w:p w:rsidR="00BF0D2A" w:rsidRPr="000958AE" w:rsidRDefault="00BF0D2A" w:rsidP="00BF0D2A">
      <w:pPr>
        <w:pStyle w:val="HChG"/>
        <w:spacing w:before="0"/>
      </w:pPr>
      <w:r>
        <w:tab/>
      </w:r>
      <w:r>
        <w:tab/>
      </w:r>
      <w:r w:rsidRPr="000958AE">
        <w:t>(octavo período de sesiones)</w:t>
      </w:r>
    </w:p>
    <w:p w:rsidR="00BF0D2A" w:rsidRPr="000958AE" w:rsidRDefault="00BF0D2A" w:rsidP="00BF0D2A">
      <w:pPr>
        <w:pStyle w:val="SingleTxtG"/>
      </w:pPr>
      <w:r w:rsidRPr="000958AE">
        <w:t xml:space="preserve">respecto de la </w:t>
      </w:r>
    </w:p>
    <w:p w:rsidR="00BF0D2A" w:rsidRPr="000958AE" w:rsidRDefault="00BF0D2A" w:rsidP="00BF0D2A">
      <w:pPr>
        <w:pStyle w:val="H1G"/>
      </w:pPr>
      <w:r w:rsidRPr="000958AE">
        <w:tab/>
      </w:r>
      <w:r w:rsidRPr="000958AE">
        <w:tab/>
        <w:t>Comunicación Nº 6/2011</w:t>
      </w:r>
      <w:r w:rsidRPr="00E93E42">
        <w:rPr>
          <w:rStyle w:val="FootnoteReference"/>
          <w:b w:val="0"/>
          <w:sz w:val="20"/>
          <w:vertAlign w:val="baseline"/>
        </w:rPr>
        <w:footnoteReference w:customMarkFollows="1" w:id="1"/>
        <w:t>*</w:t>
      </w:r>
    </w:p>
    <w:p w:rsidR="00BF0D2A" w:rsidRPr="000958AE" w:rsidRDefault="00BF0D2A" w:rsidP="00BF0D2A">
      <w:pPr>
        <w:pStyle w:val="SingleTxtG"/>
        <w:tabs>
          <w:tab w:val="left" w:pos="4500"/>
        </w:tabs>
        <w:ind w:left="4500" w:hanging="2799"/>
        <w:jc w:val="left"/>
      </w:pPr>
      <w:r w:rsidRPr="000958AE">
        <w:rPr>
          <w:i/>
        </w:rPr>
        <w:t>Presentada por:</w:t>
      </w:r>
      <w:r w:rsidRPr="000958AE">
        <w:tab/>
        <w:t>Kenneth McAlpine (no representado por abogado)</w:t>
      </w:r>
    </w:p>
    <w:p w:rsidR="00BF0D2A" w:rsidRPr="000958AE" w:rsidRDefault="00BF0D2A" w:rsidP="00BF0D2A">
      <w:pPr>
        <w:pStyle w:val="SingleTxtG"/>
        <w:tabs>
          <w:tab w:val="left" w:pos="4500"/>
        </w:tabs>
        <w:ind w:left="4500" w:hanging="2799"/>
        <w:jc w:val="left"/>
      </w:pPr>
      <w:r w:rsidRPr="000958AE">
        <w:rPr>
          <w:i/>
        </w:rPr>
        <w:t>Presunta víctima:</w:t>
      </w:r>
      <w:r w:rsidRPr="000958AE">
        <w:tab/>
        <w:t>El autor</w:t>
      </w:r>
    </w:p>
    <w:p w:rsidR="00BF0D2A" w:rsidRPr="000958AE" w:rsidRDefault="00BF0D2A" w:rsidP="00BF0D2A">
      <w:pPr>
        <w:pStyle w:val="SingleTxtG"/>
        <w:tabs>
          <w:tab w:val="left" w:pos="4500"/>
        </w:tabs>
        <w:ind w:left="4500" w:hanging="2799"/>
        <w:jc w:val="left"/>
      </w:pPr>
      <w:r w:rsidRPr="000958AE">
        <w:rPr>
          <w:i/>
        </w:rPr>
        <w:t>Estado parte:</w:t>
      </w:r>
      <w:r w:rsidRPr="000958AE">
        <w:tab/>
        <w:t>Reino Unido de Gran Bretaña e Irlanda del Norte</w:t>
      </w:r>
    </w:p>
    <w:p w:rsidR="00BF0D2A" w:rsidRPr="000958AE" w:rsidRDefault="00BF0D2A" w:rsidP="00BF0D2A">
      <w:pPr>
        <w:pStyle w:val="SingleTxtG"/>
        <w:tabs>
          <w:tab w:val="left" w:pos="4500"/>
        </w:tabs>
        <w:spacing w:after="240"/>
        <w:ind w:left="4502" w:hanging="2801"/>
        <w:jc w:val="left"/>
      </w:pPr>
      <w:r w:rsidRPr="000958AE">
        <w:rPr>
          <w:i/>
        </w:rPr>
        <w:t>Fecha de la comunicación:</w:t>
      </w:r>
      <w:r w:rsidRPr="000958AE">
        <w:tab/>
        <w:t>25 de mayo de 2011 (presentación inicial)</w:t>
      </w:r>
    </w:p>
    <w:p w:rsidR="00BF0D2A" w:rsidRPr="000958AE" w:rsidRDefault="00BF0D2A" w:rsidP="00BF0D2A">
      <w:pPr>
        <w:pStyle w:val="SingleTxtG"/>
      </w:pPr>
      <w:r w:rsidRPr="000958AE">
        <w:tab/>
      </w:r>
      <w:r w:rsidRPr="000958AE">
        <w:rPr>
          <w:i/>
        </w:rPr>
        <w:t>El Comité sobre los Derechos de las Personas con Discapacidad</w:t>
      </w:r>
      <w:r w:rsidRPr="000958AE">
        <w:t xml:space="preserve">, establecido en virtud del artículo 34 de la Convención sobre los derechos de las personas con discapacidad, </w:t>
      </w:r>
    </w:p>
    <w:p w:rsidR="00BF0D2A" w:rsidRPr="000958AE" w:rsidRDefault="00BF0D2A" w:rsidP="00BF0D2A">
      <w:pPr>
        <w:pStyle w:val="SingleTxtG"/>
      </w:pPr>
      <w:r w:rsidRPr="000958AE">
        <w:tab/>
      </w:r>
      <w:r w:rsidRPr="000958AE">
        <w:rPr>
          <w:i/>
        </w:rPr>
        <w:t>Reunido</w:t>
      </w:r>
      <w:r w:rsidRPr="000958AE">
        <w:t xml:space="preserve"> el </w:t>
      </w:r>
      <w:r>
        <w:t>28</w:t>
      </w:r>
      <w:r w:rsidRPr="000958AE">
        <w:t xml:space="preserve"> de septiembre de 2012,</w:t>
      </w:r>
    </w:p>
    <w:p w:rsidR="00BF0D2A" w:rsidRPr="000958AE" w:rsidRDefault="00BF0D2A" w:rsidP="00BF0D2A">
      <w:pPr>
        <w:pStyle w:val="SingleTxtG"/>
      </w:pPr>
      <w:r w:rsidRPr="000958AE">
        <w:tab/>
      </w:r>
      <w:r w:rsidRPr="000958AE">
        <w:rPr>
          <w:i/>
        </w:rPr>
        <w:t>Habiendo concluido</w:t>
      </w:r>
      <w:r w:rsidRPr="000958AE">
        <w:t xml:space="preserve"> el examen de la comunicación Nº 6/2011, presentada al Comité sobre los Derechos de las Personas con Discapacidad por Kenneth McAlpine en virtud del Protocolo facultativo de la Convención sobre los derechos de las personas con discapacidad,</w:t>
      </w:r>
    </w:p>
    <w:p w:rsidR="00BF0D2A" w:rsidRPr="000958AE" w:rsidRDefault="00BF0D2A" w:rsidP="00BF0D2A">
      <w:pPr>
        <w:pStyle w:val="SingleTxtG"/>
      </w:pPr>
      <w:r w:rsidRPr="000958AE">
        <w:tab/>
      </w:r>
      <w:r w:rsidRPr="000958AE">
        <w:rPr>
          <w:i/>
        </w:rPr>
        <w:t>Habiendo tenido en cuenta</w:t>
      </w:r>
      <w:r w:rsidRPr="000958AE">
        <w:t xml:space="preserve"> toda la información que le han presentado por escrito el autor de la comunicación y el Estado parte,</w:t>
      </w:r>
    </w:p>
    <w:p w:rsidR="00BF0D2A" w:rsidRPr="000958AE" w:rsidRDefault="00BF0D2A" w:rsidP="00BF0D2A">
      <w:pPr>
        <w:pStyle w:val="SingleTxtG"/>
      </w:pPr>
      <w:r w:rsidRPr="000958AE">
        <w:tab/>
      </w:r>
      <w:r w:rsidRPr="000958AE">
        <w:rPr>
          <w:i/>
        </w:rPr>
        <w:t>Adopta</w:t>
      </w:r>
      <w:r w:rsidRPr="000958AE">
        <w:t xml:space="preserve"> la siguiente:</w:t>
      </w:r>
    </w:p>
    <w:p w:rsidR="00BF0D2A" w:rsidRPr="000958AE" w:rsidRDefault="00BF0D2A" w:rsidP="00BF0D2A">
      <w:pPr>
        <w:pStyle w:val="H1G"/>
      </w:pPr>
      <w:r w:rsidRPr="000958AE">
        <w:tab/>
      </w:r>
      <w:r w:rsidRPr="000958AE">
        <w:tab/>
        <w:t>Decisión a tenor del artículo 2 del Protocolo facultativo</w:t>
      </w:r>
    </w:p>
    <w:p w:rsidR="00BF0D2A" w:rsidRPr="000958AE" w:rsidRDefault="00BF0D2A" w:rsidP="00BF0D2A">
      <w:pPr>
        <w:pStyle w:val="SingleTxtG"/>
      </w:pPr>
      <w:r w:rsidRPr="000958AE">
        <w:t>1.1</w:t>
      </w:r>
      <w:r w:rsidRPr="000958AE">
        <w:tab/>
        <w:t>El autor de la comunicación es Kenneth R. McAlpine, ciudadano británico nacido el 12 de agosto de 1964. Alega ser víctima de violaciones de sus derechos amparados por el artículo 4, párrafos 1 d) y 1 e); el artículo 5, párrafo 2; el artículo 8, párrafo 1 b); el artículo 12, párrafo 4; el artículo 22, párrafo 1</w:t>
      </w:r>
      <w:r>
        <w:t>;</w:t>
      </w:r>
      <w:r w:rsidRPr="000958AE">
        <w:t xml:space="preserve"> y el artículo 27, párrafo 1 a), de la Convención sobre los derechos de las personas con discapacidad (la Convención). No está representado por un abogado. La Convención y </w:t>
      </w:r>
      <w:r>
        <w:t>su</w:t>
      </w:r>
      <w:r w:rsidRPr="000958AE">
        <w:t xml:space="preserve"> Protocolo facultativo entraron en vigor para el Estado parte el 7 de julio de 2009, con arreglo al artículo 45, párrafo 2, de la Convención, y el 6 de septiembre de 2009, con arreglo al artículo 13, párrafo 2, del Protocolo facultativo, respectivamente.</w:t>
      </w:r>
    </w:p>
    <w:p w:rsidR="00BF0D2A" w:rsidRPr="000958AE" w:rsidRDefault="00BF0D2A" w:rsidP="00BF0D2A">
      <w:pPr>
        <w:pStyle w:val="SingleTxtG"/>
      </w:pPr>
      <w:r w:rsidRPr="000958AE">
        <w:t>1.2</w:t>
      </w:r>
      <w:r w:rsidRPr="000958AE">
        <w:tab/>
        <w:t>El 8 de marzo de 2012, el Relator Especial sobre nuevas comunicaciones</w:t>
      </w:r>
      <w:r>
        <w:t xml:space="preserve"> presentadas en virtud del Protocolo facultativo</w:t>
      </w:r>
      <w:r w:rsidRPr="000958AE">
        <w:t>, en nombre del Comité, determinó, de conformidad con el artículo 70, párrafo 8, del reglamento del Comité, que la admisibilidad de la comunicación debía examinarse separadamente de las cuestiones de fondo.</w:t>
      </w:r>
    </w:p>
    <w:p w:rsidR="00BF0D2A" w:rsidRPr="000958AE" w:rsidRDefault="00BF0D2A" w:rsidP="00BF0D2A">
      <w:pPr>
        <w:pStyle w:val="H23G"/>
      </w:pPr>
      <w:r w:rsidRPr="000958AE">
        <w:tab/>
      </w:r>
      <w:r w:rsidRPr="000958AE">
        <w:tab/>
        <w:t>Antecedentes de hecho</w:t>
      </w:r>
      <w:r w:rsidRPr="008B3A06">
        <w:rPr>
          <w:rStyle w:val="FootnoteReference"/>
          <w:b w:val="0"/>
        </w:rPr>
        <w:footnoteReference w:id="2"/>
      </w:r>
    </w:p>
    <w:p w:rsidR="00BF0D2A" w:rsidRPr="000958AE" w:rsidRDefault="00BF0D2A" w:rsidP="00BF0D2A">
      <w:pPr>
        <w:pStyle w:val="SingleTxtG"/>
      </w:pPr>
      <w:r w:rsidRPr="000958AE">
        <w:t>2.1</w:t>
      </w:r>
      <w:r w:rsidRPr="000958AE">
        <w:tab/>
        <w:t xml:space="preserve">En febrero de 1966, cuando tenía </w:t>
      </w:r>
      <w:r>
        <w:t>1</w:t>
      </w:r>
      <w:r w:rsidRPr="000958AE">
        <w:t xml:space="preserve"> año y medio, al autor le fue diagnosticada la </w:t>
      </w:r>
      <w:r w:rsidRPr="000958AE">
        <w:rPr>
          <w:i/>
        </w:rPr>
        <w:t>diabetes mellitus</w:t>
      </w:r>
      <w:r w:rsidRPr="000958AE">
        <w:t xml:space="preserve"> (diabetes de tipo 1), que desde entonces ha sido tratada con inyecciones diarias de insulina.</w:t>
      </w:r>
      <w:r>
        <w:t xml:space="preserve"> </w:t>
      </w:r>
      <w:r w:rsidRPr="000958AE">
        <w:t xml:space="preserve">El autor tiene una licenciatura en ingeniería y gestión de la producción y una maestría en </w:t>
      </w:r>
      <w:r>
        <w:t xml:space="preserve">ciencias en la especialidad de </w:t>
      </w:r>
      <w:r w:rsidRPr="000958AE">
        <w:t>sistemas de información empresarial.</w:t>
      </w:r>
    </w:p>
    <w:p w:rsidR="00BF0D2A" w:rsidRPr="000958AE" w:rsidRDefault="00BF0D2A" w:rsidP="00BF0D2A">
      <w:pPr>
        <w:pStyle w:val="SingleTxtG"/>
      </w:pPr>
      <w:r w:rsidRPr="000958AE">
        <w:t>2.2</w:t>
      </w:r>
      <w:r w:rsidRPr="000958AE">
        <w:tab/>
        <w:t xml:space="preserve">El 12 de agosto de 1998, el autor comenzó a trabajar en Oracle Corporation UK Limited (en adelante "Oracle") como consultor. En julio de 2004, a petición del autor, fue transferido al equipo de </w:t>
      </w:r>
      <w:r>
        <w:t xml:space="preserve">Prestación de Servicios a Solicitud de los Interesados </w:t>
      </w:r>
      <w:r w:rsidRPr="000958AE">
        <w:t xml:space="preserve">en calidad de gestor de </w:t>
      </w:r>
      <w:r>
        <w:t xml:space="preserve">la prestación de </w:t>
      </w:r>
      <w:r w:rsidRPr="000958AE">
        <w:t xml:space="preserve">servicios. De los 14 miembros del equipo, era el séptimo en antigüedad en el servicio. Estaba a cargo de una cuenta de clientes, trabajo que entrañaba la gestión de incidentes, la asistencia a reuniones mensuales y la preparación de un informe mensual. </w:t>
      </w:r>
      <w:r>
        <w:t>En</w:t>
      </w:r>
      <w:r w:rsidRPr="000958AE">
        <w:t xml:space="preserve"> noviembre de 2005, debido a la disminución de los incidentes en esa cuenta de clientes, se le encomend</w:t>
      </w:r>
      <w:r>
        <w:t>ó</w:t>
      </w:r>
      <w:r w:rsidRPr="000958AE">
        <w:t xml:space="preserve"> la gestión de incidentes de una segunda cuenta de clientes. El 16 de diciembre de 2005, el supervisor directo del autor, Sr. P.</w:t>
      </w:r>
      <w:r>
        <w:t xml:space="preserve"> </w:t>
      </w:r>
      <w:r w:rsidRPr="000958AE">
        <w:t xml:space="preserve">S, al enterarse de que el autor no tenía la intención de asistir a la reunión mensual del 21 de diciembre de 2005, se comunicó telefónicamente con </w:t>
      </w:r>
      <w:r>
        <w:t>este</w:t>
      </w:r>
      <w:r w:rsidRPr="000958AE">
        <w:t xml:space="preserve"> para discutir la situación. </w:t>
      </w:r>
      <w:r>
        <w:t>Tras</w:t>
      </w:r>
      <w:r w:rsidRPr="000958AE">
        <w:t xml:space="preserve"> señal</w:t>
      </w:r>
      <w:r>
        <w:t>ar</w:t>
      </w:r>
      <w:r w:rsidRPr="000958AE">
        <w:t xml:space="preserve"> el autor</w:t>
      </w:r>
      <w:r>
        <w:t xml:space="preserve"> </w:t>
      </w:r>
      <w:r w:rsidRPr="000958AE">
        <w:t xml:space="preserve">que no estaba satisfecho con el volumen de trabajo que se le había </w:t>
      </w:r>
      <w:r>
        <w:t>asignado</w:t>
      </w:r>
      <w:r w:rsidRPr="000958AE">
        <w:t xml:space="preserve">, quedó acordado que </w:t>
      </w:r>
      <w:r>
        <w:t>e</w:t>
      </w:r>
      <w:r w:rsidRPr="000958AE">
        <w:t>ste dejaría de ocuparse de la gestión de incidentes de la primera cuenta de clientes para concentrarse en el informe mensual y en las reuniones mensuales de esa cuenta, y que el resto del tiempo se dedicaría a la gestión de incidentes de la segunda cuenta. En esta conversación el Sr. P.</w:t>
      </w:r>
      <w:r>
        <w:t xml:space="preserve"> </w:t>
      </w:r>
      <w:r w:rsidRPr="000958AE">
        <w:t>S. tomó conocimiento de que el autor era diabético y de que estaba estresado desde noviembre de 2005, cuando se agregó a su carga de trabajo la segunda cuenta de clientes. En una conversación con su segundo supervisor, el Sr. N.</w:t>
      </w:r>
      <w:r>
        <w:t xml:space="preserve"> </w:t>
      </w:r>
      <w:r w:rsidRPr="000958AE">
        <w:t xml:space="preserve">C., el 21 de diciembre de 2005, el autor señaló que no deseaba asumir plenamente la función de gestor de </w:t>
      </w:r>
      <w:r>
        <w:t xml:space="preserve">la prestación de </w:t>
      </w:r>
      <w:r w:rsidRPr="000958AE">
        <w:t xml:space="preserve">servicios dado que trabajaba en su domicilio, deseaba reducir al mínimo los viajes y quería encontrar otra función en la misma empresa. </w:t>
      </w:r>
    </w:p>
    <w:p w:rsidR="00BF0D2A" w:rsidRPr="000958AE" w:rsidRDefault="00BF0D2A" w:rsidP="00BF0D2A">
      <w:pPr>
        <w:pStyle w:val="SingleTxtG"/>
      </w:pPr>
      <w:r w:rsidRPr="000958AE">
        <w:t>2.3</w:t>
      </w:r>
      <w:r w:rsidRPr="000958AE">
        <w:tab/>
        <w:t>En enero de 2006, Oracle anunció que se fusionaría con otra empresa, lo que supondría su reestructuración. Como parte de este proceso</w:t>
      </w:r>
      <w:r>
        <w:t>,</w:t>
      </w:r>
      <w:r w:rsidRPr="000958AE">
        <w:t xml:space="preserve"> se estableció la Oficina de Servicios </w:t>
      </w:r>
      <w:r>
        <w:t>Generales a Solicitud de los Interesados</w:t>
      </w:r>
      <w:r w:rsidRPr="000958AE">
        <w:t xml:space="preserve"> y Gestión de Incidentes de la Clientela, </w:t>
      </w:r>
      <w:r>
        <w:t>lo</w:t>
      </w:r>
      <w:r w:rsidRPr="000958AE">
        <w:t xml:space="preserve"> que afectó a las funciones del autor, ya que la gestión de incidentes se iba a centralizar y la única función que le quedaría sería la de elaborar el informe mensual y asistir a las reuniones mensuales de la primera cuenta de clientes. El 30 de mayo de 2006, un director de la empresa comunicó al autor que había sido seleccionado provisionalmente para integrar la lista del personal que sería despedido, porque ya no se necesitaban sus funciones en vista de los cambios en el modelo de negocio y él no era idóneo para el cargo de un gestor de </w:t>
      </w:r>
      <w:r>
        <w:t xml:space="preserve">la prestación de </w:t>
      </w:r>
      <w:r w:rsidRPr="000958AE">
        <w:t xml:space="preserve">servicios que debía tratar directamente con los clientes. Antes de la reestructuración, el autor no tenía contacto con los clientes, dado que se ocupaba principalmente de la gestión de incidentes y la preparación de informes. Después de la reestructuración, la función de gestión de incidentes </w:t>
      </w:r>
      <w:r>
        <w:t>quedó</w:t>
      </w:r>
      <w:r w:rsidRPr="000958AE">
        <w:t xml:space="preserve"> centralizada en la Oficina de Servicios </w:t>
      </w:r>
      <w:r>
        <w:t>Generales</w:t>
      </w:r>
      <w:r w:rsidRPr="000958AE">
        <w:t xml:space="preserve"> y los gestores de </w:t>
      </w:r>
      <w:r>
        <w:t xml:space="preserve">la prestación de </w:t>
      </w:r>
      <w:r w:rsidRPr="000958AE">
        <w:t xml:space="preserve">servicios dejaron de ocuparse de la gestión de incidentes. El autor reconoció ante el Tribunal Laboral que, pese a que se habían anunciado los puestos de nuevos gestores </w:t>
      </w:r>
      <w:r>
        <w:t xml:space="preserve">de la prestación </w:t>
      </w:r>
      <w:r w:rsidRPr="000958AE">
        <w:t>de servicios, no postuló a ellos</w:t>
      </w:r>
      <w:r>
        <w:rPr>
          <w:rStyle w:val="FootnoteReference"/>
        </w:rPr>
        <w:footnoteReference w:id="3"/>
      </w:r>
      <w:r w:rsidRPr="000958AE">
        <w:t>. El Tribunal observó que no se cuestionaba el hecho de que entre enero y junio de 2006 el autor había procurado encontrar otras funciones de carácter técnico dentro de la empresa</w:t>
      </w:r>
      <w:r>
        <w:rPr>
          <w:rStyle w:val="FootnoteReference"/>
        </w:rPr>
        <w:footnoteReference w:id="4"/>
      </w:r>
      <w:r w:rsidRPr="000958AE">
        <w:t>. El 10 de julio de 2006, el autor fue objeto de las medidas de reducción de la plantilla (despedido de su cargo).</w:t>
      </w:r>
    </w:p>
    <w:p w:rsidR="00BF0D2A" w:rsidRPr="000958AE" w:rsidRDefault="00BF0D2A" w:rsidP="00BF0D2A">
      <w:pPr>
        <w:pStyle w:val="SingleTxtG"/>
      </w:pPr>
      <w:r w:rsidRPr="000958AE">
        <w:t>2.4</w:t>
      </w:r>
      <w:r w:rsidRPr="000958AE">
        <w:tab/>
        <w:t xml:space="preserve">El 25 de agosto de 2006, el autor interpuso una demanda ante el Servicio del Tribunal Laboral, en la que declaró que Oracle no había seguido los procedimientos apropiados de despido y reducción de la plantilla. Sostuvo además que la decisión de Oracle había sido discriminatoria y contraria al artículo 3A 1) y 3A 5) de la Ley de 1995 sobre la discriminación por motivo de discapacidad. Afirmó que lo habían seleccionado para el despido debido a su discapacidad y/o porque había pedido que se le redujera la carga de trabajo debido a </w:t>
      </w:r>
      <w:r>
        <w:t>e</w:t>
      </w:r>
      <w:r w:rsidRPr="000958AE">
        <w:t>sta, y que Oracle no había introducido los ajustes razonables que le hubieran permitido quedarse en la empresa desempeñando debidamente sus funciones. Durante el proceso judicial, Oracle dio a conocer los mensajes electrónicos enviados por uno de sus gerentes, el Sr. P.</w:t>
      </w:r>
      <w:r>
        <w:t xml:space="preserve"> </w:t>
      </w:r>
      <w:r w:rsidRPr="000958AE">
        <w:t xml:space="preserve">S., que afirmaba que "la diabetes combinada con la hipertensión arterial podría dar lugar a prolongadas ausencias de trabajo por enfermedad" y sugería que se </w:t>
      </w:r>
      <w:r w:rsidR="006F7B0D" w:rsidRPr="000958AE">
        <w:t>iniciara</w:t>
      </w:r>
      <w:r w:rsidRPr="000958AE">
        <w:t xml:space="preserve"> el procedimiento para declarar "redundante</w:t>
      </w:r>
      <w:r>
        <w:t>s"</w:t>
      </w:r>
      <w:r w:rsidRPr="000958AE">
        <w:t xml:space="preserve"> </w:t>
      </w:r>
      <w:r>
        <w:t>las</w:t>
      </w:r>
      <w:r w:rsidRPr="000958AE">
        <w:t xml:space="preserve"> funciones</w:t>
      </w:r>
      <w:r>
        <w:t xml:space="preserve"> del autor</w:t>
      </w:r>
      <w:r w:rsidRPr="000958AE">
        <w:t>. El Tribunal concluyó que en ese momento, dado el carácter altamente confidencial de la lista de los candidatos al despido, el Sr. P.</w:t>
      </w:r>
      <w:r>
        <w:t xml:space="preserve"> </w:t>
      </w:r>
      <w:r w:rsidRPr="000958AE">
        <w:t xml:space="preserve">S., supervisor directo del autor, no sabía que </w:t>
      </w:r>
      <w:r>
        <w:t>e</w:t>
      </w:r>
      <w:r w:rsidRPr="000958AE">
        <w:t>ste se hallaba en la lista. El autor observa que Oracle reconoció en el proceso judicial que s</w:t>
      </w:r>
      <w:r>
        <w:t>o</w:t>
      </w:r>
      <w:r w:rsidRPr="000958AE">
        <w:t>lo se había ausentado dos días del trabajo por enfermedad entre julio de 2004 y abril de 2006. El Tribunal observó que el supervisor</w:t>
      </w:r>
      <w:r>
        <w:t>, el Sr.</w:t>
      </w:r>
      <w:r w:rsidRPr="000958AE">
        <w:t xml:space="preserve"> P.</w:t>
      </w:r>
      <w:r>
        <w:t xml:space="preserve"> </w:t>
      </w:r>
      <w:r w:rsidRPr="000958AE">
        <w:t>S.</w:t>
      </w:r>
      <w:r>
        <w:t>,</w:t>
      </w:r>
      <w:r w:rsidRPr="000958AE">
        <w:t xml:space="preserve"> que había hecho la observación sobre la posibilidad de que se ausentara por enfermedad reconoció en el juicio que ello había sido un error, dado que de hecho el autor había tenido muy pocos días de licencia por enfermedad. El autor sostuvo que </w:t>
      </w:r>
      <w:r>
        <w:t>había sido</w:t>
      </w:r>
      <w:r w:rsidRPr="000958AE">
        <w:t xml:space="preserve"> la única persona despedida del equipo de </w:t>
      </w:r>
      <w:r>
        <w:t xml:space="preserve">gestores de la prestación de </w:t>
      </w:r>
      <w:r w:rsidRPr="000958AE">
        <w:t>servicios, aunque tenía el mismo cargo y funciones que sus colegas, y que más tarde se contrató a nuevo personal. Según las conclusiones del Tribunal Laboral, el autor no negó que había muchos aspectos de</w:t>
      </w:r>
      <w:r>
        <w:t>l cargo</w:t>
      </w:r>
      <w:r w:rsidRPr="000958AE">
        <w:t xml:space="preserve"> de gestor de </w:t>
      </w:r>
      <w:r>
        <w:t xml:space="preserve">la prestación de </w:t>
      </w:r>
      <w:r w:rsidRPr="000958AE">
        <w:t>servicios</w:t>
      </w:r>
      <w:r>
        <w:t xml:space="preserve"> </w:t>
      </w:r>
      <w:r w:rsidRPr="000958AE">
        <w:t>de los cuales él no se ocupaba y las pruebas corrobora</w:t>
      </w:r>
      <w:r>
        <w:t>ron</w:t>
      </w:r>
      <w:r w:rsidRPr="000958AE">
        <w:t xml:space="preserve"> que el autor, siendo titular de </w:t>
      </w:r>
      <w:r>
        <w:t xml:space="preserve">ese </w:t>
      </w:r>
      <w:r w:rsidRPr="000958AE">
        <w:t>cargo, s</w:t>
      </w:r>
      <w:r>
        <w:t>o</w:t>
      </w:r>
      <w:r w:rsidRPr="000958AE">
        <w:t xml:space="preserve">lo desempeñaba </w:t>
      </w:r>
      <w:r>
        <w:t xml:space="preserve">en realidad </w:t>
      </w:r>
      <w:r w:rsidRPr="000958AE">
        <w:t>algunas de las funciones correspondientes</w:t>
      </w:r>
      <w:r>
        <w:rPr>
          <w:rStyle w:val="FootnoteReference"/>
        </w:rPr>
        <w:footnoteReference w:id="5"/>
      </w:r>
      <w:r w:rsidRPr="000958AE">
        <w:t>. Oracle señaló que la decisión de poner al autor en la lista de los candidatos al despido se había tomado en febrero de 2006 debido a la reestructuración y que el encargado de la lista, el Sr. M.</w:t>
      </w:r>
      <w:r>
        <w:t xml:space="preserve"> </w:t>
      </w:r>
      <w:r w:rsidRPr="000958AE">
        <w:t>T., no estaba al corriente de la discapacidad del autor.</w:t>
      </w:r>
    </w:p>
    <w:p w:rsidR="00BF0D2A" w:rsidRPr="000958AE" w:rsidRDefault="00BF0D2A" w:rsidP="00BF0D2A">
      <w:pPr>
        <w:pStyle w:val="SingleTxtG"/>
      </w:pPr>
      <w:r w:rsidRPr="000958AE">
        <w:t>2.5</w:t>
      </w:r>
      <w:r w:rsidRPr="000958AE">
        <w:tab/>
        <w:t xml:space="preserve">El 13 de marzo de 2007, el Tribunal Laboral determinó que el autor no había cumplido las disposiciones del artículo 32 de la Ley de empleo de 2002 en lo referente a la queja de que no </w:t>
      </w:r>
      <w:r>
        <w:t xml:space="preserve">se </w:t>
      </w:r>
      <w:r w:rsidRPr="000958AE">
        <w:t>había</w:t>
      </w:r>
      <w:r>
        <w:t>n</w:t>
      </w:r>
      <w:r w:rsidRPr="000958AE">
        <w:t xml:space="preserve"> hecho los ajustes razonables necesarios; por consiguiente,</w:t>
      </w:r>
      <w:r>
        <w:t xml:space="preserve"> </w:t>
      </w:r>
      <w:r w:rsidRPr="000958AE">
        <w:t xml:space="preserve">desechó esta parte de la demanda. El autor </w:t>
      </w:r>
      <w:r>
        <w:t>recurrió</w:t>
      </w:r>
      <w:r w:rsidRPr="000958AE">
        <w:t xml:space="preserve"> esa decisión. </w:t>
      </w:r>
    </w:p>
    <w:p w:rsidR="00BF0D2A" w:rsidRPr="000958AE" w:rsidRDefault="00BF0D2A" w:rsidP="00BF0D2A">
      <w:pPr>
        <w:pStyle w:val="SingleTxtG"/>
      </w:pPr>
      <w:r w:rsidRPr="000958AE">
        <w:t>2.6</w:t>
      </w:r>
      <w:r w:rsidRPr="000958AE">
        <w:tab/>
        <w:t>En julio y agosto de 2007</w:t>
      </w:r>
      <w:r>
        <w:t>,</w:t>
      </w:r>
      <w:r w:rsidRPr="000958AE">
        <w:t xml:space="preserve"> se desestimaron la reclamación por despido injusto y la reclamación por discriminación basada en la discapacidad. El Tribunal </w:t>
      </w:r>
      <w:r>
        <w:t xml:space="preserve">Laboral </w:t>
      </w:r>
      <w:r w:rsidRPr="000958AE">
        <w:t>tomó nota de que el autor s</w:t>
      </w:r>
      <w:r>
        <w:t>o</w:t>
      </w:r>
      <w:r w:rsidRPr="000958AE">
        <w:t>lo había desempeñado una función limitada como ge</w:t>
      </w:r>
      <w:r>
        <w:t>stor</w:t>
      </w:r>
      <w:r w:rsidRPr="000958AE">
        <w:t xml:space="preserve"> de </w:t>
      </w:r>
      <w:r>
        <w:t xml:space="preserve">la prestación de </w:t>
      </w:r>
      <w:r w:rsidRPr="000958AE">
        <w:t xml:space="preserve">servicios, que se había reducido considerablemente tras la reestructuración de Oracle, y dictaminó que la función del autor era redundante. En cuanto a las reclamaciones por discriminación, el Tribunal se basó en que los mensajes electrónicos en que se mencionaba la diabetes del autor no habían sido los causantes de su selección para el despido, en que la lista de reducción de la plantilla se había preparado antes de la fecha de esos mensajes y en que la persona encargada de la lista no tenía conocimiento de la discapacidad del autor. El Tribunal rechazó el argumento del autor a este respecto, señalando que había otro gestor de </w:t>
      </w:r>
      <w:r>
        <w:t xml:space="preserve">la prestación de </w:t>
      </w:r>
      <w:r w:rsidRPr="000958AE">
        <w:t>servicios, una mujer, con diabetes de tipo 1, que seguía en sus funciones. El Tribunal agregó que</w:t>
      </w:r>
      <w:r>
        <w:t>,</w:t>
      </w:r>
      <w:r w:rsidRPr="000958AE">
        <w:t xml:space="preserve"> para poder determinar una discriminación directa, "el punto de comparación correcto en estos casos es la persona que no tiene esa discapacidad específica pero cuyas circunstancias no son sustancialmente distintas de las de la persona con discapacidad". Por último, respecto de la reclamación de que el autor había recibido un trato menos favorable por un motivo relacionado con su discapacidad, el Tribunal </w:t>
      </w:r>
      <w:r>
        <w:t>señaló</w:t>
      </w:r>
      <w:r w:rsidRPr="000958AE">
        <w:t xml:space="preserve"> que debía haber una relación causal entre la discapacidad del empleado y el trato denunciado y sostuvo que el autor había sido trasladado al equipo de </w:t>
      </w:r>
      <w:r>
        <w:t xml:space="preserve">prestación de </w:t>
      </w:r>
      <w:r w:rsidRPr="000958AE">
        <w:t xml:space="preserve">servicios </w:t>
      </w:r>
      <w:r>
        <w:t>a solicitud de los interesados</w:t>
      </w:r>
      <w:r w:rsidRPr="000958AE">
        <w:t xml:space="preserve"> y había conseguido diversos ajustes</w:t>
      </w:r>
      <w:r>
        <w:t xml:space="preserve"> a petición propia</w:t>
      </w:r>
      <w:r w:rsidRPr="000958AE">
        <w:t>, como la reducción de su carga de trabajo. Por lo tanto, no podía argumentar que recibía un trato menos favorable.</w:t>
      </w:r>
    </w:p>
    <w:p w:rsidR="00BF0D2A" w:rsidRPr="000958AE" w:rsidRDefault="00BF0D2A" w:rsidP="00BF0D2A">
      <w:pPr>
        <w:pStyle w:val="SingleTxtG"/>
      </w:pPr>
      <w:r w:rsidRPr="000958AE">
        <w:t>2.7</w:t>
      </w:r>
      <w:r w:rsidRPr="000958AE">
        <w:tab/>
        <w:t>El 24 de octubre de 2007, el autor interpuso un recurso ante el Tribunal Laboral de Apelación, alegando que no había información disponible sobre los motivos de su inclusión en la lista de reducción de la plantilla, que los correos electrónicos de los directivos de Oracle demostraban que había sido despedido a causa de su diabetes, que Oracle no le había consultado verdaderamente y que sus pruebas habían sido fabricadas o manipuladas. El Tribunal Laboral de Apelación observó que s</w:t>
      </w:r>
      <w:r>
        <w:t>o</w:t>
      </w:r>
      <w:r w:rsidRPr="000958AE">
        <w:t xml:space="preserve">lo tenía jurisdicción para entender </w:t>
      </w:r>
      <w:r>
        <w:t>d</w:t>
      </w:r>
      <w:r w:rsidRPr="000958AE">
        <w:t xml:space="preserve">e cuestiones de aplicación de la ley y no podía "volver a examinar los hechos y circunstancias de un caso o revisar un fallo del Tribunal Laboral sobre </w:t>
      </w:r>
      <w:r>
        <w:t>e</w:t>
      </w:r>
      <w:r w:rsidRPr="000958AE">
        <w:t xml:space="preserve">stos". El Tribunal de Apelación desestimó el recurso el 19 de diciembre de 2007, dictaminando que no se había expuesto ningún motivo razonable para la apelación. Posteriormente, el autor interpuso contra ese fallo un recurso ante el Tribunal Supremo (Court of Session) en virtud del artículo 37 de la Ley de </w:t>
      </w:r>
      <w:r>
        <w:t>t</w:t>
      </w:r>
      <w:r w:rsidRPr="000958AE">
        <w:t>ribunal</w:t>
      </w:r>
      <w:r>
        <w:t>es</w:t>
      </w:r>
      <w:r w:rsidRPr="000958AE">
        <w:t xml:space="preserve"> </w:t>
      </w:r>
      <w:r>
        <w:t>l</w:t>
      </w:r>
      <w:r w:rsidRPr="000958AE">
        <w:t>aboral</w:t>
      </w:r>
      <w:r>
        <w:t>es</w:t>
      </w:r>
      <w:r w:rsidRPr="000958AE">
        <w:t xml:space="preserve"> de 1996. El 12 de febrero de 2010, el Tribunal Supremo rechazó todos los fundamentos de</w:t>
      </w:r>
      <w:r>
        <w:t>l recurso</w:t>
      </w:r>
      <w:r w:rsidRPr="000958AE">
        <w:t xml:space="preserve"> y sostuvo que algunos aspectos, como la evaluación de las pruebas, eran competencia del Tribunal Laboral y que no había detectado ningún error de derecho. El Tribunal Laboral y el Tribunal Supremo </w:t>
      </w:r>
      <w:r>
        <w:t>condenaron</w:t>
      </w:r>
      <w:r w:rsidRPr="000958AE">
        <w:t xml:space="preserve"> al autor </w:t>
      </w:r>
      <w:r>
        <w:t xml:space="preserve">al pago de las </w:t>
      </w:r>
      <w:r w:rsidRPr="000958AE">
        <w:t>costas judiciales por valor de 3.700,00 y 6.968,25 libras esterlinas, respectivamente.</w:t>
      </w:r>
    </w:p>
    <w:p w:rsidR="00BF0D2A" w:rsidRPr="000958AE" w:rsidRDefault="00BF0D2A" w:rsidP="00BF0D2A">
      <w:pPr>
        <w:pStyle w:val="SingleTxtG"/>
      </w:pPr>
      <w:r w:rsidRPr="000958AE">
        <w:t>2.8</w:t>
      </w:r>
      <w:r w:rsidRPr="000958AE">
        <w:tab/>
        <w:t>El 12 de agosto de 2008, el autor presentó una demanda ante el Tribunal Europeo de Derechos Humanos, en que sostenía ser víctima de violación del derecho a un juicio imparcial y otros derechos</w:t>
      </w:r>
      <w:r>
        <w:t>,</w:t>
      </w:r>
      <w:r w:rsidRPr="000958AE">
        <w:t xml:space="preserve"> </w:t>
      </w:r>
      <w:r>
        <w:t>así como</w:t>
      </w:r>
      <w:r w:rsidRPr="000958AE">
        <w:t xml:space="preserve"> de discriminación. El 29 de marzo de 2011, el Tribunal</w:t>
      </w:r>
      <w:r>
        <w:t>,</w:t>
      </w:r>
      <w:r w:rsidRPr="000958AE">
        <w:t xml:space="preserve"> constituido por un solo juez</w:t>
      </w:r>
      <w:r>
        <w:t>,</w:t>
      </w:r>
      <w:r w:rsidRPr="000958AE">
        <w:t xml:space="preserve"> la declaró inadmisible porque no revelaba </w:t>
      </w:r>
      <w:r>
        <w:t>"</w:t>
      </w:r>
      <w:r w:rsidRPr="000958AE">
        <w:t xml:space="preserve">ningún indicio de violación de los derechos y libertades </w:t>
      </w:r>
      <w:r>
        <w:t>establecidos</w:t>
      </w:r>
      <w:r w:rsidRPr="000958AE">
        <w:t xml:space="preserve"> en el Convenio Europeo para la Protección de los Derechos Humanos y de las Libertades Fundamentales </w:t>
      </w:r>
      <w:r>
        <w:t>ni</w:t>
      </w:r>
      <w:r w:rsidRPr="000958AE">
        <w:t xml:space="preserve"> en sus Protocolos</w:t>
      </w:r>
      <w:r>
        <w:t>"</w:t>
      </w:r>
      <w:r w:rsidRPr="000958AE">
        <w:t>.</w:t>
      </w:r>
    </w:p>
    <w:p w:rsidR="00BF0D2A" w:rsidRPr="000958AE" w:rsidRDefault="00BF0D2A" w:rsidP="00BF0D2A">
      <w:pPr>
        <w:pStyle w:val="H23G"/>
      </w:pPr>
      <w:r w:rsidRPr="000958AE">
        <w:tab/>
      </w:r>
      <w:r w:rsidRPr="000958AE">
        <w:tab/>
        <w:t>La denuncia</w:t>
      </w:r>
    </w:p>
    <w:p w:rsidR="00BF0D2A" w:rsidRPr="000958AE" w:rsidRDefault="00BF0D2A" w:rsidP="00BF0D2A">
      <w:pPr>
        <w:pStyle w:val="SingleTxtG"/>
      </w:pPr>
      <w:r w:rsidRPr="000958AE">
        <w:t>3.1</w:t>
      </w:r>
      <w:r w:rsidRPr="000958AE">
        <w:tab/>
        <w:t xml:space="preserve">El autor sostiene que el Estado parte no protegió ni promovió en su caso los derechos consagrados en el artículo 4, párrafos 1 d) </w:t>
      </w:r>
      <w:r>
        <w:t>y</w:t>
      </w:r>
      <w:r w:rsidRPr="000958AE">
        <w:t xml:space="preserve"> 1 e); el artículo 5, párrafo 2; el artículo 8, párrafo 1</w:t>
      </w:r>
      <w:r>
        <w:t xml:space="preserve"> </w:t>
      </w:r>
      <w:r w:rsidRPr="000958AE">
        <w:t xml:space="preserve">b); el artículo 12, párrafo 4; el artículo 22, párrafo 1; y el artículo 27, párrafo 1 a), de la Convención porque no aplicó su propia legislación, debido, en opinión del autor, a la idea estereotipada de que la diabetes entrañaría largos períodos de ausencia por enfermedad. Además, señala que los tribunales del Estado parte no evaluaron apropiadamente las pruebas de discriminación que tuvieron ante sí y se basaron en las pruebas inventadas o manipuladas presentadas por Oracle. </w:t>
      </w:r>
    </w:p>
    <w:p w:rsidR="00BF0D2A" w:rsidRPr="000958AE" w:rsidRDefault="00BF0D2A" w:rsidP="00BF0D2A">
      <w:pPr>
        <w:pStyle w:val="SingleTxtG"/>
      </w:pPr>
      <w:r w:rsidRPr="000958AE">
        <w:t>3.2</w:t>
      </w:r>
      <w:r w:rsidRPr="000958AE">
        <w:tab/>
        <w:t>Con respecto a la presunta violación del artículo 4, párrafos 1 d) y 1 e), el autor sostiene que el Estado parte no ha tomado ninguna disposición para que sus autoridades reconozcan la discriminación basada en la diabetes. Tampoco ha adoptado ninguna medida para eliminar la discriminación por parte de las empresas privadas, como Oracle.</w:t>
      </w:r>
    </w:p>
    <w:p w:rsidR="00BF0D2A" w:rsidRPr="000958AE" w:rsidRDefault="00BF0D2A" w:rsidP="0005199A">
      <w:pPr>
        <w:pStyle w:val="SingleTxtG"/>
        <w:keepNext/>
        <w:keepLines/>
      </w:pPr>
      <w:r w:rsidRPr="000958AE">
        <w:t>3.3</w:t>
      </w:r>
      <w:r w:rsidRPr="000958AE">
        <w:tab/>
        <w:t xml:space="preserve">El autor sostiene además que el Estado parte no ha prohibido la discriminación por motivo de discapacidad conforme al artículo 5, párrafo 2, de la Convención por cuanto afirmó que no constituía discriminación la presunción estereotipada de que la discapacidad equivalía a enfermedad y entrañaría ausencia del trabajo. </w:t>
      </w:r>
    </w:p>
    <w:p w:rsidR="00BF0D2A" w:rsidRPr="000958AE" w:rsidRDefault="00BF0D2A" w:rsidP="0005199A">
      <w:pPr>
        <w:pStyle w:val="SingleTxtG"/>
        <w:keepNext/>
        <w:keepLines/>
      </w:pPr>
      <w:r w:rsidRPr="000958AE">
        <w:t>3.4</w:t>
      </w:r>
      <w:r w:rsidRPr="000958AE">
        <w:tab/>
        <w:t xml:space="preserve">Con respecto a la presunta violación del artículo 8, párrafo 1 b), el autor afirma que </w:t>
      </w:r>
      <w:r>
        <w:t xml:space="preserve">el Estado parte, </w:t>
      </w:r>
      <w:r w:rsidRPr="000958AE">
        <w:t>pese a que ha promulgado leyes de protección contra la discriminación de las personas con discapacidad, no ha adoptado ninguna medida inmediata, eficaz y apropiada para combatir los estereotipos, los prejuicios y las prácticas nocivas de los empleadores, el sistema judicial y los jueces que dan por sentado que todos los diabéticos tienen largos períodos de licencia debido a su enfermedad.</w:t>
      </w:r>
    </w:p>
    <w:p w:rsidR="00BF0D2A" w:rsidRPr="000958AE" w:rsidRDefault="00BF0D2A" w:rsidP="00BF0D2A">
      <w:pPr>
        <w:pStyle w:val="SingleTxtG"/>
      </w:pPr>
      <w:r w:rsidRPr="000958AE">
        <w:t>3.5</w:t>
      </w:r>
      <w:r w:rsidRPr="000958AE">
        <w:tab/>
        <w:t>Con respecto a la presunta violación del artículo 12, párrafo 4, el autor sostiene que no tuvo un juicio imparcial porque las pruebas en que se basaron los tribunales fueron manipuladas por su antiguo empleador</w:t>
      </w:r>
      <w:r>
        <w:rPr>
          <w:rStyle w:val="FootnoteReference"/>
        </w:rPr>
        <w:footnoteReference w:id="6"/>
      </w:r>
      <w:r w:rsidRPr="000958AE">
        <w:t xml:space="preserve">. Afirma que los mensajes electrónicos por los cuales se le inscribió en la lista de reducción de la plantilla no siguen un orden cronológico, dado que el primero es del 2 de febrero, el segundo del 23 de marzo, el tercero del 21 de febrero y el cuarto del 4 de febrero de 2006, y que su nombre fue agregado a mano en la lista mientras que los demás estaban impresos. </w:t>
      </w:r>
    </w:p>
    <w:p w:rsidR="00BF0D2A" w:rsidRPr="00965F54" w:rsidRDefault="00BF0D2A" w:rsidP="00BF0D2A">
      <w:pPr>
        <w:pStyle w:val="SingleTxtG"/>
      </w:pPr>
      <w:r w:rsidRPr="000958AE">
        <w:t>3.6</w:t>
      </w:r>
      <w:r w:rsidRPr="000958AE">
        <w:tab/>
        <w:t xml:space="preserve">El autor señala que ha sido víctima de una injerencia arbitraria e ilegal en su vida privada y familiar. El 8 de septiembre de 2010, durante su ausencia, un funcionario judicial </w:t>
      </w:r>
      <w:r>
        <w:t>se puso</w:t>
      </w:r>
      <w:r w:rsidRPr="000958AE">
        <w:t xml:space="preserve"> a indagar sobre su paradero y su trabajo entre los vecinos. El 14 de septiembre de 2010</w:t>
      </w:r>
      <w:r>
        <w:t>,</w:t>
      </w:r>
      <w:r w:rsidRPr="000958AE">
        <w:t xml:space="preserve"> dos funcionarios del tribunal preguntaron al autor sobre el valor de su casa y su automóvil sin poder comunicarle el monto exacto de las costas judiciales que se le cobrarían</w:t>
      </w:r>
      <w:r>
        <w:rPr>
          <w:rStyle w:val="FootnoteReference"/>
        </w:rPr>
        <w:footnoteReference w:id="7"/>
      </w:r>
      <w:r w:rsidRPr="000958AE">
        <w:t xml:space="preserve">. El autor dice que impugnó las costas que se le </w:t>
      </w:r>
      <w:r>
        <w:t>imponían</w:t>
      </w:r>
      <w:r w:rsidRPr="000958AE">
        <w:t xml:space="preserve"> y que la tentativa del funcionario judicial de recuperar esas costas tenía por objeto disuadirlo de interponer nuevos recursos. Sostiene además que la declaración del Tribunal Laboral que lo catalogaba de "testigo no fiable"</w:t>
      </w:r>
      <w:r>
        <w:rPr>
          <w:rStyle w:val="FootnoteReference"/>
        </w:rPr>
        <w:footnoteReference w:id="8"/>
      </w:r>
      <w:r>
        <w:t xml:space="preserve"> </w:t>
      </w:r>
      <w:r w:rsidRPr="00965F54">
        <w:t xml:space="preserve">era un atentado a su honra y reputación que </w:t>
      </w:r>
      <w:r>
        <w:t>contravenía</w:t>
      </w:r>
      <w:r w:rsidRPr="00965F54">
        <w:t xml:space="preserve"> el artículo 22 de la Convención.</w:t>
      </w:r>
    </w:p>
    <w:p w:rsidR="00BF0D2A" w:rsidRPr="00965F54" w:rsidRDefault="00BF0D2A" w:rsidP="00BF0D2A">
      <w:pPr>
        <w:pStyle w:val="SingleTxtG"/>
      </w:pPr>
      <w:r w:rsidRPr="00965F54">
        <w:t>3.7</w:t>
      </w:r>
      <w:r w:rsidRPr="00965F54">
        <w:tab/>
        <w:t>Con respecto a la violación del artículo 27, párrafo 1 a), de la Convención, el autor sostiene que fue víctima de la presunción estereotipada de que debido a la diabetes tendría largos períodos de licencia por enfermedad, que no se basaba en los hechos reales, dado que en los dos años anteriores a su despido s</w:t>
      </w:r>
      <w:r>
        <w:t>o</w:t>
      </w:r>
      <w:r w:rsidRPr="00965F54">
        <w:t>lo se había ausentado dos días por enfermedad.</w:t>
      </w:r>
      <w:r>
        <w:t xml:space="preserve"> </w:t>
      </w:r>
      <w:r w:rsidRPr="00965F54">
        <w:t>Afirma que fue discriminado por su discapacidad, puesto que no trabajaba ni fue empleado en condiciones de igualdad con los demás empleados.</w:t>
      </w:r>
    </w:p>
    <w:p w:rsidR="00BF0D2A" w:rsidRPr="00965F54" w:rsidRDefault="00BF0D2A" w:rsidP="00BF0D2A">
      <w:pPr>
        <w:pStyle w:val="H23G"/>
      </w:pPr>
      <w:r w:rsidRPr="00965F54">
        <w:tab/>
      </w:r>
      <w:r w:rsidRPr="00965F54">
        <w:tab/>
        <w:t>Observaciones del Estado parte sobre la admisibilidad</w:t>
      </w:r>
    </w:p>
    <w:p w:rsidR="00BF0D2A" w:rsidRPr="00965F54" w:rsidRDefault="00BF0D2A" w:rsidP="00BF0D2A">
      <w:pPr>
        <w:pStyle w:val="SingleTxtG"/>
      </w:pPr>
      <w:r w:rsidRPr="00965F54">
        <w:t>4.1</w:t>
      </w:r>
      <w:r w:rsidRPr="00965F54">
        <w:tab/>
        <w:t xml:space="preserve">El Estado parte considera que la comunicación es inadmisible dado que los hechos ocurrieron antes de la entrada en vigor del Protocolo </w:t>
      </w:r>
      <w:r>
        <w:t>f</w:t>
      </w:r>
      <w:r w:rsidRPr="00965F54">
        <w:t xml:space="preserve">acultativo, las reclamaciones del autor han sido examinadas </w:t>
      </w:r>
      <w:r>
        <w:t>mediante</w:t>
      </w:r>
      <w:r w:rsidRPr="00965F54">
        <w:t xml:space="preserve"> otro procedimiento de investigación o arreglo internacional y la denuncia es manifiestamente infundada o </w:t>
      </w:r>
      <w:r>
        <w:t xml:space="preserve">no </w:t>
      </w:r>
      <w:r w:rsidRPr="00965F54">
        <w:t xml:space="preserve">está suficientemente </w:t>
      </w:r>
      <w:r>
        <w:t>fundamentada</w:t>
      </w:r>
      <w:r w:rsidRPr="00965F54">
        <w:t>.</w:t>
      </w:r>
    </w:p>
    <w:p w:rsidR="00BF0D2A" w:rsidRPr="00965F54" w:rsidRDefault="00BF0D2A" w:rsidP="00BF0D2A">
      <w:pPr>
        <w:pStyle w:val="SingleTxtG"/>
      </w:pPr>
      <w:r w:rsidRPr="00965F54">
        <w:t>4.2</w:t>
      </w:r>
      <w:r w:rsidRPr="00965F54">
        <w:tab/>
        <w:t>El Estado p</w:t>
      </w:r>
      <w:r>
        <w:t>arte sostiene que el Protocolo f</w:t>
      </w:r>
      <w:r w:rsidRPr="00965F54">
        <w:t xml:space="preserve">acultativo entró en vigor el 6 de septiembre de 2009 y que el episodio </w:t>
      </w:r>
      <w:r>
        <w:t>central</w:t>
      </w:r>
      <w:r w:rsidRPr="00965F54">
        <w:t xml:space="preserve"> del proceso de despido del autor tuvo lugar el 10 de julio de 2006. Todas las vistas judiciales </w:t>
      </w:r>
      <w:r>
        <w:t xml:space="preserve">en </w:t>
      </w:r>
      <w:r w:rsidRPr="00965F54">
        <w:t>que se examinaron los hechos</w:t>
      </w:r>
      <w:r>
        <w:t xml:space="preserve"> y circunstancias</w:t>
      </w:r>
      <w:r w:rsidRPr="00965F54">
        <w:t xml:space="preserve"> del despido del autor tuvieron lugar antes de la </w:t>
      </w:r>
      <w:r>
        <w:t>entrada en vigor del Protocolo f</w:t>
      </w:r>
      <w:r w:rsidRPr="00965F54">
        <w:t>acultativo. Considera que la comunicación debe declararse inadmisible a tenor del artícu</w:t>
      </w:r>
      <w:r>
        <w:t>lo 2, párrafo f) del Protocolo f</w:t>
      </w:r>
      <w:r w:rsidRPr="00965F54">
        <w:t>acultativo.</w:t>
      </w:r>
    </w:p>
    <w:p w:rsidR="00BF0D2A" w:rsidRPr="00965F54" w:rsidRDefault="00BF0D2A" w:rsidP="00BF0D2A">
      <w:pPr>
        <w:pStyle w:val="SingleTxtG"/>
      </w:pPr>
      <w:r w:rsidRPr="00965F54">
        <w:t>4.3</w:t>
      </w:r>
      <w:r w:rsidRPr="00965F54">
        <w:tab/>
        <w:t xml:space="preserve">El Estado parte sostiene asimismo que el autor presentó su demanda al Tribunal Europeo de Derechos Humanos, que </w:t>
      </w:r>
      <w:r>
        <w:t>no la admitió a trámite</w:t>
      </w:r>
      <w:r w:rsidRPr="00965F54">
        <w:t xml:space="preserve"> porque no revelaba "ningún indicio de violación de los derechos y libertades establecidos en </w:t>
      </w:r>
      <w:r>
        <w:t>el Convenio</w:t>
      </w:r>
      <w:r w:rsidRPr="00965F54">
        <w:t xml:space="preserve"> </w:t>
      </w:r>
      <w:r>
        <w:t xml:space="preserve">ni en </w:t>
      </w:r>
      <w:r w:rsidRPr="00965F54">
        <w:t>sus Protocolos". El Estado parte argumenta que el Tribunal examinó las cuestiones de fondo de la demanda del autor y</w:t>
      </w:r>
      <w:r>
        <w:t>,</w:t>
      </w:r>
      <w:r w:rsidRPr="00965F54">
        <w:t xml:space="preserve"> por tanto</w:t>
      </w:r>
      <w:r>
        <w:t>,</w:t>
      </w:r>
      <w:r w:rsidRPr="00965F54">
        <w:t xml:space="preserve"> la comunicación debe considerarse inadmisible a tenor del artícul</w:t>
      </w:r>
      <w:r>
        <w:t>o 2, párrafo c), del Protocolo f</w:t>
      </w:r>
      <w:r w:rsidRPr="00965F54">
        <w:t>acultativo.</w:t>
      </w:r>
    </w:p>
    <w:p w:rsidR="00BF0D2A" w:rsidRPr="00965F54" w:rsidRDefault="00BF0D2A" w:rsidP="00BF0D2A">
      <w:pPr>
        <w:pStyle w:val="SingleTxtG"/>
      </w:pPr>
      <w:r w:rsidRPr="00965F54">
        <w:t>4.4</w:t>
      </w:r>
      <w:r w:rsidRPr="00965F54">
        <w:tab/>
        <w:t>Por último, el Estado parte invoca la argumentación de otros órganos de tratados de derechos humanos en el sentido de que no le corresponde al Comité la función de sustituir a las autoridades nacionales en la evaluación de los hechos</w:t>
      </w:r>
      <w:r w:rsidRPr="00265844">
        <w:rPr>
          <w:rStyle w:val="FootnoteReference"/>
          <w:szCs w:val="18"/>
        </w:rPr>
        <w:footnoteReference w:id="9"/>
      </w:r>
      <w:r>
        <w:t>.</w:t>
      </w:r>
      <w:r w:rsidRPr="00965F54">
        <w:t xml:space="preserve"> La presente comunicación se basa en los mismos hechos presentados para impugnar la decisión de despido ante los tribunales na</w:t>
      </w:r>
      <w:r>
        <w:t>cionales. El tribunal nacional examinó</w:t>
      </w:r>
      <w:r w:rsidRPr="00965F54">
        <w:t xml:space="preserve"> los hechos y rechazó las </w:t>
      </w:r>
      <w:r>
        <w:t>pretensiones</w:t>
      </w:r>
      <w:r w:rsidRPr="00965F54">
        <w:t xml:space="preserve"> del autor. El autor no ha explicado de qué manera las autoridades nacionales contravinieron la Convención al </w:t>
      </w:r>
      <w:r>
        <w:t>tramitar su</w:t>
      </w:r>
      <w:r w:rsidRPr="00965F54">
        <w:t xml:space="preserve"> demanda contra el despido. El Estado parte s</w:t>
      </w:r>
      <w:r>
        <w:t>eñala</w:t>
      </w:r>
      <w:r w:rsidRPr="00965F54">
        <w:t xml:space="preserve"> que el autor admite que existe una legislación que prohíbe directa e indirectamente la discriminación y el trato desfavorable por motivo de discapacidad en el lugar de trabajo</w:t>
      </w:r>
      <w:r>
        <w:t xml:space="preserve"> (Ley sobre la discriminación por motivo de discapacidad, de </w:t>
      </w:r>
      <w:r w:rsidRPr="00965F54">
        <w:t>1995). Sostiene que</w:t>
      </w:r>
      <w:r>
        <w:t>,</w:t>
      </w:r>
      <w:r w:rsidRPr="00965F54">
        <w:t xml:space="preserve"> al impugnar el fallo del Tribunal Laboral</w:t>
      </w:r>
      <w:r>
        <w:t>,</w:t>
      </w:r>
      <w:r w:rsidRPr="00965F54">
        <w:t xml:space="preserve"> el autor está pidiendo </w:t>
      </w:r>
      <w:r>
        <w:t xml:space="preserve">en realidad </w:t>
      </w:r>
      <w:r w:rsidRPr="00965F54">
        <w:t xml:space="preserve">al Comité que </w:t>
      </w:r>
      <w:r>
        <w:t>revoque</w:t>
      </w:r>
      <w:r w:rsidRPr="00965F54">
        <w:t xml:space="preserve"> las conclusiones del tribunal nacional sobre los hechos </w:t>
      </w:r>
      <w:r>
        <w:t>y circunstancias del caso,</w:t>
      </w:r>
      <w:r w:rsidRPr="00965F54">
        <w:t xml:space="preserve"> sin </w:t>
      </w:r>
      <w:r>
        <w:t>presentar</w:t>
      </w:r>
      <w:r w:rsidRPr="00965F54">
        <w:t xml:space="preserve"> prueba alguna que justifique su a</w:t>
      </w:r>
      <w:r>
        <w:t>legato</w:t>
      </w:r>
      <w:r w:rsidRPr="00965F54">
        <w:t xml:space="preserve"> de que el sistema judicial del Estado condonó </w:t>
      </w:r>
      <w:r>
        <w:t xml:space="preserve">con su actuación </w:t>
      </w:r>
      <w:r w:rsidRPr="00965F54">
        <w:t xml:space="preserve">la presunta discriminación. Considera, por ende, que la comunicación es manifiestamente infundada o </w:t>
      </w:r>
      <w:r>
        <w:t xml:space="preserve">no </w:t>
      </w:r>
      <w:r w:rsidRPr="00965F54">
        <w:t xml:space="preserve">está suficientemente </w:t>
      </w:r>
      <w:r>
        <w:t>fundamentada</w:t>
      </w:r>
      <w:r w:rsidRPr="00965F54">
        <w:t xml:space="preserve"> a</w:t>
      </w:r>
      <w:r>
        <w:t xml:space="preserve"> los efectos del</w:t>
      </w:r>
      <w:r w:rsidRPr="00965F54">
        <w:t xml:space="preserve"> artícul</w:t>
      </w:r>
      <w:r>
        <w:t>o 2, párrafo e), del Protocolo f</w:t>
      </w:r>
      <w:r w:rsidRPr="00965F54">
        <w:t>acultativo.</w:t>
      </w:r>
    </w:p>
    <w:p w:rsidR="00BF0D2A" w:rsidRPr="00965F54" w:rsidRDefault="00BF0D2A" w:rsidP="00BF0D2A">
      <w:pPr>
        <w:pStyle w:val="H23G"/>
      </w:pPr>
      <w:r w:rsidRPr="00965F54">
        <w:tab/>
      </w:r>
      <w:r w:rsidRPr="00965F54">
        <w:tab/>
        <w:t>Comentarios del autor a las observaciones del Estado parte</w:t>
      </w:r>
    </w:p>
    <w:p w:rsidR="00BF0D2A" w:rsidRPr="00965F54" w:rsidRDefault="00BF0D2A" w:rsidP="00BF0D2A">
      <w:pPr>
        <w:pStyle w:val="SingleTxtG"/>
      </w:pPr>
      <w:r w:rsidRPr="00965F54">
        <w:t>5.1</w:t>
      </w:r>
      <w:r w:rsidRPr="00965F54">
        <w:tab/>
        <w:t xml:space="preserve">El 4 de marzo de 2012, el autor </w:t>
      </w:r>
      <w:r>
        <w:t>transmite</w:t>
      </w:r>
      <w:r w:rsidRPr="00965F54">
        <w:t xml:space="preserve"> sus comentarios a las observaciones del Estado parte y señala que</w:t>
      </w:r>
      <w:r>
        <w:t xml:space="preserve"> el</w:t>
      </w:r>
      <w:r w:rsidRPr="00965F54">
        <w:t xml:space="preserve"> último fallo judicial </w:t>
      </w:r>
      <w:r>
        <w:t>sobre su caso está fechado</w:t>
      </w:r>
      <w:r w:rsidRPr="00965F54">
        <w:t xml:space="preserve"> el 12 de febrero 2010. Ello</w:t>
      </w:r>
      <w:r>
        <w:t xml:space="preserve"> demuestra que los hechos continua</w:t>
      </w:r>
      <w:r w:rsidRPr="00965F54">
        <w:t xml:space="preserve">ron </w:t>
      </w:r>
      <w:r>
        <w:t>p</w:t>
      </w:r>
      <w:r w:rsidRPr="00965F54">
        <w:t>r</w:t>
      </w:r>
      <w:r>
        <w:t>oducié</w:t>
      </w:r>
      <w:r w:rsidRPr="00965F54">
        <w:t>ndo</w:t>
      </w:r>
      <w:r>
        <w:t>se</w:t>
      </w:r>
      <w:r w:rsidRPr="00965F54">
        <w:t xml:space="preserve"> después de la fecha de entrada en vigor del Protocolo facultativo, y </w:t>
      </w:r>
      <w:r>
        <w:t>persisten</w:t>
      </w:r>
      <w:r w:rsidRPr="00965F54">
        <w:t xml:space="preserve"> </w:t>
      </w:r>
      <w:r>
        <w:t>hoy en día.</w:t>
      </w:r>
    </w:p>
    <w:p w:rsidR="00BF0D2A" w:rsidRPr="00965F54" w:rsidRDefault="00BF0D2A" w:rsidP="00BF0D2A">
      <w:pPr>
        <w:pStyle w:val="SingleTxtG"/>
      </w:pPr>
      <w:r w:rsidRPr="00965F54">
        <w:t>5.2</w:t>
      </w:r>
      <w:r w:rsidRPr="00965F54">
        <w:tab/>
        <w:t xml:space="preserve">Con respecto a la demanda presentada por el autor ante el Tribunal Europeo de Derechos Humanos, sostiene que </w:t>
      </w:r>
      <w:r>
        <w:t xml:space="preserve">esta se </w:t>
      </w:r>
      <w:r w:rsidRPr="00965F54">
        <w:t xml:space="preserve">refería a una parte de su demanda que </w:t>
      </w:r>
      <w:r>
        <w:t>había sido</w:t>
      </w:r>
      <w:r w:rsidRPr="00965F54">
        <w:t xml:space="preserve"> des</w:t>
      </w:r>
      <w:r>
        <w:t>echada</w:t>
      </w:r>
      <w:r w:rsidRPr="00965F54">
        <w:t xml:space="preserve"> por el Tribunal Laboral, </w:t>
      </w:r>
      <w:r>
        <w:t>relativa</w:t>
      </w:r>
      <w:r w:rsidRPr="00965F54">
        <w:t xml:space="preserve"> a los ajustes razonables necesarios. También interpuso una demanda por contravención del Convenio Europeo para la Protección de los Derechos Humanos y las Libertades Fundamentales, en relación con el derecho a un juicio con las debidas garantías, la discriminación y otros artículos. Interpuso una nueva demanda en diciembre de 2010 por </w:t>
      </w:r>
      <w:r>
        <w:t>la imposición de</w:t>
      </w:r>
      <w:r w:rsidRPr="00965F54">
        <w:t xml:space="preserve"> </w:t>
      </w:r>
      <w:r>
        <w:t xml:space="preserve">las </w:t>
      </w:r>
      <w:r w:rsidRPr="00965F54">
        <w:t>costas judiciales. El 29 de marzo de 2011</w:t>
      </w:r>
      <w:r>
        <w:t>,</w:t>
      </w:r>
      <w:r w:rsidRPr="00965F54">
        <w:t xml:space="preserve"> el Tribunal Europeo le </w:t>
      </w:r>
      <w:r>
        <w:t xml:space="preserve">comunicó </w:t>
      </w:r>
      <w:r w:rsidRPr="00965F54">
        <w:t xml:space="preserve">que el conjunto de sus demandas había sido declarado inadmisible por un juez único. </w:t>
      </w:r>
      <w:r>
        <w:t>El autor a</w:t>
      </w:r>
      <w:r w:rsidRPr="00965F54">
        <w:t xml:space="preserve">rgumenta que la Convención sobre los derechos de las personas con discapacidad ofrece una protección mucho más amplia a </w:t>
      </w:r>
      <w:r>
        <w:t>dichas</w:t>
      </w:r>
      <w:r w:rsidRPr="00965F54">
        <w:t xml:space="preserve"> personas que el Convenio Europeo para la Protección de los Derechos Humanos y las Libertades Fundamentales, que ni siquiera menciona la discapacidad. Señala también que el Tribunal Europeo declara qu</w:t>
      </w:r>
      <w:r>
        <w:t xml:space="preserve">e la comunicación </w:t>
      </w:r>
      <w:r w:rsidRPr="00965F54">
        <w:t xml:space="preserve">de 29 de marzo de 2011 </w:t>
      </w:r>
      <w:r>
        <w:t>se basa en el</w:t>
      </w:r>
      <w:r w:rsidRPr="00965F54">
        <w:t xml:space="preserve"> artículo 52A del Reglamento del Tribunal, según el cual se puede adoptar una </w:t>
      </w:r>
      <w:r>
        <w:t>resolución</w:t>
      </w:r>
      <w:r w:rsidRPr="00965F54">
        <w:t xml:space="preserve"> de procedimiento sin </w:t>
      </w:r>
      <w:r>
        <w:t>tener que proceder</w:t>
      </w:r>
      <w:r w:rsidRPr="00965F54">
        <w:t xml:space="preserve"> a un examen </w:t>
      </w:r>
      <w:r>
        <w:t>complementario</w:t>
      </w:r>
      <w:r w:rsidRPr="00265844">
        <w:rPr>
          <w:rStyle w:val="FootnoteReference"/>
          <w:szCs w:val="18"/>
        </w:rPr>
        <w:footnoteReference w:id="10"/>
      </w:r>
      <w:r>
        <w:t>.</w:t>
      </w:r>
      <w:r w:rsidRPr="00965F54">
        <w:t xml:space="preserve"> Por consiguiente, la demanda del autor fue de</w:t>
      </w:r>
      <w:r>
        <w:t>clar</w:t>
      </w:r>
      <w:r w:rsidRPr="00965F54">
        <w:t xml:space="preserve">ada </w:t>
      </w:r>
      <w:r>
        <w:t xml:space="preserve">inadmisible </w:t>
      </w:r>
      <w:r w:rsidRPr="00965F54">
        <w:t xml:space="preserve">por </w:t>
      </w:r>
      <w:r>
        <w:t xml:space="preserve">cuestiones </w:t>
      </w:r>
      <w:r w:rsidRPr="00965F54">
        <w:t>de procedimiento y no fue examinada en cuanto al fondo.</w:t>
      </w:r>
    </w:p>
    <w:p w:rsidR="00BF0D2A" w:rsidRPr="00965F54" w:rsidRDefault="00BF0D2A" w:rsidP="00BF0D2A">
      <w:pPr>
        <w:pStyle w:val="SingleTxtG"/>
      </w:pPr>
      <w:r w:rsidRPr="00965F54">
        <w:t>5.3</w:t>
      </w:r>
      <w:r w:rsidRPr="00965F54">
        <w:tab/>
        <w:t xml:space="preserve">Con respecto al argumento del Estado parte de que la denuncia del autor es manifiestamente infundada o </w:t>
      </w:r>
      <w:r>
        <w:t xml:space="preserve">no </w:t>
      </w:r>
      <w:r w:rsidRPr="00965F54">
        <w:t>est</w:t>
      </w:r>
      <w:r>
        <w:t>á</w:t>
      </w:r>
      <w:r w:rsidRPr="00965F54">
        <w:t xml:space="preserve"> suficientemente </w:t>
      </w:r>
      <w:r>
        <w:t>fundamentada</w:t>
      </w:r>
      <w:r w:rsidRPr="00965F54">
        <w:t xml:space="preserve">, el autor declara que no pide al Comité que sustituya a las autoridades nacionales en su función de evaluar los hechos, sino que le pide que determine si el Estado parte ha contravenido la Convención basándose en los artículos de </w:t>
      </w:r>
      <w:r>
        <w:t>e</w:t>
      </w:r>
      <w:r w:rsidRPr="00965F54">
        <w:t xml:space="preserve">sta y </w:t>
      </w:r>
      <w:r>
        <w:t xml:space="preserve">en </w:t>
      </w:r>
      <w:r w:rsidRPr="00965F54">
        <w:t>razones</w:t>
      </w:r>
      <w:r>
        <w:t xml:space="preserve"> y pruebas</w:t>
      </w:r>
      <w:r w:rsidRPr="00965F54">
        <w:t xml:space="preserve"> que justifican la denuncia y demuestran una violación de los artículos pertinentes de la Convención. </w:t>
      </w:r>
      <w:r w:rsidRPr="00C11B60">
        <w:t xml:space="preserve">Sostiene que su petición </w:t>
      </w:r>
      <w:r>
        <w:t>expone</w:t>
      </w:r>
      <w:r w:rsidRPr="00C11B60">
        <w:t xml:space="preserve"> razones, hechos y argumentos suficientemente elaborados que justifican su denuncia de violaciones de la Convención. </w:t>
      </w:r>
      <w:r w:rsidRPr="00965F54">
        <w:t xml:space="preserve">Observa que los fallos son prueba suficiente de que las autoridades del Estado parte han declarado </w:t>
      </w:r>
      <w:r>
        <w:t xml:space="preserve">muchas veces </w:t>
      </w:r>
      <w:r w:rsidRPr="00965F54">
        <w:t>que no es discriminatoria la afirmación de que la diabetes puede entrañar ausencia del trabajo por enfermedad.</w:t>
      </w:r>
    </w:p>
    <w:p w:rsidR="00BF0D2A" w:rsidRPr="00965F54" w:rsidRDefault="00BF0D2A" w:rsidP="00BF0D2A">
      <w:pPr>
        <w:pStyle w:val="H23G"/>
      </w:pPr>
      <w:r w:rsidRPr="00965F54">
        <w:tab/>
      </w:r>
      <w:r w:rsidRPr="00965F54">
        <w:tab/>
        <w:t>Deliberaciones del Comité</w:t>
      </w:r>
    </w:p>
    <w:p w:rsidR="00BF0D2A" w:rsidRPr="00965F54" w:rsidRDefault="00BF0D2A" w:rsidP="00BF0D2A">
      <w:pPr>
        <w:pStyle w:val="H4G"/>
      </w:pPr>
      <w:r w:rsidRPr="00965F54">
        <w:tab/>
      </w:r>
      <w:r w:rsidRPr="00965F54">
        <w:tab/>
        <w:t>Examen de la admisibilidad</w:t>
      </w:r>
    </w:p>
    <w:p w:rsidR="00BF0D2A" w:rsidRPr="00965F54" w:rsidRDefault="00BF0D2A" w:rsidP="00BF0D2A">
      <w:pPr>
        <w:pStyle w:val="SingleTxtG"/>
      </w:pPr>
      <w:r w:rsidRPr="00965F54">
        <w:t>6.1</w:t>
      </w:r>
      <w:r w:rsidRPr="00965F54">
        <w:tab/>
        <w:t>Antes de examinar toda reclamación formulada en una comunicación, el Comité sobre los Derechos de las Personas con Discapacidad debe decidir, de conformidad c</w:t>
      </w:r>
      <w:r>
        <w:t>on el artículo 2 del Protocolo f</w:t>
      </w:r>
      <w:r w:rsidRPr="00965F54">
        <w:t>acultativo y el artículo 65 de su reglamento, si dicha reclamación es o no admisible en vi</w:t>
      </w:r>
      <w:r>
        <w:t>rtud del Protocolo f</w:t>
      </w:r>
      <w:r w:rsidRPr="00965F54">
        <w:t>acultativo.</w:t>
      </w:r>
    </w:p>
    <w:p w:rsidR="00BF0D2A" w:rsidRPr="00965F54" w:rsidRDefault="00BF0D2A" w:rsidP="00BF0D2A">
      <w:pPr>
        <w:pStyle w:val="SingleTxtG"/>
      </w:pPr>
      <w:r w:rsidRPr="00965F54">
        <w:t>6.</w:t>
      </w:r>
      <w:r>
        <w:t>2</w:t>
      </w:r>
      <w:r w:rsidRPr="00965F54">
        <w:tab/>
        <w:t xml:space="preserve">El Comité </w:t>
      </w:r>
      <w:r>
        <w:t>se hace eco</w:t>
      </w:r>
      <w:r w:rsidRPr="00965F54">
        <w:t xml:space="preserve"> del argumento del Estado parte de que el episodio </w:t>
      </w:r>
      <w:r>
        <w:t>central</w:t>
      </w:r>
      <w:r w:rsidRPr="00965F54">
        <w:t xml:space="preserve"> del proceso de despido del autor tuvo lugar el 10 de julio de 2006 y </w:t>
      </w:r>
      <w:r>
        <w:t xml:space="preserve">de </w:t>
      </w:r>
      <w:r w:rsidRPr="00965F54">
        <w:t xml:space="preserve">que todas las vistas judiciales de los hechos </w:t>
      </w:r>
      <w:r>
        <w:t xml:space="preserve">y circunstancias </w:t>
      </w:r>
      <w:r w:rsidRPr="00965F54">
        <w:t xml:space="preserve">del despido del autor se </w:t>
      </w:r>
      <w:r>
        <w:t xml:space="preserve">celebraron </w:t>
      </w:r>
      <w:r w:rsidRPr="00965F54">
        <w:t xml:space="preserve">antes de la </w:t>
      </w:r>
      <w:r>
        <w:t>entrada en vigor del Protocolo f</w:t>
      </w:r>
      <w:r w:rsidRPr="00965F54">
        <w:t xml:space="preserve">acultativo el 6 de septiembre de 2009. También </w:t>
      </w:r>
      <w:r>
        <w:t>se hace eco</w:t>
      </w:r>
      <w:r w:rsidRPr="00965F54">
        <w:t xml:space="preserve"> de la afirmación del autor de que el último fallo judicial sobre su caso data del 12 de febrero de 2010 y </w:t>
      </w:r>
      <w:r>
        <w:t xml:space="preserve">de que, </w:t>
      </w:r>
      <w:r w:rsidRPr="00965F54">
        <w:t>por tanto</w:t>
      </w:r>
      <w:r>
        <w:t>,</w:t>
      </w:r>
      <w:r w:rsidRPr="00965F54">
        <w:t xml:space="preserve"> los hechos </w:t>
      </w:r>
      <w:r>
        <w:t>persistieron</w:t>
      </w:r>
      <w:r w:rsidRPr="00965F54">
        <w:t xml:space="preserve"> después de la entrada en vigor del Protocolo </w:t>
      </w:r>
      <w:r>
        <w:t>f</w:t>
      </w:r>
      <w:r w:rsidRPr="00965F54">
        <w:t>acultativo para el Estado parte.</w:t>
      </w:r>
    </w:p>
    <w:p w:rsidR="00BF0D2A" w:rsidRPr="00965F54" w:rsidRDefault="00BF0D2A" w:rsidP="00BF0D2A">
      <w:pPr>
        <w:pStyle w:val="SingleTxtG"/>
      </w:pPr>
      <w:r w:rsidRPr="00965F54">
        <w:t>6.</w:t>
      </w:r>
      <w:r>
        <w:t>3</w:t>
      </w:r>
      <w:r w:rsidRPr="00965F54">
        <w:tab/>
        <w:t xml:space="preserve">Con respecto a los criterios de admisibilidad </w:t>
      </w:r>
      <w:r w:rsidRPr="00965F54">
        <w:rPr>
          <w:i/>
        </w:rPr>
        <w:t>ratione temporis</w:t>
      </w:r>
      <w:r w:rsidRPr="00965F54">
        <w:t xml:space="preserve"> previstos en el artículo 2, párrafo f</w:t>
      </w:r>
      <w:r>
        <w:t>), del Protocolo f</w:t>
      </w:r>
      <w:r w:rsidRPr="00965F54">
        <w:t xml:space="preserve">acultativo, el Comité observa que la Convención y el Protocolo </w:t>
      </w:r>
      <w:r>
        <w:t>f</w:t>
      </w:r>
      <w:r w:rsidRPr="00965F54">
        <w:t xml:space="preserve">acultativo entraron en vigor para el Estado parte el 7 de julio de 2009, con arreglo al artículo 45, párrafo 2, de </w:t>
      </w:r>
      <w:r>
        <w:t xml:space="preserve">la Convención, </w:t>
      </w:r>
      <w:r w:rsidRPr="00965F54">
        <w:t>y el 6 de septiembre de 2009, con arreglo al artícul</w:t>
      </w:r>
      <w:r>
        <w:t>o 13, párrafo 2, del Protocolo f</w:t>
      </w:r>
      <w:r w:rsidRPr="00965F54">
        <w:t xml:space="preserve">acultativo, respectivamente. </w:t>
      </w:r>
      <w:r>
        <w:t>Observa</w:t>
      </w:r>
      <w:r w:rsidRPr="00965F54">
        <w:t xml:space="preserve"> que el autor fue despedido el 10 de julio de 2006</w:t>
      </w:r>
      <w:r>
        <w:t xml:space="preserve"> </w:t>
      </w:r>
      <w:r w:rsidRPr="00965F54">
        <w:t xml:space="preserve">e interpuso una demanda ante el Tribunal Laboral el 25 de agosto de 2006, que fue desestimada en julio y agosto de 2007. El 24 de octubre de 2007, el autor recurrió ante el Tribunal Laboral de Apelación, que desestimó su recurso el 19 de diciembre de 2007. El 12 de febrero de 2010, el Tribunal Supremo rechazó su recurso </w:t>
      </w:r>
      <w:r>
        <w:t>contra</w:t>
      </w:r>
      <w:r w:rsidRPr="00965F54">
        <w:t xml:space="preserve"> el fallo del Tribunal Laboral de Apelación.</w:t>
      </w:r>
    </w:p>
    <w:p w:rsidR="00BF0D2A" w:rsidRDefault="00BF0D2A" w:rsidP="00BF0D2A">
      <w:pPr>
        <w:pStyle w:val="SingleTxtG"/>
      </w:pPr>
      <w:r w:rsidRPr="00965F54">
        <w:t>6.</w:t>
      </w:r>
      <w:r>
        <w:t>4</w:t>
      </w:r>
      <w:r w:rsidRPr="00965F54">
        <w:tab/>
        <w:t>El Comité considera que, de acuerdo con el artículo 2, párrafo f) del Protocolo facultativo, puede examinar presunta</w:t>
      </w:r>
      <w:r>
        <w:t>s violaciones de la Convención que hayan ocurrido</w:t>
      </w:r>
      <w:r w:rsidRPr="00965F54">
        <w:t xml:space="preserve"> antes de la </w:t>
      </w:r>
      <w:r>
        <w:t>fecha de entrada en vigor del Protocolo f</w:t>
      </w:r>
      <w:r w:rsidRPr="00965F54">
        <w:t xml:space="preserve">acultativo para el Estado parte, en el presente caso el 6 de septiembre de 2009, si los efectos de tales violaciones persisten después de </w:t>
      </w:r>
      <w:r>
        <w:t>esa fecha.</w:t>
      </w:r>
    </w:p>
    <w:p w:rsidR="00BF0D2A" w:rsidRPr="002D623F" w:rsidRDefault="00BF0D2A" w:rsidP="00BF0D2A">
      <w:pPr>
        <w:pStyle w:val="SingleTxtG"/>
      </w:pPr>
      <w:r w:rsidRPr="002D623F">
        <w:t>6.5</w:t>
      </w:r>
      <w:r w:rsidRPr="002D623F">
        <w:tab/>
        <w:t xml:space="preserve">El Comité observa que la reclamación del autor de que su despido del cargo de gestor de la prestación de servicios se basó en la presunción de que su discapacidad podría entrañar prolongadas licencias por enfermedad y fue pues discriminatoria fue examinada en cuanto al fondo por las autoridades judiciales del Estado parte, en particular mediante vistas orales. No obstante, tanto el despido del autor como el examen judicial tuvieron lugar antes de la entrada en vigor de la Convención y del Protocolo facultativo para el Estado parte. Además, el 12 de febrero de 2010, tras la entrada en vigor de ambos instrumentos, el Tribunal Supremo desestimó el nuevo recurso del autor, alegando que la evaluación de las pruebas era competencia del Tribunal Laboral y no se había detectado ningún error de derecho. El Comité considera que esa decisión, por su propia naturaleza, no constituye en sí misma un acto que reitere el contenido de los fallos emitidos por los tribunales inferiores sobre la cuestión de la discriminación planteada por el autor y, consecuentemente, no vulnera los derechos que le asisten en virtud de la Convención. Por lo tanto, el Comité concluye que las presuntas vulneraciones se produjeron antes de la entrada en vigor para el Estado parte de la Convención y del Protocolo facultativo, los cuales no pueden aplicarse con carácter retroactivo, y que, en consecuencia, el artículo 2, párrafo f), de dicho Protocolo le impide </w:t>
      </w:r>
      <w:r w:rsidRPr="002D623F">
        <w:rPr>
          <w:i/>
        </w:rPr>
        <w:t>ratione temporis</w:t>
      </w:r>
      <w:r w:rsidRPr="002D623F">
        <w:t xml:space="preserve"> examinar la presente comunicación.</w:t>
      </w:r>
    </w:p>
    <w:p w:rsidR="00BF0D2A" w:rsidRPr="00965F54" w:rsidRDefault="00BF0D2A" w:rsidP="00BF0D2A">
      <w:pPr>
        <w:pStyle w:val="SingleTxtG"/>
      </w:pPr>
      <w:r w:rsidRPr="002D623F">
        <w:t>6.6</w:t>
      </w:r>
      <w:r w:rsidRPr="002D623F">
        <w:tab/>
        <w:t xml:space="preserve">El Comité, habida cuenta de su decisión de declarar la comunicación inadmisible en aplicación del principio </w:t>
      </w:r>
      <w:r w:rsidRPr="002D623F">
        <w:rPr>
          <w:i/>
        </w:rPr>
        <w:t>ratione temporis</w:t>
      </w:r>
      <w:r w:rsidRPr="002D623F">
        <w:t>, no dictaminará sobre su admisibilidad con arreglo al artículo 2, párrafos c) y e), del Protocolo facultativo respecto de ninguno de los derechos invocados por el autor.</w:t>
      </w:r>
    </w:p>
    <w:p w:rsidR="00BF0D2A" w:rsidRPr="00965F54" w:rsidRDefault="00BF0D2A" w:rsidP="00BF0D2A">
      <w:pPr>
        <w:pStyle w:val="SingleTxtG"/>
      </w:pPr>
      <w:r w:rsidRPr="00965F54">
        <w:t>7</w:t>
      </w:r>
      <w:r w:rsidRPr="008D0350">
        <w:rPr>
          <w:sz w:val="18"/>
          <w:szCs w:val="18"/>
        </w:rPr>
        <w:t>.</w:t>
      </w:r>
      <w:r w:rsidRPr="00965F54">
        <w:tab/>
        <w:t>Por lo tanto, el Comité decide:</w:t>
      </w:r>
    </w:p>
    <w:p w:rsidR="00BF0D2A" w:rsidRPr="00965F54" w:rsidRDefault="00BF0D2A" w:rsidP="00BF0D2A">
      <w:pPr>
        <w:pStyle w:val="SingleTxtG"/>
      </w:pPr>
      <w:r>
        <w:tab/>
        <w:t>a)</w:t>
      </w:r>
      <w:r>
        <w:tab/>
      </w:r>
      <w:r w:rsidRPr="00965F54">
        <w:t xml:space="preserve">Que la comunicación es inadmisible </w:t>
      </w:r>
      <w:r w:rsidRPr="00965F54">
        <w:rPr>
          <w:i/>
        </w:rPr>
        <w:t>ratione temporis</w:t>
      </w:r>
      <w:r w:rsidRPr="00965F54">
        <w:t xml:space="preserve"> a tenor del artículo 2, párrafo f), del Protocolo </w:t>
      </w:r>
      <w:r>
        <w:t>f</w:t>
      </w:r>
      <w:r w:rsidRPr="00965F54">
        <w:t>acultativo;</w:t>
      </w:r>
    </w:p>
    <w:p w:rsidR="00BF0D2A" w:rsidRPr="00965F54" w:rsidRDefault="00BF0D2A" w:rsidP="00BF0D2A">
      <w:pPr>
        <w:pStyle w:val="SingleTxtG"/>
      </w:pPr>
      <w:r>
        <w:tab/>
        <w:t>b)</w:t>
      </w:r>
      <w:r w:rsidRPr="00965F54">
        <w:tab/>
        <w:t>Que la presente decisión se comunique al Estado parte y al autor.</w:t>
      </w:r>
    </w:p>
    <w:p w:rsidR="00BF0D2A" w:rsidRDefault="00BF0D2A" w:rsidP="00BF0D2A">
      <w:pPr>
        <w:pStyle w:val="SingleTxtG"/>
      </w:pPr>
      <w:r w:rsidRPr="00965F54">
        <w:t>[Adoptada en árabe, chino, español, francés e inglés, siendo la versión original el texto inglés. Posteriormente se publicará también en ruso como parte del informe anual del Comité a la Asamblea General.]</w:t>
      </w:r>
    </w:p>
    <w:p w:rsidR="00BF0D2A" w:rsidRPr="006766B3" w:rsidRDefault="00BF0D2A" w:rsidP="00BF0D2A">
      <w:pPr>
        <w:pStyle w:val="SingleTxtG"/>
        <w:spacing w:before="240"/>
        <w:jc w:val="center"/>
        <w:rPr>
          <w:u w:val="single"/>
        </w:rPr>
      </w:pPr>
      <w:r w:rsidRPr="006766B3">
        <w:rPr>
          <w:u w:val="single"/>
        </w:rPr>
        <w:tab/>
      </w:r>
      <w:r w:rsidRPr="006766B3">
        <w:rPr>
          <w:u w:val="single"/>
        </w:rPr>
        <w:tab/>
      </w:r>
      <w:r w:rsidRPr="006766B3">
        <w:rPr>
          <w:u w:val="single"/>
        </w:rPr>
        <w:tab/>
      </w:r>
    </w:p>
    <w:p w:rsidR="00381C24" w:rsidRPr="001075E9" w:rsidRDefault="00381C24" w:rsidP="001075E9"/>
    <w:sectPr w:rsidR="00381C24" w:rsidRPr="001075E9" w:rsidSect="00106F5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24B1" w:rsidRDefault="00DC24B1">
      <w:r>
        <w:separator/>
      </w:r>
    </w:p>
  </w:endnote>
  <w:endnote w:type="continuationSeparator" w:id="0">
    <w:p w:rsidR="00DC24B1" w:rsidRDefault="00DC24B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6F57" w:rsidRPr="00106F57" w:rsidRDefault="00106F57" w:rsidP="00106F57">
    <w:pPr>
      <w:pStyle w:val="Footer"/>
      <w:tabs>
        <w:tab w:val="right" w:pos="9638"/>
      </w:tabs>
    </w:pPr>
    <w:r w:rsidRPr="00106F57">
      <w:rPr>
        <w:b/>
        <w:sz w:val="18"/>
      </w:rPr>
      <w:fldChar w:fldCharType="begin"/>
    </w:r>
    <w:r w:rsidRPr="00106F57">
      <w:rPr>
        <w:b/>
        <w:sz w:val="18"/>
      </w:rPr>
      <w:instrText xml:space="preserve"> PAGE  \* MERGEFORMAT </w:instrText>
    </w:r>
    <w:r w:rsidRPr="00106F57">
      <w:rPr>
        <w:b/>
        <w:sz w:val="18"/>
      </w:rPr>
      <w:fldChar w:fldCharType="separate"/>
    </w:r>
    <w:r w:rsidR="00C3123C">
      <w:rPr>
        <w:b/>
        <w:noProof/>
        <w:sz w:val="18"/>
      </w:rPr>
      <w:t>8</w:t>
    </w:r>
    <w:r w:rsidRPr="00106F57">
      <w:rPr>
        <w:b/>
        <w:sz w:val="18"/>
      </w:rPr>
      <w:fldChar w:fldCharType="end"/>
    </w:r>
    <w:r>
      <w:rPr>
        <w:b/>
        <w:sz w:val="18"/>
      </w:rPr>
      <w:tab/>
    </w:r>
    <w:r>
      <w:t>GE.12-47572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6F57" w:rsidRPr="00106F57" w:rsidRDefault="00106F57" w:rsidP="00106F57">
    <w:pPr>
      <w:pStyle w:val="Footer"/>
      <w:tabs>
        <w:tab w:val="right" w:pos="9638"/>
      </w:tabs>
      <w:rPr>
        <w:b/>
        <w:sz w:val="18"/>
      </w:rPr>
    </w:pPr>
    <w:r>
      <w:t>GE.12-47572</w:t>
    </w:r>
    <w:r>
      <w:tab/>
    </w:r>
    <w:r w:rsidRPr="00106F57">
      <w:rPr>
        <w:b/>
        <w:sz w:val="18"/>
      </w:rPr>
      <w:fldChar w:fldCharType="begin"/>
    </w:r>
    <w:r w:rsidRPr="00106F57">
      <w:rPr>
        <w:b/>
        <w:sz w:val="18"/>
      </w:rPr>
      <w:instrText xml:space="preserve"> PAGE  \* MERGEFORMAT </w:instrText>
    </w:r>
    <w:r w:rsidRPr="00106F57">
      <w:rPr>
        <w:b/>
        <w:sz w:val="18"/>
      </w:rPr>
      <w:fldChar w:fldCharType="separate"/>
    </w:r>
    <w:r w:rsidR="00C3123C">
      <w:rPr>
        <w:b/>
        <w:noProof/>
        <w:sz w:val="18"/>
      </w:rPr>
      <w:t>9</w:t>
    </w:r>
    <w:r w:rsidRPr="00106F5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54E8" w:rsidRPr="00106F57" w:rsidRDefault="00106F57">
    <w:pPr>
      <w:pStyle w:val="Footer"/>
      <w:rPr>
        <w:sz w:val="20"/>
      </w:rPr>
    </w:pPr>
    <w:r>
      <w:rPr>
        <w:sz w:val="20"/>
      </w:rPr>
      <w:t>GE.</w:t>
    </w:r>
    <w:r w:rsidR="00F854E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2pt;margin-top:747.6pt;width:85.5pt;height:18pt;z-index:1;mso-position-horizontal-relative:margin;mso-position-vertical-relative:page" wrapcoords="18189 0 0 9900 -189 12600 -189 17100 758 19800 19516 19800 20274 19800 21032 14400 21600 14400 21600 8100 20653 0 18189 0" o:allowincell="f">
          <v:imagedata r:id="rId1" o:title="recycle_Spanish"/>
          <w10:wrap anchorx="margin" anchory="page"/>
          <w10:anchorlock/>
        </v:shape>
      </w:pict>
    </w:r>
    <w:r>
      <w:rPr>
        <w:sz w:val="20"/>
      </w:rPr>
      <w:t>12-47572  (S)</w:t>
    </w:r>
    <w:r w:rsidR="0012758E">
      <w:rPr>
        <w:sz w:val="20"/>
      </w:rPr>
      <w:t xml:space="preserve">    201112    111212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24B1" w:rsidRPr="001075E9" w:rsidRDefault="00DC24B1" w:rsidP="001075E9">
      <w:pPr>
        <w:tabs>
          <w:tab w:val="right" w:pos="2155"/>
        </w:tabs>
        <w:spacing w:after="80" w:line="240" w:lineRule="auto"/>
        <w:ind w:left="680"/>
        <w:rPr>
          <w:u w:val="single"/>
        </w:rPr>
      </w:pPr>
      <w:r>
        <w:rPr>
          <w:u w:val="single"/>
        </w:rPr>
        <w:tab/>
      </w:r>
    </w:p>
  </w:footnote>
  <w:footnote w:type="continuationSeparator" w:id="0">
    <w:p w:rsidR="00DC24B1" w:rsidRDefault="00DC24B1">
      <w:r>
        <w:continuationSeparator/>
      </w:r>
    </w:p>
  </w:footnote>
  <w:footnote w:id="1">
    <w:p w:rsidR="00BF0D2A" w:rsidRPr="00E93E42" w:rsidRDefault="00BF0D2A" w:rsidP="00BF0D2A">
      <w:pPr>
        <w:pStyle w:val="FootnoteText"/>
        <w:rPr>
          <w:sz w:val="20"/>
        </w:rPr>
      </w:pPr>
      <w:r>
        <w:tab/>
      </w:r>
      <w:r w:rsidRPr="00E93E42">
        <w:rPr>
          <w:rStyle w:val="FootnoteReference"/>
          <w:sz w:val="20"/>
          <w:vertAlign w:val="baseline"/>
        </w:rPr>
        <w:t>*</w:t>
      </w:r>
      <w:r w:rsidRPr="00E93E42">
        <w:tab/>
        <w:t>Participaron en el examen de la presente comunicación los siguientes miembros del Comité: Mohammed Al-Tarawneh, Monsur Ahmed Chowdhury, Mar</w:t>
      </w:r>
      <w:r>
        <w:t>í</w:t>
      </w:r>
      <w:r w:rsidRPr="00E93E42">
        <w:t xml:space="preserve">a Soledad Cisternas Reyes, Theresia Degener, Gábor Gombos, Hyung Shik Kim, Lofti Ben Lallahom, Stig Langvad, Edah Wangechi Maina, Ronald McCallum, Ana Peláez Narváez, Silvia Judith Quan-Chang, Carlos Ríos Espinosa, Damjan Tatic y Jia Yang. </w:t>
      </w:r>
    </w:p>
  </w:footnote>
  <w:footnote w:id="2">
    <w:p w:rsidR="00BF0D2A" w:rsidRPr="008B3A06" w:rsidRDefault="00BF0D2A" w:rsidP="00BF0D2A">
      <w:pPr>
        <w:pStyle w:val="FootnoteText"/>
        <w:widowControl w:val="0"/>
        <w:tabs>
          <w:tab w:val="clear" w:pos="1021"/>
          <w:tab w:val="right" w:pos="1020"/>
        </w:tabs>
        <w:suppressAutoHyphens/>
      </w:pPr>
      <w:r>
        <w:tab/>
      </w:r>
      <w:r>
        <w:rPr>
          <w:rStyle w:val="FootnoteReference"/>
        </w:rPr>
        <w:footnoteRef/>
      </w:r>
      <w:r>
        <w:tab/>
      </w:r>
      <w:r w:rsidRPr="008B3A06">
        <w:t>Los hechos se reconstruyen a partir de la comunicación inicial del autor, incluidos los anexos y en particular los fallos judiciales.</w:t>
      </w:r>
    </w:p>
  </w:footnote>
  <w:footnote w:id="3">
    <w:p w:rsidR="00BF0D2A" w:rsidRDefault="00BF0D2A" w:rsidP="00BF0D2A">
      <w:pPr>
        <w:pStyle w:val="FootnoteText"/>
        <w:widowControl w:val="0"/>
        <w:tabs>
          <w:tab w:val="clear" w:pos="1021"/>
          <w:tab w:val="right" w:pos="1020"/>
        </w:tabs>
        <w:suppressAutoHyphens/>
      </w:pPr>
      <w:r>
        <w:tab/>
      </w:r>
      <w:r>
        <w:rPr>
          <w:rStyle w:val="FootnoteReference"/>
        </w:rPr>
        <w:footnoteRef/>
      </w:r>
      <w:r>
        <w:tab/>
      </w:r>
      <w:r w:rsidRPr="008B3A06">
        <w:t xml:space="preserve">Véase el fallo del Tribunal Laboral </w:t>
      </w:r>
      <w:r>
        <w:t xml:space="preserve">Nº </w:t>
      </w:r>
      <w:r w:rsidRPr="008B3A06">
        <w:t>S/116267/06,</w:t>
      </w:r>
      <w:r>
        <w:t xml:space="preserve"> </w:t>
      </w:r>
      <w:r w:rsidRPr="008B3A06">
        <w:t>de 13 de septiembre de 2007, párr. 47.</w:t>
      </w:r>
    </w:p>
  </w:footnote>
  <w:footnote w:id="4">
    <w:p w:rsidR="00BF0D2A" w:rsidRDefault="00BF0D2A" w:rsidP="00BF0D2A">
      <w:pPr>
        <w:pStyle w:val="FootnoteText"/>
        <w:widowControl w:val="0"/>
        <w:tabs>
          <w:tab w:val="clear" w:pos="1021"/>
          <w:tab w:val="right" w:pos="1020"/>
        </w:tabs>
        <w:suppressAutoHyphens/>
      </w:pPr>
      <w:r>
        <w:tab/>
      </w:r>
      <w:r>
        <w:rPr>
          <w:rStyle w:val="FootnoteReference"/>
        </w:rPr>
        <w:footnoteRef/>
      </w:r>
      <w:r>
        <w:tab/>
      </w:r>
      <w:r w:rsidRPr="00BE6940">
        <w:rPr>
          <w:i/>
        </w:rPr>
        <w:t>Ibid.</w:t>
      </w:r>
      <w:r w:rsidRPr="008B3A06">
        <w:t>, párr. 39.</w:t>
      </w:r>
    </w:p>
  </w:footnote>
  <w:footnote w:id="5">
    <w:p w:rsidR="00BF0D2A" w:rsidRDefault="00BF0D2A" w:rsidP="00BF0D2A">
      <w:pPr>
        <w:pStyle w:val="FootnoteText"/>
        <w:widowControl w:val="0"/>
        <w:tabs>
          <w:tab w:val="clear" w:pos="1021"/>
          <w:tab w:val="right" w:pos="1020"/>
        </w:tabs>
        <w:suppressAutoHyphens/>
      </w:pPr>
      <w:r>
        <w:tab/>
      </w:r>
      <w:r>
        <w:rPr>
          <w:rStyle w:val="FootnoteReference"/>
        </w:rPr>
        <w:footnoteRef/>
      </w:r>
      <w:r>
        <w:tab/>
      </w:r>
      <w:r w:rsidRPr="002243B1">
        <w:rPr>
          <w:i/>
        </w:rPr>
        <w:t>Ibid.</w:t>
      </w:r>
      <w:r w:rsidRPr="008B3A06">
        <w:t>, párrs</w:t>
      </w:r>
      <w:r>
        <w:t>.</w:t>
      </w:r>
      <w:r w:rsidRPr="008B3A06">
        <w:t xml:space="preserve"> 144 y 145.</w:t>
      </w:r>
    </w:p>
  </w:footnote>
  <w:footnote w:id="6">
    <w:p w:rsidR="00BF0D2A" w:rsidRDefault="00BF0D2A" w:rsidP="00BF0D2A">
      <w:pPr>
        <w:pStyle w:val="FootnoteText"/>
        <w:widowControl w:val="0"/>
        <w:tabs>
          <w:tab w:val="clear" w:pos="1021"/>
          <w:tab w:val="right" w:pos="1020"/>
        </w:tabs>
        <w:suppressAutoHyphens/>
      </w:pPr>
      <w:r>
        <w:tab/>
      </w:r>
      <w:r>
        <w:rPr>
          <w:rStyle w:val="FootnoteReference"/>
        </w:rPr>
        <w:footnoteRef/>
      </w:r>
      <w:r>
        <w:tab/>
      </w:r>
      <w:r w:rsidRPr="006A4CFB">
        <w:t xml:space="preserve">Según el fallo </w:t>
      </w:r>
      <w:r>
        <w:t xml:space="preserve">del Tribunal Laboral Nº </w:t>
      </w:r>
      <w:r w:rsidRPr="006A4CFB">
        <w:t>S/116267/06</w:t>
      </w:r>
      <w:r>
        <w:t>,</w:t>
      </w:r>
      <w:r w:rsidRPr="006A4CFB">
        <w:t xml:space="preserve"> de 13 de septiembre de 2007, párr. </w:t>
      </w:r>
      <w:r>
        <w:t>1</w:t>
      </w:r>
      <w:r w:rsidRPr="006A4CFB">
        <w:t>26, era infundada la denuncia del autor de que se había alterado, corregido o suprimido deliberadamente información del conjunto de pruebas ante el tribunal.</w:t>
      </w:r>
    </w:p>
  </w:footnote>
  <w:footnote w:id="7">
    <w:p w:rsidR="00BF0D2A" w:rsidRDefault="00BF0D2A" w:rsidP="00BF0D2A">
      <w:pPr>
        <w:pStyle w:val="FootnoteText"/>
        <w:widowControl w:val="0"/>
        <w:tabs>
          <w:tab w:val="clear" w:pos="1021"/>
          <w:tab w:val="right" w:pos="1020"/>
        </w:tabs>
        <w:suppressAutoHyphens/>
      </w:pPr>
      <w:r>
        <w:tab/>
      </w:r>
      <w:r>
        <w:rPr>
          <w:rStyle w:val="FootnoteReference"/>
        </w:rPr>
        <w:footnoteRef/>
      </w:r>
      <w:r>
        <w:tab/>
      </w:r>
      <w:r w:rsidRPr="006A4CFB">
        <w:t>Un mensaje electrónico de un empleado de un bufete de abogados, que obra en el expediente, informa al autor de que el bu</w:t>
      </w:r>
      <w:r>
        <w:t>f</w:t>
      </w:r>
      <w:r w:rsidRPr="006A4CFB">
        <w:t xml:space="preserve">ete dio instrucciones a los funcionarios judiciales de proceder a una indagación inicial como parte de los procedimientos preliminares a la </w:t>
      </w:r>
      <w:r>
        <w:t>imposición del pago</w:t>
      </w:r>
      <w:r w:rsidRPr="006A4CFB">
        <w:t xml:space="preserve"> de costas judiciales al autor.</w:t>
      </w:r>
    </w:p>
  </w:footnote>
  <w:footnote w:id="8">
    <w:p w:rsidR="00BF0D2A" w:rsidRDefault="00BF0D2A" w:rsidP="00BF0D2A">
      <w:pPr>
        <w:pStyle w:val="FootnoteText"/>
        <w:widowControl w:val="0"/>
        <w:tabs>
          <w:tab w:val="clear" w:pos="1021"/>
          <w:tab w:val="right" w:pos="1020"/>
        </w:tabs>
        <w:suppressAutoHyphens/>
      </w:pPr>
      <w:r>
        <w:tab/>
      </w:r>
      <w:r>
        <w:rPr>
          <w:rStyle w:val="FootnoteReference"/>
        </w:rPr>
        <w:footnoteRef/>
      </w:r>
      <w:r>
        <w:tab/>
      </w:r>
      <w:r w:rsidRPr="006A4CFB">
        <w:t>Véase el fallo Nº S/116267/06 del Tribunal Laboral, p</w:t>
      </w:r>
      <w:r>
        <w:t>á</w:t>
      </w:r>
      <w:r w:rsidRPr="006A4CFB">
        <w:t>rr. 122.</w:t>
      </w:r>
    </w:p>
  </w:footnote>
  <w:footnote w:id="9">
    <w:p w:rsidR="00BF0D2A" w:rsidRPr="00CC3E45" w:rsidRDefault="00BF0D2A" w:rsidP="00BF0D2A">
      <w:pPr>
        <w:pStyle w:val="FootnoteText"/>
        <w:widowControl w:val="0"/>
        <w:suppressAutoHyphens/>
        <w:rPr>
          <w:sz w:val="16"/>
        </w:rPr>
      </w:pPr>
      <w:r w:rsidRPr="00605FC6">
        <w:rPr>
          <w:rStyle w:val="FootnoteReference"/>
          <w:szCs w:val="18"/>
          <w:vertAlign w:val="baseline"/>
        </w:rPr>
        <w:tab/>
      </w:r>
      <w:r w:rsidRPr="00596851">
        <w:rPr>
          <w:rStyle w:val="FootnoteReference"/>
          <w:szCs w:val="18"/>
        </w:rPr>
        <w:footnoteRef/>
      </w:r>
      <w:r w:rsidRPr="00605FC6">
        <w:rPr>
          <w:rStyle w:val="FootnoteReference"/>
          <w:szCs w:val="18"/>
          <w:vertAlign w:val="baseline"/>
        </w:rPr>
        <w:tab/>
      </w:r>
      <w:r w:rsidRPr="00EA647A">
        <w:rPr>
          <w:szCs w:val="18"/>
        </w:rPr>
        <w:t xml:space="preserve">El Estado parte se remite a la jurisprudencia de los siguientes órganos de tratados: </w:t>
      </w:r>
      <w:r>
        <w:rPr>
          <w:szCs w:val="18"/>
        </w:rPr>
        <w:t>Comité para la Eliminación de la Discriminación contra la Mujer</w:t>
      </w:r>
      <w:r w:rsidRPr="00EA647A">
        <w:rPr>
          <w:szCs w:val="18"/>
        </w:rPr>
        <w:t xml:space="preserve">, comunicación Nº 18/2008, </w:t>
      </w:r>
      <w:r w:rsidRPr="00EA647A">
        <w:rPr>
          <w:i/>
          <w:szCs w:val="18"/>
        </w:rPr>
        <w:t>Vertido c. Filipinas</w:t>
      </w:r>
      <w:r w:rsidRPr="00EA647A">
        <w:rPr>
          <w:szCs w:val="18"/>
        </w:rPr>
        <w:t xml:space="preserve">, dictamen emitido el 16 de julio de 2010, párr. 8.2 y voto concurrente de </w:t>
      </w:r>
      <w:r>
        <w:rPr>
          <w:szCs w:val="18"/>
        </w:rPr>
        <w:t xml:space="preserve">Yoko </w:t>
      </w:r>
      <w:r w:rsidRPr="00EA647A">
        <w:rPr>
          <w:szCs w:val="18"/>
        </w:rPr>
        <w:t xml:space="preserve">Hayashi. Véase también </w:t>
      </w:r>
      <w:r>
        <w:rPr>
          <w:szCs w:val="18"/>
        </w:rPr>
        <w:t>la</w:t>
      </w:r>
      <w:r w:rsidRPr="00EA647A">
        <w:rPr>
          <w:szCs w:val="18"/>
        </w:rPr>
        <w:t xml:space="preserve"> comunicación Nº 584/1994</w:t>
      </w:r>
      <w:r>
        <w:rPr>
          <w:szCs w:val="18"/>
        </w:rPr>
        <w:t xml:space="preserve"> del Comité de Derechos Humanos</w:t>
      </w:r>
      <w:r w:rsidRPr="00EA647A">
        <w:rPr>
          <w:szCs w:val="18"/>
        </w:rPr>
        <w:t xml:space="preserve">, </w:t>
      </w:r>
      <w:r w:rsidRPr="00EA647A">
        <w:rPr>
          <w:i/>
          <w:szCs w:val="18"/>
        </w:rPr>
        <w:t>Valentijn c. Francia</w:t>
      </w:r>
      <w:r w:rsidRPr="00EA647A">
        <w:rPr>
          <w:szCs w:val="18"/>
        </w:rPr>
        <w:t>, dictamen emitido el 22 de julio de 1996, párr. 5.3.</w:t>
      </w:r>
    </w:p>
  </w:footnote>
  <w:footnote w:id="10">
    <w:p w:rsidR="00BF0D2A" w:rsidRPr="00570B7B" w:rsidRDefault="00BF0D2A" w:rsidP="00C3123C">
      <w:pPr>
        <w:pStyle w:val="FootnoteText"/>
        <w:widowControl w:val="0"/>
        <w:suppressAutoHyphens/>
        <w:spacing w:after="60"/>
        <w:rPr>
          <w:szCs w:val="18"/>
        </w:rPr>
      </w:pPr>
      <w:r>
        <w:rPr>
          <w:sz w:val="16"/>
        </w:rPr>
        <w:tab/>
      </w:r>
      <w:r w:rsidRPr="00570B7B">
        <w:rPr>
          <w:szCs w:val="18"/>
          <w:vertAlign w:val="superscript"/>
        </w:rPr>
        <w:footnoteRef/>
      </w:r>
      <w:r>
        <w:rPr>
          <w:sz w:val="16"/>
        </w:rPr>
        <w:tab/>
      </w:r>
      <w:r w:rsidRPr="00570B7B">
        <w:rPr>
          <w:szCs w:val="18"/>
        </w:rPr>
        <w:t>Artículo 52A del reglamento</w:t>
      </w:r>
      <w:r>
        <w:rPr>
          <w:szCs w:val="18"/>
        </w:rPr>
        <w:t xml:space="preserve"> </w:t>
      </w:r>
      <w:r w:rsidRPr="00570B7B">
        <w:rPr>
          <w:szCs w:val="18"/>
        </w:rPr>
        <w:t>– Procedimiento ante un solo juez</w:t>
      </w:r>
    </w:p>
    <w:p w:rsidR="00BF0D2A" w:rsidRPr="002D623F" w:rsidRDefault="00BF0D2A" w:rsidP="00BF0D2A">
      <w:pPr>
        <w:pStyle w:val="FootnoteText"/>
        <w:widowControl w:val="0"/>
        <w:suppressAutoHyphens/>
        <w:rPr>
          <w:rStyle w:val="FootnoteReference"/>
          <w:szCs w:val="18"/>
          <w:vertAlign w:val="baseline"/>
        </w:rPr>
      </w:pPr>
      <w:r>
        <w:rPr>
          <w:szCs w:val="18"/>
        </w:rPr>
        <w:tab/>
      </w:r>
      <w:r>
        <w:rPr>
          <w:szCs w:val="18"/>
        </w:rPr>
        <w:tab/>
        <w:t>1.</w:t>
      </w:r>
      <w:r w:rsidR="00C3123C">
        <w:rPr>
          <w:szCs w:val="18"/>
        </w:rPr>
        <w:t xml:space="preserve"> </w:t>
      </w:r>
      <w:r w:rsidRPr="00570B7B">
        <w:rPr>
          <w:szCs w:val="18"/>
        </w:rPr>
        <w:t xml:space="preserve">De </w:t>
      </w:r>
      <w:r w:rsidRPr="00570B7B">
        <w:rPr>
          <w:sz w:val="16"/>
        </w:rPr>
        <w:t>conformidad</w:t>
      </w:r>
      <w:r w:rsidRPr="00570B7B">
        <w:rPr>
          <w:szCs w:val="18"/>
        </w:rPr>
        <w:t xml:space="preserve"> con el artículo 27 del Convenio, un solo juez puede declarar inadmisible o archivar una demanda presentada en virtud del artículo 34, cuando pueda adoptarse tal resolución sin tener que proceder a un examen complementario. La resolución será definitiva. El demandan</w:t>
      </w:r>
      <w:r>
        <w:rPr>
          <w:szCs w:val="18"/>
        </w:rPr>
        <w:t>te será informado de esta por carta</w:t>
      </w:r>
      <w:r w:rsidRPr="00570B7B">
        <w:rPr>
          <w:szCs w:val="18"/>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6F57" w:rsidRPr="00106F57" w:rsidRDefault="00106F57">
    <w:pPr>
      <w:pStyle w:val="Header"/>
    </w:pPr>
    <w:r>
      <w:t>CRPD/C/8/D/6/2011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6F57" w:rsidRPr="00106F57" w:rsidRDefault="00106F57" w:rsidP="00106F57">
    <w:pPr>
      <w:pStyle w:val="Header"/>
      <w:jc w:val="right"/>
    </w:pPr>
    <w:r>
      <w:t>CRPD/C/8/D/6/2011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854E8"/>
    <w:rsid w:val="00006BB9"/>
    <w:rsid w:val="000221D5"/>
    <w:rsid w:val="0005199A"/>
    <w:rsid w:val="000A36A2"/>
    <w:rsid w:val="000B53F5"/>
    <w:rsid w:val="000B57E7"/>
    <w:rsid w:val="000F09DF"/>
    <w:rsid w:val="000F61B2"/>
    <w:rsid w:val="00106F57"/>
    <w:rsid w:val="001075E9"/>
    <w:rsid w:val="0012758E"/>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875CF"/>
    <w:rsid w:val="004E4B46"/>
    <w:rsid w:val="0050108D"/>
    <w:rsid w:val="00572E19"/>
    <w:rsid w:val="005C09D4"/>
    <w:rsid w:val="005D4E88"/>
    <w:rsid w:val="005F0B42"/>
    <w:rsid w:val="00614642"/>
    <w:rsid w:val="00654ADD"/>
    <w:rsid w:val="00655A21"/>
    <w:rsid w:val="006808A9"/>
    <w:rsid w:val="006D5F0E"/>
    <w:rsid w:val="006F35EE"/>
    <w:rsid w:val="006F7B0D"/>
    <w:rsid w:val="007021FF"/>
    <w:rsid w:val="007076CB"/>
    <w:rsid w:val="00763AC2"/>
    <w:rsid w:val="007967DF"/>
    <w:rsid w:val="00834B71"/>
    <w:rsid w:val="008626C7"/>
    <w:rsid w:val="0086445C"/>
    <w:rsid w:val="008A08D7"/>
    <w:rsid w:val="008A13F9"/>
    <w:rsid w:val="008D5DB6"/>
    <w:rsid w:val="00906890"/>
    <w:rsid w:val="00951972"/>
    <w:rsid w:val="00963777"/>
    <w:rsid w:val="00993207"/>
    <w:rsid w:val="009B452A"/>
    <w:rsid w:val="009B4E5E"/>
    <w:rsid w:val="00A17DFD"/>
    <w:rsid w:val="00A917B3"/>
    <w:rsid w:val="00AB4B51"/>
    <w:rsid w:val="00AE4CC4"/>
    <w:rsid w:val="00B10CC7"/>
    <w:rsid w:val="00B62458"/>
    <w:rsid w:val="00BD33EE"/>
    <w:rsid w:val="00BF0D2A"/>
    <w:rsid w:val="00C3123C"/>
    <w:rsid w:val="00C60F0C"/>
    <w:rsid w:val="00C76505"/>
    <w:rsid w:val="00C805C9"/>
    <w:rsid w:val="00CA1679"/>
    <w:rsid w:val="00D5042C"/>
    <w:rsid w:val="00D80BBB"/>
    <w:rsid w:val="00D90138"/>
    <w:rsid w:val="00DC24B1"/>
    <w:rsid w:val="00E50C33"/>
    <w:rsid w:val="00E73F76"/>
    <w:rsid w:val="00E973E2"/>
    <w:rsid w:val="00EF1360"/>
    <w:rsid w:val="00EF3220"/>
    <w:rsid w:val="00F44407"/>
    <w:rsid w:val="00F44B33"/>
    <w:rsid w:val="00F51B18"/>
    <w:rsid w:val="00F854E8"/>
    <w:rsid w:val="00F94155"/>
    <w:rsid w:val="00FC2146"/>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Footnote number"/>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basedOn w:val="DefaultParagraphFont"/>
    <w:link w:val="SingleTxtG"/>
    <w:rsid w:val="00BF0D2A"/>
    <w:rPr>
      <w:lang w:val="es-ES" w:eastAsia="es-ES" w:bidi="ar-SA"/>
    </w:rPr>
  </w:style>
  <w:style w:type="character" w:customStyle="1" w:styleId="FootnoteTextChar">
    <w:name w:val="Footnote Text Char"/>
    <w:aliases w:val="5_G Char,Footnote Text Char Char Char Char Char Char,Footnote Text Char Char Char Char Char1,Footnote reference Char,FA Fu Char,Footnote Text Char Char Char Char1"/>
    <w:link w:val="FootnoteText"/>
    <w:locked/>
    <w:rsid w:val="00BF0D2A"/>
    <w:rPr>
      <w:sz w:val="18"/>
      <w:lang w:val="es-ES" w:eastAsia="es-ES" w:bidi="ar-SA"/>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Footnote Text Char Char Char Char Char,Footnote Text Char Char Char Char,Footnote reference,FA Fu,Footnote Text Char Char Char"/>
    <w:basedOn w:val="Normal"/>
    <w:link w:val="FootnoteTextChar"/>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1</TotalTime>
  <Pages>9</Pages>
  <Words>4303</Words>
  <Characters>23670</Characters>
  <Application>Microsoft Office Outlook</Application>
  <DocSecurity>4</DocSecurity>
  <Lines>197</Lines>
  <Paragraphs>55</Paragraphs>
  <ScaleCrop>false</ScaleCrop>
  <HeadingPairs>
    <vt:vector size="2" baseType="variant">
      <vt:variant>
        <vt:lpstr>Título</vt:lpstr>
      </vt:variant>
      <vt:variant>
        <vt:i4>1</vt:i4>
      </vt:variant>
    </vt:vector>
  </HeadingPairs>
  <TitlesOfParts>
    <vt:vector size="1" baseType="lpstr">
      <vt:lpstr>CRPD/C/8/D/6/2011    -12-47572</vt:lpstr>
    </vt:vector>
  </TitlesOfParts>
  <Company/>
  <LinksUpToDate>false</LinksUpToDate>
  <CharactersWithSpaces>27918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CRPD/C/8/D/6/2011    -12-47572</dc:title>
  <dc:subject>Final</dc:subject>
  <dc:creator>Romina Meriño MacKay</dc:creator>
  <cp:keywords/>
  <dc:description/>
  <cp:lastModifiedBy>María de la Plaza</cp:lastModifiedBy>
  <cp:revision>2</cp:revision>
  <cp:lastPrinted>2012-12-11T11:06:00Z</cp:lastPrinted>
  <dcterms:created xsi:type="dcterms:W3CDTF">2012-12-11T11:08:00Z</dcterms:created>
  <dcterms:modified xsi:type="dcterms:W3CDTF">2012-12-11T11:08:00Z</dcterms:modified>
</cp:coreProperties>
</file>