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77259B0" w14:textId="77777777" w:rsidTr="00213632">
        <w:trPr>
          <w:trHeight w:hRule="exact" w:val="851"/>
        </w:trPr>
        <w:tc>
          <w:tcPr>
            <w:tcW w:w="1276" w:type="dxa"/>
            <w:tcBorders>
              <w:bottom w:val="single" w:sz="4" w:space="0" w:color="auto"/>
            </w:tcBorders>
          </w:tcPr>
          <w:p w14:paraId="7A10511A" w14:textId="77777777" w:rsidR="002D5AAC" w:rsidRDefault="002D5AAC" w:rsidP="00E21671">
            <w:pPr>
              <w:kinsoku w:val="0"/>
              <w:overflowPunct w:val="0"/>
              <w:autoSpaceDE w:val="0"/>
              <w:autoSpaceDN w:val="0"/>
              <w:adjustRightInd w:val="0"/>
              <w:snapToGrid w:val="0"/>
            </w:pPr>
          </w:p>
        </w:tc>
        <w:tc>
          <w:tcPr>
            <w:tcW w:w="2268" w:type="dxa"/>
            <w:tcBorders>
              <w:bottom w:val="single" w:sz="4" w:space="0" w:color="auto"/>
            </w:tcBorders>
            <w:vAlign w:val="bottom"/>
          </w:tcPr>
          <w:p w14:paraId="5F045A5D" w14:textId="77777777"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50B8ECE" w14:textId="663B008C" w:rsidR="002D5AAC" w:rsidRDefault="00E21671" w:rsidP="00E21671">
            <w:pPr>
              <w:jc w:val="right"/>
            </w:pPr>
            <w:r w:rsidRPr="00E21671">
              <w:rPr>
                <w:sz w:val="40"/>
              </w:rPr>
              <w:t>CERD</w:t>
            </w:r>
            <w:r>
              <w:t>/C/GEO/Q/9-10</w:t>
            </w:r>
          </w:p>
        </w:tc>
      </w:tr>
      <w:tr w:rsidR="002D5AAC" w14:paraId="44C9D02E" w14:textId="77777777" w:rsidTr="00213632">
        <w:trPr>
          <w:trHeight w:hRule="exact" w:val="2835"/>
        </w:trPr>
        <w:tc>
          <w:tcPr>
            <w:tcW w:w="1276" w:type="dxa"/>
            <w:tcBorders>
              <w:top w:val="single" w:sz="4" w:space="0" w:color="auto"/>
              <w:bottom w:val="single" w:sz="12" w:space="0" w:color="auto"/>
            </w:tcBorders>
          </w:tcPr>
          <w:p w14:paraId="28E7A183" w14:textId="77777777" w:rsidR="002D5AAC" w:rsidRDefault="00CC15A3" w:rsidP="00213632">
            <w:pPr>
              <w:spacing w:before="120"/>
              <w:jc w:val="center"/>
            </w:pPr>
            <w:r>
              <w:rPr>
                <w:noProof/>
              </w:rPr>
              <w:drawing>
                <wp:inline distT="0" distB="0" distL="0" distR="0" wp14:anchorId="0EB4B4DA" wp14:editId="458AC89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92BD9A2" w14:textId="77777777"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14:paraId="0046EA4A" w14:textId="77777777" w:rsidR="002D5AAC" w:rsidRDefault="00E21671" w:rsidP="00213632">
            <w:pPr>
              <w:spacing w:before="240"/>
            </w:pPr>
            <w:r>
              <w:t>Distr. general</w:t>
            </w:r>
          </w:p>
          <w:p w14:paraId="1976EEBA" w14:textId="29258971" w:rsidR="00E21671" w:rsidRDefault="00E21671" w:rsidP="00E21671">
            <w:pPr>
              <w:spacing w:line="240" w:lineRule="exact"/>
            </w:pPr>
            <w:r>
              <w:t>15 de noviembre de 2022</w:t>
            </w:r>
          </w:p>
          <w:p w14:paraId="49793D6E" w14:textId="77777777" w:rsidR="00E21671" w:rsidRDefault="00E21671" w:rsidP="00E21671">
            <w:pPr>
              <w:spacing w:line="240" w:lineRule="exact"/>
            </w:pPr>
            <w:r>
              <w:t>Español</w:t>
            </w:r>
          </w:p>
          <w:p w14:paraId="199C548A" w14:textId="77777777" w:rsidR="00E21671" w:rsidRDefault="00E21671" w:rsidP="00E21671">
            <w:pPr>
              <w:spacing w:line="240" w:lineRule="exact"/>
            </w:pPr>
            <w:r>
              <w:t>Original: inglés</w:t>
            </w:r>
          </w:p>
          <w:p w14:paraId="0248FACA" w14:textId="61687E0D" w:rsidR="00E21671" w:rsidRDefault="00E21671" w:rsidP="00E21671">
            <w:pPr>
              <w:spacing w:line="240" w:lineRule="exact"/>
            </w:pPr>
            <w:r>
              <w:t>Español francés e inglés únicamente</w:t>
            </w:r>
          </w:p>
        </w:tc>
      </w:tr>
    </w:tbl>
    <w:p w14:paraId="4C109507" w14:textId="77777777" w:rsidR="00E21671" w:rsidRPr="00E21671" w:rsidRDefault="00E21671" w:rsidP="00E21671">
      <w:pPr>
        <w:spacing w:before="120"/>
        <w:rPr>
          <w:b/>
          <w:bCs/>
          <w:sz w:val="24"/>
          <w:szCs w:val="24"/>
          <w:lang w:val="en-GB"/>
        </w:rPr>
      </w:pPr>
      <w:r w:rsidRPr="00E21671">
        <w:rPr>
          <w:b/>
          <w:bCs/>
          <w:sz w:val="24"/>
          <w:szCs w:val="24"/>
        </w:rPr>
        <w:t>Comité para la Eliminación de la Discriminación Racial</w:t>
      </w:r>
    </w:p>
    <w:p w14:paraId="3331F8FF" w14:textId="77777777" w:rsidR="00E21671" w:rsidRPr="00E21671" w:rsidRDefault="00E21671" w:rsidP="00E21671">
      <w:pPr>
        <w:rPr>
          <w:b/>
          <w:bCs/>
          <w:lang w:val="en-GB"/>
        </w:rPr>
      </w:pPr>
      <w:r w:rsidRPr="00E21671">
        <w:rPr>
          <w:b/>
          <w:bCs/>
        </w:rPr>
        <w:t>108º período de sesiones</w:t>
      </w:r>
    </w:p>
    <w:p w14:paraId="1F2A251B" w14:textId="77777777" w:rsidR="00E21671" w:rsidRPr="0095091B" w:rsidRDefault="00E21671" w:rsidP="00E21671">
      <w:pPr>
        <w:rPr>
          <w:lang w:val="en-GB"/>
        </w:rPr>
      </w:pPr>
      <w:r w:rsidRPr="0095091B">
        <w:t xml:space="preserve">14 de noviembre a 2 de diciembre de 2022 </w:t>
      </w:r>
    </w:p>
    <w:p w14:paraId="2EDE47D0" w14:textId="77777777" w:rsidR="00E21671" w:rsidRPr="0095091B" w:rsidRDefault="00E21671" w:rsidP="00E21671">
      <w:pPr>
        <w:rPr>
          <w:lang w:val="en-GB"/>
        </w:rPr>
      </w:pPr>
      <w:r w:rsidRPr="0095091B">
        <w:t>Tema 4 del programa provisional</w:t>
      </w:r>
    </w:p>
    <w:p w14:paraId="2075C996" w14:textId="250CB50F" w:rsidR="00E21671" w:rsidRPr="00E21671" w:rsidRDefault="00E21671" w:rsidP="00E21671">
      <w:pPr>
        <w:rPr>
          <w:b/>
          <w:bCs/>
          <w:lang w:val="en-GB"/>
        </w:rPr>
      </w:pPr>
      <w:r w:rsidRPr="00E21671">
        <w:rPr>
          <w:b/>
          <w:bCs/>
        </w:rPr>
        <w:t>Examen de los informes, las observaciones y</w:t>
      </w:r>
      <w:r>
        <w:rPr>
          <w:b/>
          <w:bCs/>
        </w:rPr>
        <w:br/>
      </w:r>
      <w:r w:rsidRPr="00E21671">
        <w:rPr>
          <w:b/>
          <w:bCs/>
        </w:rPr>
        <w:t>la información</w:t>
      </w:r>
      <w:r>
        <w:rPr>
          <w:b/>
          <w:bCs/>
        </w:rPr>
        <w:t xml:space="preserve"> </w:t>
      </w:r>
      <w:r w:rsidRPr="00E21671">
        <w:rPr>
          <w:b/>
          <w:bCs/>
        </w:rPr>
        <w:t>presentados por los Estados</w:t>
      </w:r>
      <w:r>
        <w:rPr>
          <w:b/>
          <w:bCs/>
        </w:rPr>
        <w:br/>
      </w:r>
      <w:r w:rsidRPr="00E21671">
        <w:rPr>
          <w:b/>
          <w:bCs/>
        </w:rPr>
        <w:t>partes en virtud del artículo 9 de la Convención</w:t>
      </w:r>
    </w:p>
    <w:p w14:paraId="61C33CDB" w14:textId="738AC71B" w:rsidR="00E21671" w:rsidRPr="0095091B" w:rsidRDefault="00E21671" w:rsidP="00E21671">
      <w:pPr>
        <w:pStyle w:val="HChG"/>
        <w:rPr>
          <w:lang w:val="en-GB"/>
        </w:rPr>
      </w:pPr>
      <w:r>
        <w:tab/>
      </w:r>
      <w:r>
        <w:tab/>
      </w:r>
      <w:r w:rsidRPr="0095091B">
        <w:t>Lista de temas relativa a los informes noveno y décimo combinados de Georgia</w:t>
      </w:r>
    </w:p>
    <w:p w14:paraId="1A0294B2" w14:textId="04C138E3" w:rsidR="00E21671" w:rsidRPr="0095091B" w:rsidRDefault="00E21671" w:rsidP="00E21671">
      <w:pPr>
        <w:pStyle w:val="H1G"/>
        <w:rPr>
          <w:lang w:val="en-GB"/>
        </w:rPr>
      </w:pPr>
      <w:r>
        <w:tab/>
      </w:r>
      <w:r>
        <w:tab/>
      </w:r>
      <w:r w:rsidRPr="0095091B">
        <w:t>Nota del Relator para el país</w:t>
      </w:r>
      <w:r w:rsidRPr="00E21671">
        <w:rPr>
          <w:rStyle w:val="Refdenotaalpie"/>
          <w:b w:val="0"/>
          <w:bCs/>
          <w:sz w:val="20"/>
          <w:vertAlign w:val="baseline"/>
        </w:rPr>
        <w:footnoteReference w:customMarkFollows="1" w:id="1"/>
        <w:t>*</w:t>
      </w:r>
    </w:p>
    <w:p w14:paraId="700F4328" w14:textId="77777777" w:rsidR="00E21671" w:rsidRPr="0095091B" w:rsidRDefault="00E21671" w:rsidP="00E21671">
      <w:pPr>
        <w:pStyle w:val="SingleTxtG"/>
        <w:rPr>
          <w:lang w:val="en-GB"/>
        </w:rPr>
      </w:pPr>
      <w:r w:rsidRPr="0095091B">
        <w:t>1.</w:t>
      </w:r>
      <w:r w:rsidRPr="0095091B">
        <w:tab/>
        <w:t>El Comité para la Eliminación de la Discriminación Racial decidió en su 76º período de sesiones</w:t>
      </w:r>
      <w:r w:rsidRPr="0095091B">
        <w:rPr>
          <w:rStyle w:val="Refdenotaalpie"/>
        </w:rPr>
        <w:footnoteReference w:id="2"/>
      </w:r>
      <w:r w:rsidRPr="0095091B">
        <w:t xml:space="preserve">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w:t>
      </w:r>
    </w:p>
    <w:p w14:paraId="14905536" w14:textId="63D8B6E6" w:rsidR="00E21671" w:rsidRPr="0095091B" w:rsidRDefault="00E21671" w:rsidP="00E21671">
      <w:pPr>
        <w:pStyle w:val="H23G"/>
        <w:rPr>
          <w:lang w:val="en-GB"/>
        </w:rPr>
      </w:pPr>
      <w:r>
        <w:tab/>
      </w:r>
      <w:r>
        <w:tab/>
      </w:r>
      <w:r w:rsidRPr="0095091B">
        <w:t>La Convención en el derecho interno y el marco institucional y normativo</w:t>
      </w:r>
      <w:r>
        <w:br/>
      </w:r>
      <w:r w:rsidRPr="0095091B">
        <w:t>para su aplicación (arts. 1, 2, 4, 6 y 7)</w:t>
      </w:r>
      <w:bookmarkStart w:id="0" w:name="_Hlk119328068"/>
      <w:bookmarkEnd w:id="0"/>
    </w:p>
    <w:p w14:paraId="0021BFE1" w14:textId="77777777" w:rsidR="00E21671" w:rsidRPr="0095091B" w:rsidRDefault="00E21671" w:rsidP="00E21671">
      <w:pPr>
        <w:pStyle w:val="SingleTxtG"/>
        <w:rPr>
          <w:lang w:val="en-GB"/>
        </w:rPr>
      </w:pPr>
      <w:r w:rsidRPr="0095091B">
        <w:t>2.</w:t>
      </w:r>
      <w:r w:rsidRPr="0095091B">
        <w:tab/>
        <w:t>Estado de la ratificación de la enmienda al artículo 8, párrafo 6, de la Convención aprobada el 15 de enero de 1992</w:t>
      </w:r>
      <w:r w:rsidRPr="0095091B">
        <w:rPr>
          <w:rStyle w:val="Refdenotaalpie"/>
        </w:rPr>
        <w:footnoteReference w:id="3"/>
      </w:r>
      <w:r w:rsidRPr="0095091B">
        <w:t>. Información sobre la actualización del documento básico común</w:t>
      </w:r>
      <w:r w:rsidRPr="0095091B">
        <w:rPr>
          <w:rStyle w:val="Refdenotaalpie"/>
        </w:rPr>
        <w:footnoteReference w:id="4"/>
      </w:r>
      <w:r w:rsidRPr="0095091B">
        <w:t>.</w:t>
      </w:r>
    </w:p>
    <w:p w14:paraId="29CAC440" w14:textId="77777777" w:rsidR="00E21671" w:rsidRPr="0095091B" w:rsidRDefault="00E21671" w:rsidP="00E21671">
      <w:pPr>
        <w:pStyle w:val="SingleTxtG"/>
        <w:rPr>
          <w:lang w:val="en-GB"/>
        </w:rPr>
      </w:pPr>
      <w:r w:rsidRPr="0095091B">
        <w:t>3.</w:t>
      </w:r>
      <w:r w:rsidRPr="0095091B">
        <w:tab/>
        <w:t>Incorporación de la Convención al derecho interno del Estado parte, y ejemplos de casos en que los juzgados, tribunales u otros órganos hayan aplicado o reflejado la Convención en sus decisiones. Medidas para dar a conocer la Convención y la legislación antidiscriminación entre los miembros de la judicatura, los abogados, los funcionarios encargados de hacer cumplir la ley y la ciudadanía.</w:t>
      </w:r>
    </w:p>
    <w:p w14:paraId="62D796DA" w14:textId="77777777" w:rsidR="00E21671" w:rsidRPr="0095091B" w:rsidRDefault="00E21671" w:rsidP="00E21671">
      <w:pPr>
        <w:pStyle w:val="SingleTxtG"/>
        <w:rPr>
          <w:lang w:val="en-GB"/>
        </w:rPr>
      </w:pPr>
      <w:r w:rsidRPr="0095091B">
        <w:t>4.</w:t>
      </w:r>
      <w:r w:rsidRPr="0095091B">
        <w:tab/>
        <w:t>Conformidad de la Ley Georgiana de Eliminación de Todas las Formas de Discriminación con todas las disposiciones de la Convención</w:t>
      </w:r>
      <w:r w:rsidRPr="0095091B">
        <w:rPr>
          <w:rStyle w:val="Refdenotaalpie"/>
        </w:rPr>
        <w:footnoteReference w:id="5"/>
      </w:r>
      <w:r w:rsidRPr="0095091B">
        <w:t>.</w:t>
      </w:r>
    </w:p>
    <w:p w14:paraId="03C31BFD" w14:textId="77777777" w:rsidR="00E21671" w:rsidRPr="0095091B" w:rsidRDefault="00E21671" w:rsidP="00E21671">
      <w:pPr>
        <w:pStyle w:val="SingleTxtG"/>
        <w:rPr>
          <w:lang w:val="en-GB"/>
        </w:rPr>
      </w:pPr>
      <w:r w:rsidRPr="0095091B">
        <w:t>5.</w:t>
      </w:r>
      <w:r w:rsidRPr="0095091B">
        <w:tab/>
        <w:t>Información detallada acerca del mandato del Defensor del Pueblo de Georgia en materia de discriminación racial, y más concretamente acerca de su Departamento de Igualdad</w:t>
      </w:r>
      <w:r w:rsidRPr="0095091B">
        <w:rPr>
          <w:rStyle w:val="Refdenotaalpie"/>
        </w:rPr>
        <w:footnoteReference w:id="6"/>
      </w:r>
      <w:r w:rsidRPr="0095091B">
        <w:t xml:space="preserve">. Relaciones entre el Defensor del Pueblo de Georgia y los órganos judiciales del </w:t>
      </w:r>
      <w:r w:rsidRPr="0095091B">
        <w:lastRenderedPageBreak/>
        <w:t>Estado parte. Casos en que los juzgados, tribunales u otros órganos hayan aplicado las recomendaciones del Defensor del Pueblo</w:t>
      </w:r>
      <w:r w:rsidRPr="0095091B">
        <w:rPr>
          <w:rStyle w:val="Refdenotaalpie"/>
        </w:rPr>
        <w:footnoteReference w:id="7"/>
      </w:r>
      <w:r w:rsidRPr="0095091B">
        <w:t xml:space="preserve">. </w:t>
      </w:r>
    </w:p>
    <w:p w14:paraId="6F1576E0" w14:textId="77777777" w:rsidR="00E21671" w:rsidRPr="0095091B" w:rsidRDefault="00E21671" w:rsidP="00E21671">
      <w:pPr>
        <w:pStyle w:val="SingleTxtG"/>
        <w:rPr>
          <w:lang w:val="en-GB"/>
        </w:rPr>
      </w:pPr>
      <w:r w:rsidRPr="0095091B">
        <w:t>6.</w:t>
      </w:r>
      <w:r w:rsidRPr="0095091B">
        <w:tab/>
        <w:t>Repercusiones de las medidas adoptadas por el Estado parte en los ámbitos de la cultura y la educación en derechos humanos con arreglo al artículo 7 de la Convención, especialmente en lo que respecta a las campañas de sensibilización pública, los programas escolares, la revisión de los libros de texto y la capacitación ofrecida a los funcionarios encargados de hacer cumplir la ley y al personal docente. Medidas adoptadas para que dicha capacitación sea obligatoria</w:t>
      </w:r>
      <w:r w:rsidRPr="0095091B">
        <w:rPr>
          <w:rStyle w:val="Refdenotaalpie"/>
        </w:rPr>
        <w:footnoteReference w:id="8"/>
      </w:r>
      <w:r w:rsidRPr="0095091B">
        <w:t>.</w:t>
      </w:r>
    </w:p>
    <w:p w14:paraId="257E5188" w14:textId="77777777" w:rsidR="00E21671" w:rsidRPr="0095091B" w:rsidRDefault="00E21671" w:rsidP="00E21671">
      <w:pPr>
        <w:pStyle w:val="SingleTxtG"/>
        <w:rPr>
          <w:lang w:val="en-GB"/>
        </w:rPr>
      </w:pPr>
      <w:r w:rsidRPr="0095091B">
        <w:t>7.</w:t>
      </w:r>
      <w:r w:rsidRPr="0095091B">
        <w:tab/>
        <w:t>Medidas prácticas aplicadas por los organismos estatales como resultado del Plan de Acción para 2018-2020 de la Estrategia Nacional de Protección de los Derechos Humanos de Georgia</w:t>
      </w:r>
      <w:r w:rsidRPr="0095091B">
        <w:rPr>
          <w:rStyle w:val="Refdenotaalpie"/>
        </w:rPr>
        <w:footnoteReference w:id="9"/>
      </w:r>
      <w:r w:rsidRPr="0095091B">
        <w:t>.</w:t>
      </w:r>
    </w:p>
    <w:p w14:paraId="7A0AA672" w14:textId="77777777" w:rsidR="00E21671" w:rsidRPr="0095091B" w:rsidRDefault="00E21671" w:rsidP="00E21671">
      <w:pPr>
        <w:pStyle w:val="SingleTxtG"/>
        <w:rPr>
          <w:lang w:val="en-GB"/>
        </w:rPr>
      </w:pPr>
      <w:r w:rsidRPr="0095091B">
        <w:t>8.</w:t>
      </w:r>
      <w:r w:rsidRPr="0095091B">
        <w:tab/>
        <w:t>Medidas adoptadas para aplicar la Declaración y el Programa de Acción de Durban en el plano nacional</w:t>
      </w:r>
      <w:r w:rsidRPr="0095091B">
        <w:rPr>
          <w:rStyle w:val="Refdenotaalpie"/>
        </w:rPr>
        <w:footnoteReference w:id="10"/>
      </w:r>
      <w:r w:rsidRPr="0095091B">
        <w:t xml:space="preserve">. </w:t>
      </w:r>
    </w:p>
    <w:p w14:paraId="05A04DAB" w14:textId="487B1E66" w:rsidR="00E21671" w:rsidRPr="0095091B" w:rsidRDefault="00E21671" w:rsidP="00313836">
      <w:pPr>
        <w:pStyle w:val="H23G"/>
        <w:rPr>
          <w:lang w:val="en-GB"/>
        </w:rPr>
      </w:pPr>
      <w:r>
        <w:tab/>
      </w:r>
      <w:r>
        <w:tab/>
      </w:r>
      <w:r w:rsidRPr="0095091B">
        <w:t>Discurso de odio racista, incitación al odio racial y delitos</w:t>
      </w:r>
      <w:r w:rsidR="00313836">
        <w:t xml:space="preserve"> </w:t>
      </w:r>
      <w:r w:rsidRPr="0095091B">
        <w:t>de odio (arts. 2, 4 y 6)</w:t>
      </w:r>
    </w:p>
    <w:p w14:paraId="71D03C1C" w14:textId="77777777" w:rsidR="00E21671" w:rsidRPr="0095091B" w:rsidRDefault="00E21671" w:rsidP="00E21671">
      <w:pPr>
        <w:pStyle w:val="SingleTxtG"/>
        <w:rPr>
          <w:lang w:val="en-GB"/>
        </w:rPr>
      </w:pPr>
      <w:r w:rsidRPr="0095091B">
        <w:t>9.</w:t>
      </w:r>
      <w:r w:rsidRPr="0095091B">
        <w:tab/>
        <w:t>Medidas adoptadas para aprobar disposiciones específicas que prohíban el discurso de odio racista y los delitos de odio y para que dichas disposiciones estén en plena conformidad con las del artículo 4 de la Convención</w:t>
      </w:r>
      <w:r w:rsidRPr="0095091B">
        <w:rPr>
          <w:rStyle w:val="Refdenotaalpie"/>
        </w:rPr>
        <w:footnoteReference w:id="11"/>
      </w:r>
      <w:r w:rsidRPr="0095091B">
        <w:t>. Razones para posponer la introducción en el Código Penal de una prohibición expresa del discurso de odio racista y los delitos de odio. Aplicación de la disposición que prohíbe la incitación pública a cometer actos de violencia y casos en que los órganos judiciales hayan aplicado esta disposición</w:t>
      </w:r>
      <w:r w:rsidRPr="0095091B">
        <w:rPr>
          <w:rStyle w:val="Refdenotaalpie"/>
        </w:rPr>
        <w:footnoteReference w:id="12"/>
      </w:r>
      <w:r w:rsidRPr="0095091B">
        <w:t xml:space="preserve">. </w:t>
      </w:r>
    </w:p>
    <w:p w14:paraId="5C9EF7B4" w14:textId="77777777" w:rsidR="00E21671" w:rsidRPr="0095091B" w:rsidRDefault="00E21671" w:rsidP="00E21671">
      <w:pPr>
        <w:pStyle w:val="SingleTxtG"/>
        <w:rPr>
          <w:lang w:val="en-GB"/>
        </w:rPr>
      </w:pPr>
      <w:r w:rsidRPr="0095091B">
        <w:t>10.</w:t>
      </w:r>
      <w:r w:rsidRPr="0095091B">
        <w:tab/>
        <w:t>Casos en que los órganos judiciales hayan aplicado las disposiciones del artículo 531 del Código Penal de Georgia</w:t>
      </w:r>
      <w:r w:rsidRPr="0095091B">
        <w:rPr>
          <w:rStyle w:val="Refdenotaalpie"/>
        </w:rPr>
        <w:footnoteReference w:id="13"/>
      </w:r>
      <w:r w:rsidRPr="0095091B">
        <w:t xml:space="preserve"> sobre circunstancias agravantes, incluidos aquellos en que concurriesen motivaciones racistas. </w:t>
      </w:r>
    </w:p>
    <w:p w14:paraId="5991A635" w14:textId="77777777" w:rsidR="00E21671" w:rsidRPr="0095091B" w:rsidRDefault="00E21671" w:rsidP="00E21671">
      <w:pPr>
        <w:pStyle w:val="SingleTxtG"/>
        <w:rPr>
          <w:lang w:val="en-GB"/>
        </w:rPr>
      </w:pPr>
      <w:r w:rsidRPr="0095091B">
        <w:t>11.</w:t>
      </w:r>
      <w:r w:rsidRPr="0095091B">
        <w:tab/>
        <w:t>Aplicación del artículo 23, párrafo 3, de la Constitución, que prohíbe la creación y la actividad de cualquier partido político que incite a la guerra o la violencia o que alimente conflictos de índole nacional, étnica, provincial, religiosa o social, e información sobre casos en los que los órganos judiciales hayan aplicado esta disposición</w:t>
      </w:r>
      <w:r w:rsidRPr="0095091B">
        <w:rPr>
          <w:rStyle w:val="Refdenotaalpie"/>
        </w:rPr>
        <w:footnoteReference w:id="14"/>
      </w:r>
      <w:r w:rsidRPr="0095091B">
        <w:t>.</w:t>
      </w:r>
    </w:p>
    <w:p w14:paraId="43A215B9" w14:textId="77777777" w:rsidR="00E21671" w:rsidRPr="0095091B" w:rsidRDefault="00E21671" w:rsidP="00E21671">
      <w:pPr>
        <w:pStyle w:val="SingleTxtG"/>
        <w:rPr>
          <w:lang w:val="en-GB"/>
        </w:rPr>
      </w:pPr>
      <w:r w:rsidRPr="0095091B">
        <w:t>12.</w:t>
      </w:r>
      <w:r w:rsidRPr="0095091B">
        <w:tab/>
        <w:t>Datos estadísticos actualizados sobre los procedimientos incoados, investigaciones realizadas y resultados obtenidos en relación con actos discriminatorios</w:t>
      </w:r>
      <w:r w:rsidRPr="0095091B">
        <w:rPr>
          <w:rStyle w:val="Refdenotaalpie"/>
        </w:rPr>
        <w:footnoteReference w:id="15"/>
      </w:r>
      <w:r w:rsidRPr="0095091B">
        <w:t>. Medidas adoptadas para que las investigaciones y actuaciones judiciales emprendidas en relación con el discurso de odio y los delitos de odio sean efectivas y exhaustivas. Medidas adoptadas para que las víctimas tengan acceso a procedimientos judiciales y reciban una reparación adecuada, según proceda</w:t>
      </w:r>
      <w:r w:rsidRPr="0095091B">
        <w:rPr>
          <w:rStyle w:val="Refdenotaalpie"/>
        </w:rPr>
        <w:footnoteReference w:id="16"/>
      </w:r>
      <w:r w:rsidRPr="0095091B">
        <w:t>.</w:t>
      </w:r>
    </w:p>
    <w:p w14:paraId="3C282536" w14:textId="7C3143A7" w:rsidR="00E21671" w:rsidRPr="0095091B" w:rsidRDefault="00E21671" w:rsidP="00313836">
      <w:pPr>
        <w:pStyle w:val="H23G"/>
        <w:rPr>
          <w:lang w:val="en-GB"/>
        </w:rPr>
      </w:pPr>
      <w:r>
        <w:tab/>
      </w:r>
      <w:r>
        <w:tab/>
      </w:r>
      <w:r w:rsidRPr="0095091B">
        <w:t>Situación de las minorías étnicas (arts. 2 y 5)</w:t>
      </w:r>
    </w:p>
    <w:p w14:paraId="6B285BA3" w14:textId="77777777" w:rsidR="00E21671" w:rsidRPr="0095091B" w:rsidRDefault="00E21671" w:rsidP="00E21671">
      <w:pPr>
        <w:pStyle w:val="SingleTxtG"/>
        <w:rPr>
          <w:lang w:val="en-GB"/>
        </w:rPr>
      </w:pPr>
      <w:r w:rsidRPr="0095091B">
        <w:t>13.</w:t>
      </w:r>
      <w:r w:rsidRPr="0095091B">
        <w:tab/>
        <w:t>Datos demográficos sobre la composición étnica de la población y su distribución geográfica, incluidos los grupos menos numerosos, como los kurdos, los judíos, los afrodescendientes y las personas de origen africano</w:t>
      </w:r>
      <w:r w:rsidRPr="0095091B">
        <w:rPr>
          <w:rStyle w:val="Refdenotaalpie"/>
        </w:rPr>
        <w:footnoteReference w:id="17"/>
      </w:r>
      <w:r w:rsidRPr="0095091B">
        <w:t xml:space="preserve">. </w:t>
      </w:r>
    </w:p>
    <w:p w14:paraId="06505FF3" w14:textId="77777777" w:rsidR="00E21671" w:rsidRPr="0095091B" w:rsidRDefault="00E21671" w:rsidP="00E21671">
      <w:pPr>
        <w:pStyle w:val="SingleTxtG"/>
        <w:rPr>
          <w:lang w:val="en-GB"/>
        </w:rPr>
      </w:pPr>
      <w:r w:rsidRPr="0095091B">
        <w:t>14.</w:t>
      </w:r>
      <w:r w:rsidRPr="0095091B">
        <w:tab/>
        <w:t>Información sobre la representación de las minorías étnicas en el poder ejecutivo, el parlamento, los partidos políticos y otras entidades públicas</w:t>
      </w:r>
      <w:r w:rsidRPr="0095091B">
        <w:rPr>
          <w:rStyle w:val="Refdenotaalpie"/>
        </w:rPr>
        <w:footnoteReference w:id="18"/>
      </w:r>
      <w:r w:rsidRPr="0095091B">
        <w:t xml:space="preserve">. Medidas adoptadas para aumentar la participación política de las minorías étnicas, e información sobre la aplicación </w:t>
      </w:r>
      <w:r w:rsidRPr="0095091B">
        <w:lastRenderedPageBreak/>
        <w:t>de la Estrategia Estatal de Igualdad e Integración Cívicas para 2015-2020 y su Plan de Acción</w:t>
      </w:r>
      <w:r w:rsidRPr="0095091B">
        <w:rPr>
          <w:rStyle w:val="Refdenotaalpie"/>
        </w:rPr>
        <w:footnoteReference w:id="19"/>
      </w:r>
      <w:r w:rsidRPr="0095091B">
        <w:t>. Medidas para impedir el discurso de odio racista durante las campañas electorales y sanciones previstas</w:t>
      </w:r>
      <w:r w:rsidRPr="0095091B">
        <w:rPr>
          <w:rStyle w:val="Refdenotaalpie"/>
        </w:rPr>
        <w:footnoteReference w:id="20"/>
      </w:r>
      <w:r w:rsidRPr="0095091B">
        <w:t xml:space="preserve">. </w:t>
      </w:r>
    </w:p>
    <w:p w14:paraId="547D97C3" w14:textId="77777777" w:rsidR="00E21671" w:rsidRPr="0095091B" w:rsidRDefault="00E21671" w:rsidP="00E21671">
      <w:pPr>
        <w:pStyle w:val="SingleTxtG"/>
        <w:rPr>
          <w:lang w:val="en-GB"/>
        </w:rPr>
      </w:pPr>
      <w:r w:rsidRPr="0095091B">
        <w:t>15.</w:t>
      </w:r>
      <w:r w:rsidRPr="0095091B">
        <w:tab/>
        <w:t>Información actualizada sobre las medidas para que las minorías étnicas puedan acceder a una atención sanitaria de calidad, también en las zonas rurales</w:t>
      </w:r>
      <w:r w:rsidRPr="0095091B">
        <w:rPr>
          <w:rStyle w:val="Refdenotaalpie"/>
        </w:rPr>
        <w:footnoteReference w:id="21"/>
      </w:r>
      <w:r w:rsidRPr="0095091B">
        <w:t>.</w:t>
      </w:r>
    </w:p>
    <w:p w14:paraId="7133ED4D" w14:textId="77777777" w:rsidR="00E21671" w:rsidRPr="0095091B" w:rsidRDefault="00E21671" w:rsidP="00E21671">
      <w:pPr>
        <w:pStyle w:val="SingleTxtG"/>
        <w:rPr>
          <w:lang w:val="en-GB"/>
        </w:rPr>
      </w:pPr>
      <w:r w:rsidRPr="0095091B">
        <w:t>16.</w:t>
      </w:r>
      <w:r w:rsidRPr="0095091B">
        <w:tab/>
        <w:t>Acceso de las minorías étnicas y nacionales al empleo, también en las zonas rurales. Impacto de los programas y estrategias aplicados al respecto desde 2015</w:t>
      </w:r>
      <w:r w:rsidRPr="0095091B">
        <w:rPr>
          <w:rStyle w:val="Refdenotaalpie"/>
        </w:rPr>
        <w:footnoteReference w:id="22"/>
      </w:r>
      <w:r w:rsidRPr="0095091B">
        <w:t>.</w:t>
      </w:r>
    </w:p>
    <w:p w14:paraId="70239E87" w14:textId="77777777" w:rsidR="00E21671" w:rsidRPr="0095091B" w:rsidRDefault="00E21671" w:rsidP="00E21671">
      <w:pPr>
        <w:pStyle w:val="SingleTxtG"/>
        <w:rPr>
          <w:lang w:val="en-GB"/>
        </w:rPr>
      </w:pPr>
      <w:r w:rsidRPr="0095091B">
        <w:t>17.</w:t>
      </w:r>
      <w:r w:rsidRPr="0095091B">
        <w:tab/>
        <w:t>Medidas adoptadas para reducir la desigualdad económica y evitar la pérdida de ingresos de los miembros de minorías étnicas, incluso durante la pandemia de enfermedad por coronavirus (COVID-19)</w:t>
      </w:r>
      <w:r w:rsidRPr="0095091B">
        <w:rPr>
          <w:rStyle w:val="Refdenotaalpie"/>
        </w:rPr>
        <w:footnoteReference w:id="23"/>
      </w:r>
      <w:r w:rsidRPr="0095091B">
        <w:t>.</w:t>
      </w:r>
    </w:p>
    <w:p w14:paraId="21858F1D" w14:textId="77777777" w:rsidR="00E21671" w:rsidRPr="0095091B" w:rsidRDefault="00E21671" w:rsidP="00E21671">
      <w:pPr>
        <w:pStyle w:val="SingleTxtG"/>
        <w:rPr>
          <w:b/>
          <w:bCs/>
          <w:lang w:val="en-GB"/>
        </w:rPr>
      </w:pPr>
      <w:r w:rsidRPr="0095091B">
        <w:t>18.</w:t>
      </w:r>
      <w:r w:rsidRPr="0095091B">
        <w:tab/>
        <w:t>Información actualizada sobre el acceso de las minorías a una educación de calidad y a la educación superior</w:t>
      </w:r>
      <w:r w:rsidRPr="0095091B">
        <w:rPr>
          <w:rStyle w:val="Refdenotaalpie"/>
        </w:rPr>
        <w:footnoteReference w:id="24"/>
      </w:r>
      <w:r w:rsidRPr="0095091B">
        <w:t xml:space="preserve">, también en las zonas rurales.  </w:t>
      </w:r>
    </w:p>
    <w:p w14:paraId="1BD01EEF" w14:textId="77777777" w:rsidR="00E21671" w:rsidRPr="0095091B" w:rsidRDefault="00E21671" w:rsidP="00E21671">
      <w:pPr>
        <w:pStyle w:val="SingleTxtG"/>
        <w:rPr>
          <w:lang w:val="en-GB"/>
        </w:rPr>
      </w:pPr>
      <w:r w:rsidRPr="0095091B">
        <w:t>19.</w:t>
      </w:r>
      <w:r w:rsidRPr="0095091B">
        <w:tab/>
        <w:t>Información actualizada sobre cómo se está poniendo más empeño en dar a la población romaní acceso a documentos de identidad</w:t>
      </w:r>
      <w:r w:rsidRPr="0095091B">
        <w:rPr>
          <w:rStyle w:val="Refdenotaalpie"/>
        </w:rPr>
        <w:footnoteReference w:id="25"/>
      </w:r>
      <w:r w:rsidRPr="0095091B">
        <w:t xml:space="preserve"> y en incrementar la escolarización de los niños romaníes</w:t>
      </w:r>
      <w:r w:rsidRPr="0095091B">
        <w:rPr>
          <w:rStyle w:val="Refdenotaalpie"/>
        </w:rPr>
        <w:footnoteReference w:id="26"/>
      </w:r>
      <w:r w:rsidRPr="0095091B">
        <w:t>. Medidas preventivas contra el matrimonio forzado y el matrimonio infantil entre grupos minoritarios e información sobre la aplicación del artículo 150 del Código Penal a este respecto</w:t>
      </w:r>
      <w:r w:rsidRPr="0095091B">
        <w:rPr>
          <w:rStyle w:val="Refdenotaalpie"/>
        </w:rPr>
        <w:footnoteReference w:id="27"/>
      </w:r>
      <w:r w:rsidRPr="0095091B">
        <w:t>.</w:t>
      </w:r>
    </w:p>
    <w:p w14:paraId="1A3F70AC" w14:textId="7238FA35" w:rsidR="00E21671" w:rsidRPr="0095091B" w:rsidRDefault="00E21671" w:rsidP="00313836">
      <w:pPr>
        <w:pStyle w:val="H23G"/>
        <w:rPr>
          <w:lang w:val="en-GB"/>
        </w:rPr>
      </w:pPr>
      <w:r>
        <w:tab/>
      </w:r>
      <w:r>
        <w:tab/>
      </w:r>
      <w:r w:rsidRPr="0095091B">
        <w:t>No ciudadanos, incluidos los refugiados, los solicitantes de</w:t>
      </w:r>
      <w:r w:rsidR="00313836">
        <w:t xml:space="preserve"> </w:t>
      </w:r>
      <w:r w:rsidRPr="0095091B">
        <w:t>asilo y</w:t>
      </w:r>
      <w:r w:rsidR="00313836">
        <w:br/>
      </w:r>
      <w:r w:rsidRPr="0095091B">
        <w:t>los apátridas (arts. 2 y 5)</w:t>
      </w:r>
    </w:p>
    <w:p w14:paraId="0ED232A8" w14:textId="77777777" w:rsidR="00E21671" w:rsidRPr="0095091B" w:rsidRDefault="00E21671" w:rsidP="00E21671">
      <w:pPr>
        <w:pStyle w:val="SingleTxtG"/>
        <w:rPr>
          <w:lang w:val="en-GB"/>
        </w:rPr>
      </w:pPr>
      <w:r w:rsidRPr="0095091B">
        <w:t>20.</w:t>
      </w:r>
      <w:r w:rsidRPr="0095091B">
        <w:tab/>
        <w:t>Datos sobre los no ciudadanos, incluidos los migrantes, los solicitantes de asilo, los refugiados y los apátridas, y sobre su situación en el Estado parte.</w:t>
      </w:r>
    </w:p>
    <w:p w14:paraId="30EE050A" w14:textId="77777777" w:rsidR="00E21671" w:rsidRPr="0095091B" w:rsidRDefault="00E21671" w:rsidP="00E21671">
      <w:pPr>
        <w:pStyle w:val="SingleTxtG"/>
        <w:rPr>
          <w:lang w:val="en-GB"/>
        </w:rPr>
      </w:pPr>
      <w:r w:rsidRPr="0095091B">
        <w:t>21.</w:t>
      </w:r>
      <w:r w:rsidRPr="0095091B">
        <w:tab/>
        <w:t>Medidas adoptadas para que todas las personas necesitadas de protección internacional tengan acceso a un procedimiento de asilo imparcial, transparente y eficiente. Información detallada sobre la determinación de la existencia de una amenaza potencial para la seguridad del Estado de Georgia como motivo para que el Ministerio del Interior deniegue la protección internacional, y conformidad con las normas internacionales</w:t>
      </w:r>
      <w:r w:rsidRPr="0095091B">
        <w:rPr>
          <w:rStyle w:val="Refdenotaalpie"/>
        </w:rPr>
        <w:footnoteReference w:id="28"/>
      </w:r>
      <w:r w:rsidRPr="0095091B">
        <w:t>.</w:t>
      </w:r>
    </w:p>
    <w:p w14:paraId="36441857" w14:textId="77777777" w:rsidR="00E21671" w:rsidRPr="0095091B" w:rsidRDefault="00E21671" w:rsidP="00E21671">
      <w:pPr>
        <w:pStyle w:val="SingleTxtG"/>
        <w:rPr>
          <w:lang w:val="en-GB"/>
        </w:rPr>
      </w:pPr>
      <w:r w:rsidRPr="0095091B">
        <w:t>22.</w:t>
      </w:r>
      <w:r w:rsidRPr="0095091B">
        <w:tab/>
        <w:t>Información actualizada sobre el sistema reformado de asistencia jurídica, especialmente en lo que respecta al acceso a representación letrada gratuita para los solicitantes de asilo y los apátridas</w:t>
      </w:r>
      <w:r w:rsidRPr="0095091B">
        <w:rPr>
          <w:rStyle w:val="Refdenotaalpie"/>
        </w:rPr>
        <w:footnoteReference w:id="29"/>
      </w:r>
      <w:r w:rsidRPr="0095091B">
        <w:t>.</w:t>
      </w:r>
    </w:p>
    <w:p w14:paraId="6D6694EC" w14:textId="77777777" w:rsidR="00E21671" w:rsidRPr="0095091B" w:rsidRDefault="00E21671" w:rsidP="00E21671">
      <w:pPr>
        <w:pStyle w:val="SingleTxtG"/>
        <w:rPr>
          <w:lang w:val="en-GB"/>
        </w:rPr>
      </w:pPr>
      <w:r w:rsidRPr="0095091B">
        <w:t>23.</w:t>
      </w:r>
      <w:r w:rsidRPr="0095091B">
        <w:tab/>
        <w:t>Medidas adoptadas para rebajar las exigencias que los apátridas deben cumplir a fin de obtener la ciudadanía georgiana y para identificar a los niños nacidos en el Estado parte que de otro modo serían apátridas. Información actualizada sobre la modificación de la Ley Orgánica de Ciudadanía de Georgia</w:t>
      </w:r>
      <w:r w:rsidRPr="0095091B">
        <w:rPr>
          <w:rStyle w:val="Refdenotaalpie"/>
        </w:rPr>
        <w:footnoteReference w:id="30"/>
      </w:r>
      <w:r w:rsidRPr="0095091B">
        <w:t>.</w:t>
      </w:r>
    </w:p>
    <w:p w14:paraId="3AADCEFF" w14:textId="08F12081" w:rsidR="00381C24" w:rsidRDefault="00E21671" w:rsidP="00E21671">
      <w:pPr>
        <w:pStyle w:val="SingleTxtG"/>
        <w:keepNext/>
        <w:keepLines/>
      </w:pPr>
      <w:r w:rsidRPr="0095091B">
        <w:t>24.</w:t>
      </w:r>
      <w:r w:rsidRPr="0095091B">
        <w:tab/>
        <w:t>Medidas adoptadas para agilizar el proceso de repatriación de las personas que fueron expulsadas por la fuerza de Georgia por la antigua Unión de Repúblicas Socialistas Soviéticas. Información sobre las medidas para facilitar el acceso de estas personas a la ciudadanía, la educación, el empleo, la atención de la salud y la asistencia social</w:t>
      </w:r>
      <w:r w:rsidRPr="0095091B">
        <w:rPr>
          <w:rStyle w:val="Refdenotaalpie"/>
        </w:rPr>
        <w:footnoteReference w:id="31"/>
      </w:r>
      <w:r w:rsidRPr="0095091B">
        <w:t>.</w:t>
      </w:r>
    </w:p>
    <w:p w14:paraId="2578AE09" w14:textId="21B95973" w:rsidR="00E21671" w:rsidRPr="00E21671" w:rsidRDefault="00E21671" w:rsidP="00E21671">
      <w:pPr>
        <w:pStyle w:val="SingleTxtG"/>
        <w:suppressAutoHyphens/>
        <w:spacing w:before="240" w:after="0"/>
        <w:jc w:val="center"/>
        <w:rPr>
          <w:u w:val="single"/>
        </w:rPr>
      </w:pPr>
      <w:r>
        <w:rPr>
          <w:u w:val="single"/>
        </w:rPr>
        <w:tab/>
      </w:r>
      <w:r>
        <w:rPr>
          <w:u w:val="single"/>
        </w:rPr>
        <w:tab/>
      </w:r>
      <w:r>
        <w:rPr>
          <w:u w:val="single"/>
        </w:rPr>
        <w:tab/>
      </w:r>
    </w:p>
    <w:sectPr w:rsidR="00E21671" w:rsidRPr="00E21671" w:rsidSect="00E216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3F23D8" w14:textId="77777777" w:rsidR="00DC70AD" w:rsidRPr="00D43FF0" w:rsidRDefault="00DC70AD" w:rsidP="00D43FF0">
      <w:pPr>
        <w:pStyle w:val="Piedepgina"/>
      </w:pPr>
    </w:p>
  </w:endnote>
  <w:endnote w:type="continuationSeparator" w:id="0">
    <w:p w14:paraId="6C3B9670" w14:textId="77777777" w:rsidR="00DC70AD" w:rsidRPr="00D43FF0" w:rsidRDefault="00DC70AD"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B7722E" w14:textId="4EBD1324" w:rsidR="00E21671" w:rsidRPr="00E21671" w:rsidRDefault="00E21671" w:rsidP="00E21671">
    <w:pPr>
      <w:pStyle w:val="Piedepgina"/>
      <w:tabs>
        <w:tab w:val="right" w:pos="9638"/>
      </w:tabs>
    </w:pPr>
    <w:r w:rsidRPr="00E21671">
      <w:rPr>
        <w:b/>
        <w:sz w:val="18"/>
      </w:rPr>
      <w:fldChar w:fldCharType="begin"/>
    </w:r>
    <w:r w:rsidRPr="00E21671">
      <w:rPr>
        <w:b/>
        <w:sz w:val="18"/>
      </w:rPr>
      <w:instrText xml:space="preserve"> PAGE  \* MERGEFORMAT </w:instrText>
    </w:r>
    <w:r w:rsidRPr="00E21671">
      <w:rPr>
        <w:b/>
        <w:sz w:val="18"/>
      </w:rPr>
      <w:fldChar w:fldCharType="separate"/>
    </w:r>
    <w:r w:rsidRPr="00E21671">
      <w:rPr>
        <w:b/>
        <w:noProof/>
        <w:sz w:val="18"/>
      </w:rPr>
      <w:t>2</w:t>
    </w:r>
    <w:r w:rsidRPr="00E21671">
      <w:rPr>
        <w:b/>
        <w:sz w:val="18"/>
      </w:rPr>
      <w:fldChar w:fldCharType="end"/>
    </w:r>
    <w:r>
      <w:rPr>
        <w:b/>
        <w:sz w:val="18"/>
      </w:rPr>
      <w:tab/>
    </w:r>
    <w:r>
      <w:t>GE.22-25789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503DF" w14:textId="3246F1C0" w:rsidR="00E21671" w:rsidRPr="00E21671" w:rsidRDefault="00E21671" w:rsidP="00E21671">
    <w:pPr>
      <w:pStyle w:val="Piedepgina"/>
      <w:tabs>
        <w:tab w:val="right" w:pos="9638"/>
      </w:tabs>
      <w:rPr>
        <w:b/>
        <w:sz w:val="18"/>
      </w:rPr>
    </w:pPr>
    <w:r>
      <w:t>GE.22-25789</w:t>
    </w:r>
    <w:r>
      <w:tab/>
    </w:r>
    <w:r w:rsidRPr="00E21671">
      <w:rPr>
        <w:b/>
        <w:sz w:val="18"/>
      </w:rPr>
      <w:fldChar w:fldCharType="begin"/>
    </w:r>
    <w:r w:rsidRPr="00E21671">
      <w:rPr>
        <w:b/>
        <w:sz w:val="18"/>
      </w:rPr>
      <w:instrText xml:space="preserve"> PAGE  \* MERGEFORMAT </w:instrText>
    </w:r>
    <w:r w:rsidRPr="00E21671">
      <w:rPr>
        <w:b/>
        <w:sz w:val="18"/>
      </w:rPr>
      <w:fldChar w:fldCharType="separate"/>
    </w:r>
    <w:r w:rsidRPr="00E21671">
      <w:rPr>
        <w:b/>
        <w:noProof/>
        <w:sz w:val="18"/>
      </w:rPr>
      <w:t>3</w:t>
    </w:r>
    <w:r w:rsidRPr="00E216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D9C5E" w14:textId="3F3A7C2C" w:rsidR="00C63C2A" w:rsidRPr="00E21671" w:rsidRDefault="00E21671" w:rsidP="00E21671">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11D049B2" wp14:editId="5E02468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22-25789  (S)</w:t>
    </w:r>
    <w:r>
      <w:rPr>
        <w:noProof/>
        <w:sz w:val="20"/>
      </w:rPr>
      <w:drawing>
        <wp:anchor distT="0" distB="0" distL="114300" distR="114300" simplePos="0" relativeHeight="251658752" behindDoc="0" locked="0" layoutInCell="1" allowOverlap="1" wp14:anchorId="1188ACD0" wp14:editId="3AAB78C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140223    070323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3E27F0" w14:textId="77777777" w:rsidR="00DC70AD" w:rsidRPr="001075E9" w:rsidRDefault="00DC70AD" w:rsidP="001075E9">
      <w:pPr>
        <w:tabs>
          <w:tab w:val="right" w:pos="2155"/>
        </w:tabs>
        <w:spacing w:after="80" w:line="240" w:lineRule="auto"/>
        <w:ind w:left="680"/>
        <w:rPr>
          <w:u w:val="single"/>
        </w:rPr>
      </w:pPr>
      <w:r>
        <w:rPr>
          <w:u w:val="single"/>
        </w:rPr>
        <w:tab/>
      </w:r>
    </w:p>
  </w:footnote>
  <w:footnote w:type="continuationSeparator" w:id="0">
    <w:p w14:paraId="224A28FB" w14:textId="77777777" w:rsidR="00DC70AD" w:rsidRDefault="00DC70AD" w:rsidP="00D43FF0">
      <w:pPr>
        <w:tabs>
          <w:tab w:val="right" w:pos="2155"/>
        </w:tabs>
        <w:spacing w:after="80" w:line="240" w:lineRule="auto"/>
        <w:ind w:left="680"/>
        <w:rPr>
          <w:u w:val="single"/>
        </w:rPr>
      </w:pPr>
      <w:r>
        <w:rPr>
          <w:u w:val="single"/>
        </w:rPr>
        <w:tab/>
      </w:r>
    </w:p>
  </w:footnote>
  <w:footnote w:id="1">
    <w:p w14:paraId="15D81BDF" w14:textId="759F2802" w:rsidR="00E21671" w:rsidRPr="00E21671" w:rsidRDefault="00E21671">
      <w:pPr>
        <w:pStyle w:val="Textonotapie"/>
        <w:rPr>
          <w:sz w:val="20"/>
        </w:rPr>
      </w:pPr>
      <w:r>
        <w:tab/>
      </w:r>
      <w:r w:rsidRPr="00E21671">
        <w:rPr>
          <w:rStyle w:val="Refdenotaalpie"/>
          <w:sz w:val="20"/>
          <w:vertAlign w:val="baseline"/>
        </w:rPr>
        <w:t>*</w:t>
      </w:r>
      <w:r w:rsidRPr="00E21671">
        <w:rPr>
          <w:rStyle w:val="Refdenotaalpie"/>
          <w:vertAlign w:val="baseline"/>
        </w:rPr>
        <w:tab/>
      </w:r>
      <w:r w:rsidRPr="0095091B">
        <w:t>Este informe se presentó con retraso para poder incluir en él la información más reciente.</w:t>
      </w:r>
    </w:p>
  </w:footnote>
  <w:footnote w:id="2">
    <w:p w14:paraId="018928F7" w14:textId="4F5409D7" w:rsidR="00E21671" w:rsidRPr="0095091B" w:rsidRDefault="00E21671" w:rsidP="00E21671">
      <w:pPr>
        <w:pStyle w:val="Textonotapie"/>
      </w:pPr>
      <w:r w:rsidRPr="0095091B">
        <w:tab/>
      </w:r>
      <w:r w:rsidRPr="0095091B">
        <w:rPr>
          <w:rStyle w:val="Refdenotaalpie"/>
        </w:rPr>
        <w:footnoteRef/>
      </w:r>
      <w:r w:rsidRPr="0095091B">
        <w:tab/>
      </w:r>
      <w:hyperlink r:id="rId1" w:history="1">
        <w:r w:rsidRPr="00E21671">
          <w:rPr>
            <w:rStyle w:val="Hipervnculo"/>
          </w:rPr>
          <w:t>A/65/18</w:t>
        </w:r>
      </w:hyperlink>
      <w:r w:rsidRPr="0095091B">
        <w:t xml:space="preserve">, párr. 85. </w:t>
      </w:r>
    </w:p>
  </w:footnote>
  <w:footnote w:id="3">
    <w:p w14:paraId="05F5402F" w14:textId="0110E8F4" w:rsidR="00E21671" w:rsidRPr="0095091B" w:rsidRDefault="00E21671" w:rsidP="00E21671">
      <w:pPr>
        <w:pStyle w:val="Textonotapie"/>
      </w:pPr>
      <w:r w:rsidRPr="0095091B">
        <w:tab/>
      </w:r>
      <w:r w:rsidRPr="0095091B">
        <w:rPr>
          <w:rStyle w:val="Refdenotaalpie"/>
        </w:rPr>
        <w:footnoteRef/>
      </w:r>
      <w:r w:rsidRPr="0095091B">
        <w:tab/>
      </w:r>
      <w:hyperlink r:id="rId2" w:history="1">
        <w:proofErr w:type="spellStart"/>
        <w:r w:rsidRPr="00E21671">
          <w:rPr>
            <w:rStyle w:val="Hipervnculo"/>
          </w:rPr>
          <w:t>CERD</w:t>
        </w:r>
        <w:proofErr w:type="spellEnd"/>
        <w:r w:rsidRPr="00E21671">
          <w:rPr>
            <w:rStyle w:val="Hipervnculo"/>
          </w:rPr>
          <w:t>/C/GEO/9-10</w:t>
        </w:r>
      </w:hyperlink>
      <w:r w:rsidRPr="0095091B">
        <w:t xml:space="preserve">, párr. 251. </w:t>
      </w:r>
    </w:p>
  </w:footnote>
  <w:footnote w:id="4">
    <w:p w14:paraId="2CAC043F" w14:textId="77777777" w:rsidR="00E21671" w:rsidRPr="0095091B" w:rsidRDefault="00E21671" w:rsidP="00E21671">
      <w:pPr>
        <w:pStyle w:val="Textonotapie"/>
      </w:pPr>
      <w:r w:rsidRPr="0095091B">
        <w:tab/>
      </w:r>
      <w:r w:rsidRPr="0095091B">
        <w:rPr>
          <w:rStyle w:val="Refdenotaalpie"/>
        </w:rPr>
        <w:footnoteRef/>
      </w:r>
      <w:r w:rsidRPr="0095091B">
        <w:t xml:space="preserve"> </w:t>
      </w:r>
      <w:r w:rsidRPr="0095091B">
        <w:tab/>
      </w:r>
      <w:r w:rsidRPr="00E21671">
        <w:rPr>
          <w:i/>
        </w:rPr>
        <w:t>Ibid</w:t>
      </w:r>
      <w:r w:rsidRPr="0095091B">
        <w:t>., párr. 252.</w:t>
      </w:r>
    </w:p>
  </w:footnote>
  <w:footnote w:id="5">
    <w:p w14:paraId="5E2BBA90"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 7. </w:t>
      </w:r>
    </w:p>
  </w:footnote>
  <w:footnote w:id="6">
    <w:p w14:paraId="4EA1006A"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 29. </w:t>
      </w:r>
    </w:p>
  </w:footnote>
  <w:footnote w:id="7">
    <w:p w14:paraId="1199B96E" w14:textId="56ED20F7" w:rsidR="00E21671" w:rsidRPr="0095091B" w:rsidRDefault="00E21671" w:rsidP="00E21671">
      <w:pPr>
        <w:pStyle w:val="Textonotapie"/>
      </w:pPr>
      <w:r w:rsidRPr="0095091B">
        <w:tab/>
      </w:r>
      <w:r w:rsidRPr="0095091B">
        <w:rPr>
          <w:rStyle w:val="Refdenotaalpie"/>
        </w:rPr>
        <w:footnoteRef/>
      </w:r>
      <w:r w:rsidRPr="0095091B">
        <w:tab/>
      </w:r>
      <w:hyperlink r:id="rId3" w:history="1">
        <w:proofErr w:type="spellStart"/>
        <w:r w:rsidRPr="00E21671">
          <w:rPr>
            <w:rStyle w:val="Hipervnculo"/>
          </w:rPr>
          <w:t>CERD</w:t>
        </w:r>
        <w:proofErr w:type="spellEnd"/>
        <w:r w:rsidRPr="00E21671">
          <w:rPr>
            <w:rStyle w:val="Hipervnculo"/>
          </w:rPr>
          <w:t>/C/GEO/CO/6-8</w:t>
        </w:r>
      </w:hyperlink>
      <w:r w:rsidRPr="0095091B">
        <w:t xml:space="preserve">, </w:t>
      </w:r>
      <w:proofErr w:type="spellStart"/>
      <w:r w:rsidRPr="0095091B">
        <w:t>párrs</w:t>
      </w:r>
      <w:proofErr w:type="spellEnd"/>
      <w:r w:rsidRPr="0095091B">
        <w:t xml:space="preserve">. 6 y 7; y </w:t>
      </w:r>
      <w:hyperlink r:id="rId4" w:history="1">
        <w:proofErr w:type="spellStart"/>
        <w:r w:rsidRPr="00E21671">
          <w:rPr>
            <w:rStyle w:val="Hipervnculo"/>
          </w:rPr>
          <w:t>CERD</w:t>
        </w:r>
        <w:proofErr w:type="spellEnd"/>
        <w:r w:rsidRPr="00E21671">
          <w:rPr>
            <w:rStyle w:val="Hipervnculo"/>
          </w:rPr>
          <w:t>/C/GEO/9-10</w:t>
        </w:r>
      </w:hyperlink>
      <w:r w:rsidRPr="0095091B">
        <w:t xml:space="preserve">, párr. 30. </w:t>
      </w:r>
    </w:p>
  </w:footnote>
  <w:footnote w:id="8">
    <w:p w14:paraId="516B590C" w14:textId="186E7900" w:rsidR="00E21671" w:rsidRPr="0095091B" w:rsidRDefault="00E21671" w:rsidP="00E21671">
      <w:pPr>
        <w:pStyle w:val="Textonotapie"/>
      </w:pPr>
      <w:r w:rsidRPr="0095091B">
        <w:tab/>
      </w:r>
      <w:r w:rsidRPr="0095091B">
        <w:rPr>
          <w:rStyle w:val="Refdenotaalpie"/>
        </w:rPr>
        <w:footnoteRef/>
      </w:r>
      <w:r w:rsidRPr="0095091B">
        <w:tab/>
      </w:r>
      <w:hyperlink r:id="rId5" w:history="1">
        <w:proofErr w:type="spellStart"/>
        <w:r w:rsidRPr="00E21671">
          <w:rPr>
            <w:rStyle w:val="Hipervnculo"/>
          </w:rPr>
          <w:t>CERD</w:t>
        </w:r>
        <w:proofErr w:type="spellEnd"/>
        <w:r w:rsidRPr="00E21671">
          <w:rPr>
            <w:rStyle w:val="Hipervnculo"/>
          </w:rPr>
          <w:t>/C/GEO/9-10</w:t>
        </w:r>
      </w:hyperlink>
      <w:r w:rsidRPr="0095091B">
        <w:t xml:space="preserve">, </w:t>
      </w:r>
      <w:proofErr w:type="spellStart"/>
      <w:r w:rsidRPr="0095091B">
        <w:t>párrs</w:t>
      </w:r>
      <w:proofErr w:type="spellEnd"/>
      <w:r w:rsidRPr="0095091B">
        <w:t xml:space="preserve">. 33 a 73. </w:t>
      </w:r>
    </w:p>
  </w:footnote>
  <w:footnote w:id="9">
    <w:p w14:paraId="1E440205"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párr. 9.</w:t>
      </w:r>
    </w:p>
  </w:footnote>
  <w:footnote w:id="10">
    <w:p w14:paraId="320E396F" w14:textId="63D7F6AF" w:rsidR="00E21671" w:rsidRPr="0095091B" w:rsidRDefault="00E21671" w:rsidP="00E21671">
      <w:pPr>
        <w:pStyle w:val="Textonotapie"/>
      </w:pPr>
      <w:r w:rsidRPr="0095091B">
        <w:tab/>
      </w:r>
      <w:r w:rsidRPr="0095091B">
        <w:rPr>
          <w:rStyle w:val="Refdenotaalpie"/>
        </w:rPr>
        <w:footnoteRef/>
      </w:r>
      <w:r w:rsidRPr="0095091B">
        <w:tab/>
      </w:r>
      <w:hyperlink r:id="rId6" w:history="1">
        <w:proofErr w:type="spellStart"/>
        <w:r w:rsidRPr="00E21671">
          <w:rPr>
            <w:rStyle w:val="Hipervnculo"/>
          </w:rPr>
          <w:t>CERD</w:t>
        </w:r>
        <w:proofErr w:type="spellEnd"/>
        <w:r w:rsidRPr="00E21671">
          <w:rPr>
            <w:rStyle w:val="Hipervnculo"/>
          </w:rPr>
          <w:t>/C/GEO/CO/6-8</w:t>
        </w:r>
      </w:hyperlink>
      <w:r w:rsidRPr="0095091B">
        <w:t xml:space="preserve">, párr. 25. </w:t>
      </w:r>
    </w:p>
  </w:footnote>
  <w:footnote w:id="11">
    <w:p w14:paraId="66BE12F7" w14:textId="3DDDD744"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 9 b); y </w:t>
      </w:r>
      <w:hyperlink r:id="rId7" w:history="1">
        <w:proofErr w:type="spellStart"/>
        <w:r w:rsidRPr="00E21671">
          <w:rPr>
            <w:rStyle w:val="Hipervnculo"/>
          </w:rPr>
          <w:t>CERD</w:t>
        </w:r>
        <w:proofErr w:type="spellEnd"/>
        <w:r w:rsidRPr="00E21671">
          <w:rPr>
            <w:rStyle w:val="Hipervnculo"/>
          </w:rPr>
          <w:t>/C/GEO/9-10</w:t>
        </w:r>
      </w:hyperlink>
      <w:r w:rsidRPr="0095091B">
        <w:t>, párr. 280.</w:t>
      </w:r>
    </w:p>
  </w:footnote>
  <w:footnote w:id="12">
    <w:p w14:paraId="24EA7E0D" w14:textId="2BDFF17A" w:rsidR="00E21671" w:rsidRPr="0095091B" w:rsidRDefault="00E21671" w:rsidP="00E21671">
      <w:pPr>
        <w:pStyle w:val="Textonotapie"/>
      </w:pPr>
      <w:r w:rsidRPr="0095091B">
        <w:tab/>
      </w:r>
      <w:r w:rsidRPr="0095091B">
        <w:rPr>
          <w:rStyle w:val="Refdenotaalpie"/>
        </w:rPr>
        <w:footnoteRef/>
      </w:r>
      <w:r w:rsidRPr="0095091B">
        <w:tab/>
      </w:r>
      <w:hyperlink r:id="rId8" w:history="1">
        <w:proofErr w:type="spellStart"/>
        <w:r w:rsidRPr="00E21671">
          <w:rPr>
            <w:rStyle w:val="Hipervnculo"/>
          </w:rPr>
          <w:t>CERD</w:t>
        </w:r>
        <w:proofErr w:type="spellEnd"/>
        <w:r w:rsidRPr="00E21671">
          <w:rPr>
            <w:rStyle w:val="Hipervnculo"/>
          </w:rPr>
          <w:t>/C/GEO/9-10</w:t>
        </w:r>
      </w:hyperlink>
      <w:r w:rsidRPr="0095091B">
        <w:t xml:space="preserve">, párr. 280. </w:t>
      </w:r>
    </w:p>
  </w:footnote>
  <w:footnote w:id="13">
    <w:p w14:paraId="52F276EA"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 7. </w:t>
      </w:r>
    </w:p>
  </w:footnote>
  <w:footnote w:id="14">
    <w:p w14:paraId="3AC8BFB5"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 282. </w:t>
      </w:r>
    </w:p>
  </w:footnote>
  <w:footnote w:id="15">
    <w:p w14:paraId="426F4E48"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párrs. 23 a 28. </w:t>
      </w:r>
    </w:p>
  </w:footnote>
  <w:footnote w:id="16">
    <w:p w14:paraId="431AFD98" w14:textId="630D69FB" w:rsidR="00E21671" w:rsidRPr="0095091B" w:rsidRDefault="00E21671" w:rsidP="00E21671">
      <w:pPr>
        <w:pStyle w:val="Textonotapie"/>
      </w:pPr>
      <w:r w:rsidRPr="0095091B">
        <w:tab/>
      </w:r>
      <w:r w:rsidRPr="0095091B">
        <w:rPr>
          <w:rStyle w:val="Refdenotaalpie"/>
        </w:rPr>
        <w:footnoteRef/>
      </w:r>
      <w:r w:rsidRPr="0095091B">
        <w:tab/>
      </w:r>
      <w:hyperlink r:id="rId9" w:history="1">
        <w:proofErr w:type="spellStart"/>
        <w:r w:rsidRPr="00E21671">
          <w:rPr>
            <w:rStyle w:val="Hipervnculo"/>
          </w:rPr>
          <w:t>CERD</w:t>
        </w:r>
        <w:proofErr w:type="spellEnd"/>
        <w:r w:rsidRPr="00E21671">
          <w:rPr>
            <w:rStyle w:val="Hipervnculo"/>
          </w:rPr>
          <w:t>/C/GEO/CO/6-8</w:t>
        </w:r>
      </w:hyperlink>
      <w:r w:rsidRPr="0095091B">
        <w:t xml:space="preserve">, párr. 9 a); y </w:t>
      </w:r>
      <w:hyperlink r:id="rId10" w:history="1">
        <w:proofErr w:type="spellStart"/>
        <w:r w:rsidRPr="00E21671">
          <w:rPr>
            <w:rStyle w:val="Hipervnculo"/>
          </w:rPr>
          <w:t>CERD</w:t>
        </w:r>
        <w:proofErr w:type="spellEnd"/>
        <w:r w:rsidRPr="00E21671">
          <w:rPr>
            <w:rStyle w:val="Hipervnculo"/>
          </w:rPr>
          <w:t>/C/GEO/9-10</w:t>
        </w:r>
      </w:hyperlink>
      <w:r w:rsidRPr="0095091B">
        <w:t xml:space="preserve">, </w:t>
      </w:r>
      <w:proofErr w:type="spellStart"/>
      <w:r w:rsidRPr="0095091B">
        <w:t>párrs</w:t>
      </w:r>
      <w:proofErr w:type="spellEnd"/>
      <w:r w:rsidRPr="0095091B">
        <w:t>. 13 a 22 y 296.</w:t>
      </w:r>
    </w:p>
  </w:footnote>
  <w:footnote w:id="17">
    <w:p w14:paraId="7D7F7719" w14:textId="6C43AE15" w:rsidR="00E21671" w:rsidRPr="0095091B" w:rsidRDefault="00E21671" w:rsidP="00E21671">
      <w:pPr>
        <w:pStyle w:val="Textonotapie"/>
      </w:pPr>
      <w:r w:rsidRPr="0095091B">
        <w:tab/>
      </w:r>
      <w:r w:rsidRPr="0095091B">
        <w:rPr>
          <w:rStyle w:val="Refdenotaalpie"/>
        </w:rPr>
        <w:footnoteRef/>
      </w:r>
      <w:r w:rsidRPr="0095091B">
        <w:tab/>
      </w:r>
      <w:hyperlink r:id="rId11" w:history="1">
        <w:proofErr w:type="spellStart"/>
        <w:r w:rsidRPr="00E21671">
          <w:rPr>
            <w:rStyle w:val="Hipervnculo"/>
          </w:rPr>
          <w:t>CERD</w:t>
        </w:r>
        <w:proofErr w:type="spellEnd"/>
        <w:r w:rsidRPr="00E21671">
          <w:rPr>
            <w:rStyle w:val="Hipervnculo"/>
          </w:rPr>
          <w:t>/C/GEO/9-10</w:t>
        </w:r>
      </w:hyperlink>
      <w:r w:rsidRPr="0095091B">
        <w:t xml:space="preserve">, párr. 78. </w:t>
      </w:r>
    </w:p>
  </w:footnote>
  <w:footnote w:id="18">
    <w:p w14:paraId="1E08F3D8"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 105. </w:t>
      </w:r>
    </w:p>
  </w:footnote>
  <w:footnote w:id="19">
    <w:p w14:paraId="587F5F63"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 85. </w:t>
      </w:r>
    </w:p>
  </w:footnote>
  <w:footnote w:id="20">
    <w:p w14:paraId="297B4277"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 112. </w:t>
      </w:r>
    </w:p>
  </w:footnote>
  <w:footnote w:id="21">
    <w:p w14:paraId="78B19F7A"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párrs. 115 y 124 a 127. </w:t>
      </w:r>
    </w:p>
  </w:footnote>
  <w:footnote w:id="22">
    <w:p w14:paraId="513FF9C4"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párrs. 116 a 123. </w:t>
      </w:r>
    </w:p>
  </w:footnote>
  <w:footnote w:id="23">
    <w:p w14:paraId="1E5DA427"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 300. </w:t>
      </w:r>
    </w:p>
  </w:footnote>
  <w:footnote w:id="24">
    <w:p w14:paraId="096F3EBE"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párrs. 89 a 99. </w:t>
      </w:r>
    </w:p>
  </w:footnote>
  <w:footnote w:id="25">
    <w:p w14:paraId="0BC6B8F2"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párrs. 156 a 172.</w:t>
      </w:r>
    </w:p>
  </w:footnote>
  <w:footnote w:id="26">
    <w:p w14:paraId="61B1DF0C"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párrs. 173 a 181. </w:t>
      </w:r>
    </w:p>
  </w:footnote>
  <w:footnote w:id="27">
    <w:p w14:paraId="7FC6C5F8"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xml:space="preserve">, párrs. 192 y 193. </w:t>
      </w:r>
    </w:p>
  </w:footnote>
  <w:footnote w:id="28">
    <w:p w14:paraId="07A5A98B" w14:textId="713AF788" w:rsidR="00E21671" w:rsidRPr="0095091B" w:rsidRDefault="00E21671" w:rsidP="00E21671">
      <w:pPr>
        <w:pStyle w:val="Textonotapie"/>
      </w:pPr>
      <w:r w:rsidRPr="0095091B">
        <w:tab/>
      </w:r>
      <w:r w:rsidRPr="0095091B">
        <w:rPr>
          <w:rStyle w:val="Refdenotaalpie"/>
        </w:rPr>
        <w:footnoteRef/>
      </w:r>
      <w:r w:rsidRPr="0095091B">
        <w:tab/>
      </w:r>
      <w:hyperlink r:id="rId12" w:history="1">
        <w:proofErr w:type="spellStart"/>
        <w:r w:rsidRPr="00E21671">
          <w:rPr>
            <w:rStyle w:val="Hipervnculo"/>
          </w:rPr>
          <w:t>CERD</w:t>
        </w:r>
        <w:proofErr w:type="spellEnd"/>
        <w:r w:rsidRPr="00E21671">
          <w:rPr>
            <w:rStyle w:val="Hipervnculo"/>
          </w:rPr>
          <w:t>/C/GEO/CO/6-8</w:t>
        </w:r>
      </w:hyperlink>
      <w:r w:rsidRPr="0095091B">
        <w:t xml:space="preserve">, párr. 21; y </w:t>
      </w:r>
      <w:hyperlink r:id="rId13" w:history="1">
        <w:proofErr w:type="spellStart"/>
        <w:r w:rsidRPr="00E21671">
          <w:rPr>
            <w:rStyle w:val="Hipervnculo"/>
          </w:rPr>
          <w:t>CERD</w:t>
        </w:r>
        <w:proofErr w:type="spellEnd"/>
        <w:r w:rsidRPr="00E21671">
          <w:rPr>
            <w:rStyle w:val="Hipervnculo"/>
          </w:rPr>
          <w:t>/C/GEO/9-10</w:t>
        </w:r>
      </w:hyperlink>
      <w:r w:rsidRPr="0095091B">
        <w:t xml:space="preserve">, párr. 230. </w:t>
      </w:r>
    </w:p>
  </w:footnote>
  <w:footnote w:id="29">
    <w:p w14:paraId="7965E314" w14:textId="228B5D45" w:rsidR="00E21671" w:rsidRPr="0095091B" w:rsidRDefault="00E21671" w:rsidP="00E21671">
      <w:pPr>
        <w:pStyle w:val="Textonotapie"/>
      </w:pPr>
      <w:r w:rsidRPr="0095091B">
        <w:tab/>
      </w:r>
      <w:r w:rsidRPr="0095091B">
        <w:rPr>
          <w:rStyle w:val="Refdenotaalpie"/>
        </w:rPr>
        <w:footnoteRef/>
      </w:r>
      <w:r w:rsidRPr="0095091B">
        <w:tab/>
      </w:r>
      <w:hyperlink r:id="rId14" w:history="1">
        <w:proofErr w:type="spellStart"/>
        <w:r w:rsidRPr="00E21671">
          <w:rPr>
            <w:rStyle w:val="Hipervnculo"/>
          </w:rPr>
          <w:t>CERD</w:t>
        </w:r>
        <w:proofErr w:type="spellEnd"/>
        <w:r w:rsidRPr="00E21671">
          <w:rPr>
            <w:rStyle w:val="Hipervnculo"/>
          </w:rPr>
          <w:t>/C/GEO/9-10</w:t>
        </w:r>
      </w:hyperlink>
      <w:r w:rsidRPr="0095091B">
        <w:t xml:space="preserve">, </w:t>
      </w:r>
      <w:proofErr w:type="spellStart"/>
      <w:r w:rsidRPr="0095091B">
        <w:t>párrs</w:t>
      </w:r>
      <w:proofErr w:type="spellEnd"/>
      <w:r w:rsidRPr="0095091B">
        <w:t xml:space="preserve">. 235 y 236. </w:t>
      </w:r>
    </w:p>
  </w:footnote>
  <w:footnote w:id="30">
    <w:p w14:paraId="54C56F33" w14:textId="77777777" w:rsidR="00E21671" w:rsidRPr="0095091B" w:rsidRDefault="00E21671" w:rsidP="00E21671">
      <w:pPr>
        <w:pStyle w:val="Textonotapie"/>
      </w:pPr>
      <w:r w:rsidRPr="0095091B">
        <w:tab/>
      </w:r>
      <w:r w:rsidRPr="0095091B">
        <w:rPr>
          <w:rStyle w:val="Refdenotaalpie"/>
        </w:rPr>
        <w:footnoteRef/>
      </w:r>
      <w:r w:rsidRPr="0095091B">
        <w:tab/>
      </w:r>
      <w:r w:rsidRPr="00E21671">
        <w:rPr>
          <w:i/>
        </w:rPr>
        <w:t>Ibid.</w:t>
      </w:r>
      <w:r w:rsidRPr="0095091B">
        <w:t>, párrs. 243 a 247.</w:t>
      </w:r>
    </w:p>
  </w:footnote>
  <w:footnote w:id="31">
    <w:p w14:paraId="3547D7F6" w14:textId="4644DA7E" w:rsidR="00E21671" w:rsidRPr="0095091B" w:rsidRDefault="00E21671" w:rsidP="00E21671">
      <w:pPr>
        <w:pStyle w:val="Textonotapie"/>
      </w:pPr>
      <w:r w:rsidRPr="0095091B">
        <w:tab/>
      </w:r>
      <w:r w:rsidRPr="0095091B">
        <w:rPr>
          <w:rStyle w:val="Refdenotaalpie"/>
        </w:rPr>
        <w:footnoteRef/>
      </w:r>
      <w:r w:rsidRPr="0095091B">
        <w:tab/>
      </w:r>
      <w:hyperlink r:id="rId15" w:history="1">
        <w:proofErr w:type="spellStart"/>
        <w:r w:rsidRPr="005E08D4">
          <w:rPr>
            <w:rStyle w:val="Hipervnculo"/>
          </w:rPr>
          <w:t>CERD</w:t>
        </w:r>
        <w:proofErr w:type="spellEnd"/>
        <w:r w:rsidRPr="005E08D4">
          <w:rPr>
            <w:rStyle w:val="Hipervnculo"/>
          </w:rPr>
          <w:t>/C/GEO/CO/6-8</w:t>
        </w:r>
      </w:hyperlink>
      <w:r w:rsidRPr="0095091B">
        <w:t xml:space="preserve">, párr. 17; y </w:t>
      </w:r>
      <w:hyperlink r:id="rId16" w:history="1">
        <w:proofErr w:type="spellStart"/>
        <w:r w:rsidRPr="005E08D4">
          <w:rPr>
            <w:rStyle w:val="Hipervnculo"/>
          </w:rPr>
          <w:t>CERD</w:t>
        </w:r>
        <w:proofErr w:type="spellEnd"/>
        <w:r w:rsidRPr="005E08D4">
          <w:rPr>
            <w:rStyle w:val="Hipervnculo"/>
          </w:rPr>
          <w:t>/C/GEO/9-10</w:t>
        </w:r>
      </w:hyperlink>
      <w:r w:rsidRPr="0095091B">
        <w:t xml:space="preserve">, párrs. 203 a 208.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4E133" w14:textId="6E94B512" w:rsidR="00E21671" w:rsidRPr="00E21671" w:rsidRDefault="00E21671">
    <w:pPr>
      <w:pStyle w:val="Encabezado"/>
    </w:pPr>
    <w:r>
      <w:fldChar w:fldCharType="begin"/>
    </w:r>
    <w:r>
      <w:instrText xml:space="preserve"> TITLE  \* MERGEFORMAT </w:instrText>
    </w:r>
    <w:r>
      <w:fldChar w:fldCharType="separate"/>
    </w:r>
    <w:proofErr w:type="spellStart"/>
    <w:r w:rsidR="00E8368F">
      <w:t>CERD</w:t>
    </w:r>
    <w:proofErr w:type="spellEnd"/>
    <w:r w:rsidR="00E8368F">
      <w:t>/C/GEO/Q/9-10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7D058" w14:textId="69D4A6FA" w:rsidR="00E21671" w:rsidRPr="00E21671" w:rsidRDefault="00E21671" w:rsidP="00E21671">
    <w:pPr>
      <w:pStyle w:val="Encabezado"/>
      <w:jc w:val="right"/>
    </w:pPr>
    <w:r>
      <w:fldChar w:fldCharType="begin"/>
    </w:r>
    <w:r>
      <w:instrText xml:space="preserve"> TITLE  \* MERGEFORMAT </w:instrText>
    </w:r>
    <w:r>
      <w:fldChar w:fldCharType="separate"/>
    </w:r>
    <w:proofErr w:type="spellStart"/>
    <w:r w:rsidR="00E8368F">
      <w:t>CERD</w:t>
    </w:r>
    <w:proofErr w:type="spellEnd"/>
    <w:r w:rsidR="00E8368F">
      <w:t>/C/GEO/Q/9-10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544605445">
    <w:abstractNumId w:val="14"/>
  </w:num>
  <w:num w:numId="2" w16cid:durableId="2099401888">
    <w:abstractNumId w:val="11"/>
  </w:num>
  <w:num w:numId="3" w16cid:durableId="353506145">
    <w:abstractNumId w:val="16"/>
  </w:num>
  <w:num w:numId="4" w16cid:durableId="224731409">
    <w:abstractNumId w:val="15"/>
  </w:num>
  <w:num w:numId="5" w16cid:durableId="912473521">
    <w:abstractNumId w:val="13"/>
  </w:num>
  <w:num w:numId="6" w16cid:durableId="1931038013">
    <w:abstractNumId w:val="8"/>
  </w:num>
  <w:num w:numId="7" w16cid:durableId="1000738237">
    <w:abstractNumId w:val="3"/>
  </w:num>
  <w:num w:numId="8" w16cid:durableId="2040737744">
    <w:abstractNumId w:val="2"/>
  </w:num>
  <w:num w:numId="9" w16cid:durableId="1207449351">
    <w:abstractNumId w:val="1"/>
  </w:num>
  <w:num w:numId="10" w16cid:durableId="554777901">
    <w:abstractNumId w:val="0"/>
  </w:num>
  <w:num w:numId="11" w16cid:durableId="1728413043">
    <w:abstractNumId w:val="9"/>
  </w:num>
  <w:num w:numId="12" w16cid:durableId="1599675438">
    <w:abstractNumId w:val="7"/>
  </w:num>
  <w:num w:numId="13" w16cid:durableId="1885631773">
    <w:abstractNumId w:val="6"/>
  </w:num>
  <w:num w:numId="14" w16cid:durableId="570702675">
    <w:abstractNumId w:val="5"/>
  </w:num>
  <w:num w:numId="15" w16cid:durableId="687751575">
    <w:abstractNumId w:val="4"/>
  </w:num>
  <w:num w:numId="16" w16cid:durableId="1934245888">
    <w:abstractNumId w:val="10"/>
  </w:num>
  <w:num w:numId="17" w16cid:durableId="603462626">
    <w:abstractNumId w:val="14"/>
  </w:num>
  <w:num w:numId="18" w16cid:durableId="1730761606">
    <w:abstractNumId w:val="11"/>
  </w:num>
  <w:num w:numId="19" w16cid:durableId="753085301">
    <w:abstractNumId w:val="10"/>
  </w:num>
  <w:num w:numId="20" w16cid:durableId="175121299">
    <w:abstractNumId w:val="16"/>
  </w:num>
  <w:num w:numId="21" w16cid:durableId="676156510">
    <w:abstractNumId w:val="15"/>
  </w:num>
  <w:num w:numId="22" w16cid:durableId="1427114479">
    <w:abstractNumId w:val="12"/>
  </w:num>
  <w:num w:numId="23" w16cid:durableId="88546740">
    <w:abstractNumId w:val="12"/>
  </w:num>
  <w:num w:numId="24" w16cid:durableId="134297060">
    <w:abstractNumId w:val="13"/>
  </w:num>
  <w:num w:numId="25" w16cid:durableId="1171262734">
    <w:abstractNumId w:val="9"/>
  </w:num>
  <w:num w:numId="26" w16cid:durableId="283076690">
    <w:abstractNumId w:val="7"/>
  </w:num>
  <w:num w:numId="27" w16cid:durableId="51538183">
    <w:abstractNumId w:val="6"/>
  </w:num>
  <w:num w:numId="28" w16cid:durableId="1973320752">
    <w:abstractNumId w:val="5"/>
  </w:num>
  <w:num w:numId="29" w16cid:durableId="1997294339">
    <w:abstractNumId w:val="4"/>
  </w:num>
  <w:num w:numId="30" w16cid:durableId="303199400">
    <w:abstractNumId w:val="8"/>
  </w:num>
  <w:num w:numId="31" w16cid:durableId="1300183799">
    <w:abstractNumId w:val="3"/>
  </w:num>
  <w:num w:numId="32" w16cid:durableId="994142259">
    <w:abstractNumId w:val="2"/>
  </w:num>
  <w:num w:numId="33" w16cid:durableId="982584419">
    <w:abstractNumId w:val="1"/>
  </w:num>
  <w:num w:numId="34" w16cid:durableId="28678782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AD"/>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13836"/>
    <w:rsid w:val="00322004"/>
    <w:rsid w:val="003402C2"/>
    <w:rsid w:val="00381C24"/>
    <w:rsid w:val="003958D0"/>
    <w:rsid w:val="004031F0"/>
    <w:rsid w:val="00454E07"/>
    <w:rsid w:val="00471CB3"/>
    <w:rsid w:val="004B5CEF"/>
    <w:rsid w:val="0050108D"/>
    <w:rsid w:val="0051740C"/>
    <w:rsid w:val="00572E19"/>
    <w:rsid w:val="005E08D4"/>
    <w:rsid w:val="005F0B42"/>
    <w:rsid w:val="00634841"/>
    <w:rsid w:val="00655A21"/>
    <w:rsid w:val="0067198A"/>
    <w:rsid w:val="006725B3"/>
    <w:rsid w:val="006808A9"/>
    <w:rsid w:val="006B12B8"/>
    <w:rsid w:val="006D631C"/>
    <w:rsid w:val="006F35EE"/>
    <w:rsid w:val="007021FF"/>
    <w:rsid w:val="007076CB"/>
    <w:rsid w:val="007967DF"/>
    <w:rsid w:val="007F6465"/>
    <w:rsid w:val="00834B71"/>
    <w:rsid w:val="0086445C"/>
    <w:rsid w:val="00865A80"/>
    <w:rsid w:val="00865FAC"/>
    <w:rsid w:val="008728CD"/>
    <w:rsid w:val="008A08D7"/>
    <w:rsid w:val="008A13F9"/>
    <w:rsid w:val="008C0F65"/>
    <w:rsid w:val="008C29C4"/>
    <w:rsid w:val="00906890"/>
    <w:rsid w:val="00951972"/>
    <w:rsid w:val="00954E65"/>
    <w:rsid w:val="00A17DFD"/>
    <w:rsid w:val="00A414EF"/>
    <w:rsid w:val="00A4674B"/>
    <w:rsid w:val="00A917B3"/>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C70AD"/>
    <w:rsid w:val="00DD4E25"/>
    <w:rsid w:val="00E05C6B"/>
    <w:rsid w:val="00E21671"/>
    <w:rsid w:val="00E2656E"/>
    <w:rsid w:val="00E73F76"/>
    <w:rsid w:val="00E8368F"/>
    <w:rsid w:val="00EA31D8"/>
    <w:rsid w:val="00EA5579"/>
    <w:rsid w:val="00ED1215"/>
    <w:rsid w:val="00EE7A2D"/>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2F501B"/>
  <w15:docId w15:val="{9079358E-14F4-4939-8680-EDBE71EF9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E216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s/CERD/C/GEO/9-10" TargetMode="External"/><Relationship Id="rId13" Type="http://schemas.openxmlformats.org/officeDocument/2006/relationships/hyperlink" Target="https://undocs.org/es/CERD/C/GEO/9-10" TargetMode="External"/><Relationship Id="rId3" Type="http://schemas.openxmlformats.org/officeDocument/2006/relationships/hyperlink" Target="https://undocs.org/es/CERD/C/GEO/CO/6-8" TargetMode="External"/><Relationship Id="rId7" Type="http://schemas.openxmlformats.org/officeDocument/2006/relationships/hyperlink" Target="https://undocs.org/es/CERD/C/GEO/9-10" TargetMode="External"/><Relationship Id="rId12" Type="http://schemas.openxmlformats.org/officeDocument/2006/relationships/hyperlink" Target="https://undocs.org/es/CERD/C/GEO/CO/6-8" TargetMode="External"/><Relationship Id="rId2" Type="http://schemas.openxmlformats.org/officeDocument/2006/relationships/hyperlink" Target="https://undocs.org/es/CERD/C/GEO/9-10" TargetMode="External"/><Relationship Id="rId16" Type="http://schemas.openxmlformats.org/officeDocument/2006/relationships/hyperlink" Target="https://undocs.org/es/CERD/C/GEO/9-10" TargetMode="External"/><Relationship Id="rId1" Type="http://schemas.openxmlformats.org/officeDocument/2006/relationships/hyperlink" Target="https://undocs.org/es/A/65/18" TargetMode="External"/><Relationship Id="rId6" Type="http://schemas.openxmlformats.org/officeDocument/2006/relationships/hyperlink" Target="https://undocs.org/es/CERD/C/GEO/CO/6-8" TargetMode="External"/><Relationship Id="rId11" Type="http://schemas.openxmlformats.org/officeDocument/2006/relationships/hyperlink" Target="https://undocs.org/es/CERD/C/GEO/9-10" TargetMode="External"/><Relationship Id="rId5" Type="http://schemas.openxmlformats.org/officeDocument/2006/relationships/hyperlink" Target="https://undocs.org/es/CERD/C/GEO/9-10" TargetMode="External"/><Relationship Id="rId15" Type="http://schemas.openxmlformats.org/officeDocument/2006/relationships/hyperlink" Target="https://undocs.org/es/CERD/C/GEO/CO/6-8" TargetMode="External"/><Relationship Id="rId10" Type="http://schemas.openxmlformats.org/officeDocument/2006/relationships/hyperlink" Target="https://undocs.org/es/CERD/C/GEO/9-10" TargetMode="External"/><Relationship Id="rId4" Type="http://schemas.openxmlformats.org/officeDocument/2006/relationships/hyperlink" Target="https://undocs.org/es/CERD/C/GEO/9-10" TargetMode="External"/><Relationship Id="rId9" Type="http://schemas.openxmlformats.org/officeDocument/2006/relationships/hyperlink" Target="https://undocs.org/es/CERD/C/GEO/CO/6-8" TargetMode="External"/><Relationship Id="rId14" Type="http://schemas.openxmlformats.org/officeDocument/2006/relationships/hyperlink" Target="https://undocs.org/es/CERD/C/GEO/9-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3</Pages>
  <Words>1215</Words>
  <Characters>6930</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CERD/C/GEO/Q/9-10</vt:lpstr>
    </vt:vector>
  </TitlesOfParts>
  <Company/>
  <LinksUpToDate>false</LinksUpToDate>
  <CharactersWithSpaces>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CERD/C/GEO/Q/9-10</dc:title>
  <dc:subject/>
  <dc:creator>Romina Valeria MERINO MAC-KAY</dc:creator>
  <cp:keywords/>
  <cp:lastModifiedBy>Romina Merino Mac-Kay</cp:lastModifiedBy>
  <cp:revision>3</cp:revision>
  <cp:lastPrinted>2023-03-07T16:36:00Z</cp:lastPrinted>
  <dcterms:created xsi:type="dcterms:W3CDTF">2023-03-07T16:35:00Z</dcterms:created>
  <dcterms:modified xsi:type="dcterms:W3CDTF">2023-03-07T16:37:00Z</dcterms:modified>
</cp:coreProperties>
</file>