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F3829" w:rsidRDefault="003F3829" w:rsidP="003F3829">
      <w:pPr>
        <w:spacing w:line="240" w:lineRule="auto"/>
        <w:jc w:val="left"/>
        <w:rPr>
          <w:rFonts w:hint="cs"/>
          <w:szCs w:val="6"/>
        </w:rPr>
        <w:sectPr w:rsidR="003F3829" w:rsidSect="003F3829">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3F3829" w:rsidRDefault="003F3829" w:rsidP="003F3829">
      <w:pPr>
        <w:pStyle w:val="H1"/>
        <w:rPr>
          <w:rtl/>
        </w:rPr>
      </w:pPr>
      <w:r>
        <w:rPr>
          <w:rFonts w:hint="eastAsia"/>
          <w:rtl/>
        </w:rPr>
        <w:t>اللجنة</w:t>
      </w:r>
      <w:r>
        <w:rPr>
          <w:rtl/>
        </w:rPr>
        <w:t xml:space="preserve"> المعنية بالقضاء على التمييز ضد المرأة</w:t>
      </w:r>
    </w:p>
    <w:p w:rsidR="003F3829" w:rsidRDefault="003F3829" w:rsidP="00064AB6">
      <w:pPr>
        <w:pStyle w:val="H23"/>
        <w:rPr>
          <w:rFonts w:hint="cs"/>
          <w:rtl/>
        </w:rPr>
      </w:pPr>
      <w:r>
        <w:rPr>
          <w:rFonts w:hint="eastAsia"/>
          <w:rtl/>
        </w:rPr>
        <w:t>الدورة</w:t>
      </w:r>
      <w:r>
        <w:rPr>
          <w:rtl/>
        </w:rPr>
        <w:t xml:space="preserve"> </w:t>
      </w:r>
      <w:r w:rsidR="00064AB6">
        <w:rPr>
          <w:rFonts w:hint="cs"/>
          <w:rtl/>
        </w:rPr>
        <w:t>السابعة والعشرون</w:t>
      </w:r>
    </w:p>
    <w:p w:rsidR="003F3829" w:rsidRPr="003F3829" w:rsidRDefault="003F3829" w:rsidP="003F3829">
      <w:pPr>
        <w:spacing w:line="120" w:lineRule="exact"/>
        <w:rPr>
          <w:rFonts w:hint="cs"/>
          <w:sz w:val="12"/>
          <w:rtl/>
        </w:rPr>
      </w:pPr>
    </w:p>
    <w:p w:rsidR="003F3829" w:rsidRDefault="003F3829" w:rsidP="003F3829">
      <w:pPr>
        <w:pStyle w:val="H23"/>
        <w:rPr>
          <w:rFonts w:hint="cs"/>
          <w:rtl/>
        </w:rPr>
      </w:pPr>
      <w:r>
        <w:rPr>
          <w:rFonts w:hint="eastAsia"/>
          <w:rtl/>
        </w:rPr>
        <w:t>محضر</w:t>
      </w:r>
      <w:r>
        <w:rPr>
          <w:rtl/>
        </w:rPr>
        <w:t xml:space="preserve"> موجز للجلسة </w:t>
      </w:r>
      <w:r w:rsidR="00064AB6">
        <w:rPr>
          <w:rFonts w:hint="cs"/>
          <w:rtl/>
        </w:rPr>
        <w:t>567</w:t>
      </w:r>
    </w:p>
    <w:p w:rsidR="003F3829" w:rsidRDefault="003F3829" w:rsidP="00064AB6">
      <w:pPr>
        <w:pStyle w:val="SingleTxt"/>
        <w:ind w:left="0" w:right="0"/>
        <w:rPr>
          <w:rFonts w:hint="cs"/>
          <w:rtl/>
        </w:rPr>
      </w:pPr>
      <w:r>
        <w:rPr>
          <w:rFonts w:hint="eastAsia"/>
          <w:rtl/>
        </w:rPr>
        <w:t>المعقودة</w:t>
      </w:r>
      <w:r>
        <w:rPr>
          <w:rtl/>
        </w:rPr>
        <w:t xml:space="preserve"> في المقر، نيويورك، يوم</w:t>
      </w:r>
      <w:r w:rsidR="00064AB6">
        <w:rPr>
          <w:rFonts w:hint="cs"/>
          <w:rtl/>
        </w:rPr>
        <w:t xml:space="preserve"> الجمعة</w:t>
      </w:r>
      <w:r>
        <w:rPr>
          <w:rtl/>
        </w:rPr>
        <w:t xml:space="preserve"> ،</w:t>
      </w:r>
      <w:r w:rsidR="00064AB6">
        <w:rPr>
          <w:rFonts w:hint="cs"/>
          <w:rtl/>
        </w:rPr>
        <w:t xml:space="preserve"> 21 حزيران/يونيه</w:t>
      </w:r>
      <w:r>
        <w:rPr>
          <w:rtl/>
        </w:rPr>
        <w:t xml:space="preserve"> 2002، الساعة </w:t>
      </w:r>
      <w:r w:rsidR="00064AB6">
        <w:rPr>
          <w:rFonts w:hint="cs"/>
          <w:rtl/>
        </w:rPr>
        <w:t>00/15</w:t>
      </w:r>
    </w:p>
    <w:p w:rsidR="003F3829" w:rsidRPr="003F3829" w:rsidRDefault="003F3829" w:rsidP="003F3829">
      <w:pPr>
        <w:pStyle w:val="SingleTxt"/>
        <w:spacing w:after="0" w:line="120" w:lineRule="exact"/>
        <w:ind w:left="0" w:right="0"/>
        <w:rPr>
          <w:sz w:val="12"/>
          <w:rtl/>
        </w:rPr>
      </w:pPr>
    </w:p>
    <w:p w:rsidR="003F3829" w:rsidRDefault="003F3829" w:rsidP="00064AB6">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rPr>
          <w:rFonts w:ascii="Traditional Arabic" w:hAnsi="Traditional Arabic"/>
          <w:spacing w:val="4"/>
          <w:rtl/>
        </w:rPr>
      </w:pPr>
      <w:r>
        <w:rPr>
          <w:rFonts w:ascii="Traditional Arabic" w:hAnsi="Traditional Arabic" w:hint="eastAsia"/>
          <w:iCs/>
          <w:rtl/>
        </w:rPr>
        <w:t>الرئيس</w:t>
      </w:r>
      <w:r w:rsidR="00064AB6">
        <w:rPr>
          <w:rFonts w:ascii="Traditional Arabic" w:hAnsi="Traditional Arabic" w:hint="cs"/>
          <w:iCs/>
          <w:rtl/>
        </w:rPr>
        <w:t>ة</w:t>
      </w:r>
      <w:r>
        <w:rPr>
          <w:rFonts w:ascii="Traditional Arabic" w:hAnsi="Traditional Arabic"/>
          <w:iCs/>
          <w:rtl/>
        </w:rPr>
        <w:t>:</w:t>
      </w:r>
      <w:r>
        <w:rPr>
          <w:rFonts w:ascii="Traditional Arabic" w:hAnsi="Traditional Arabic"/>
          <w:rtl/>
        </w:rPr>
        <w:tab/>
      </w:r>
      <w:r w:rsidR="00064AB6">
        <w:rPr>
          <w:rFonts w:ascii="Traditional Arabic" w:hAnsi="Traditional Arabic" w:hint="cs"/>
          <w:rtl/>
        </w:rPr>
        <w:t xml:space="preserve">السيدة </w:t>
      </w:r>
      <w:proofErr w:type="spellStart"/>
      <w:r w:rsidR="00064AB6" w:rsidRPr="00B87FB7">
        <w:rPr>
          <w:rFonts w:ascii="Traditional Arabic" w:hAnsi="Traditional Arabic" w:hint="cs"/>
          <w:b/>
          <w:bCs/>
          <w:rtl/>
        </w:rPr>
        <w:t>أباكا</w:t>
      </w:r>
      <w:proofErr w:type="spellEnd"/>
      <w:r>
        <w:rPr>
          <w:rFonts w:ascii="Traditional Arabic" w:hAnsi="Traditional Arabic"/>
          <w:rtl/>
        </w:rPr>
        <w:t xml:space="preserve"> </w:t>
      </w:r>
    </w:p>
    <w:p w:rsidR="003F3829" w:rsidRPr="003F3829" w:rsidRDefault="003F3829" w:rsidP="003F3829">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3F3829" w:rsidRPr="003F3829" w:rsidRDefault="003F3829" w:rsidP="003F3829">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3F3829" w:rsidRPr="003F3829" w:rsidRDefault="003F3829" w:rsidP="003F3829">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3F3829" w:rsidRDefault="003F3829" w:rsidP="003F3829">
      <w:pPr>
        <w:pStyle w:val="HCh"/>
        <w:rPr>
          <w:bCs w:val="0"/>
          <w:rtl/>
        </w:rPr>
      </w:pPr>
      <w:r>
        <w:rPr>
          <w:rFonts w:hint="eastAsia"/>
          <w:bCs w:val="0"/>
          <w:rtl/>
        </w:rPr>
        <w:t>المحتويات</w:t>
      </w:r>
    </w:p>
    <w:p w:rsidR="003F3829" w:rsidRDefault="003F3829" w:rsidP="003F3829">
      <w:pPr>
        <w:pStyle w:val="HCh"/>
        <w:spacing w:line="240" w:lineRule="auto"/>
        <w:rPr>
          <w:rFonts w:hint="cs"/>
          <w:bCs w:val="0"/>
          <w:szCs w:val="20"/>
          <w:rtl/>
        </w:rPr>
      </w:pPr>
    </w:p>
    <w:p w:rsidR="00CD3849" w:rsidRDefault="00064AB6" w:rsidP="003F3829">
      <w:pPr>
        <w:pStyle w:val="SingleTxt"/>
        <w:rPr>
          <w:rFonts w:hint="cs"/>
          <w:rtl/>
        </w:rPr>
      </w:pPr>
      <w:r>
        <w:rPr>
          <w:rFonts w:hint="cs"/>
          <w:rtl/>
        </w:rPr>
        <w:t>إقرار جدول الأعمال المؤقت للدورة غير العادية وللدورة الثامنة والعشرين</w:t>
      </w:r>
    </w:p>
    <w:p w:rsidR="00064AB6" w:rsidRDefault="00064AB6" w:rsidP="003F3829">
      <w:pPr>
        <w:pStyle w:val="SingleTxt"/>
        <w:rPr>
          <w:rFonts w:hint="cs"/>
          <w:rtl/>
        </w:rPr>
      </w:pPr>
      <w:r>
        <w:rPr>
          <w:rFonts w:hint="cs"/>
          <w:rtl/>
        </w:rPr>
        <w:t>اعتماد تقرير اللجنة عن دورتها السابعة والعشرين</w:t>
      </w:r>
    </w:p>
    <w:p w:rsidR="00064AB6" w:rsidRDefault="00064AB6" w:rsidP="003F3829">
      <w:pPr>
        <w:pStyle w:val="SingleTxt"/>
        <w:rPr>
          <w:rFonts w:hint="cs"/>
          <w:rtl/>
        </w:rPr>
      </w:pPr>
      <w:r>
        <w:rPr>
          <w:rFonts w:hint="cs"/>
          <w:rtl/>
        </w:rPr>
        <w:t>بيان المستشارة الخاصة للأمين العام للقضايا الجنسانية والنهوض بالمرأة</w:t>
      </w:r>
    </w:p>
    <w:p w:rsidR="00064AB6" w:rsidRDefault="00064AB6" w:rsidP="003F3829">
      <w:pPr>
        <w:pStyle w:val="SingleTxt"/>
        <w:rPr>
          <w:rFonts w:hint="cs"/>
          <w:rtl/>
        </w:rPr>
      </w:pPr>
      <w:r>
        <w:rPr>
          <w:rFonts w:hint="cs"/>
          <w:rtl/>
        </w:rPr>
        <w:t>اختتام الدورة</w:t>
      </w:r>
    </w:p>
    <w:p w:rsidR="00055580" w:rsidRPr="00C72F08" w:rsidRDefault="00064AB6" w:rsidP="00C72F08">
      <w:pPr>
        <w:pStyle w:val="SingleTxt"/>
        <w:spacing w:after="0" w:line="14" w:lineRule="exact"/>
        <w:rPr>
          <w:i/>
          <w:iCs/>
          <w:sz w:val="2"/>
          <w:rtl/>
        </w:rPr>
        <w:sectPr w:rsidR="00055580" w:rsidRPr="00C72F08" w:rsidSect="003F3829">
          <w:endnotePr>
            <w:numFmt w:val="decimal"/>
          </w:endnotePr>
          <w:type w:val="continuous"/>
          <w:pgSz w:w="12240" w:h="15840" w:code="1"/>
          <w:pgMar w:top="1742" w:right="1195" w:bottom="1898" w:left="1195" w:header="576" w:footer="1030" w:gutter="0"/>
          <w:cols w:space="720"/>
          <w:noEndnote/>
          <w:bidi/>
          <w:rtlGutter/>
          <w:docGrid w:linePitch="280"/>
        </w:sectPr>
      </w:pPr>
      <w:r>
        <w:rPr>
          <w:rtl/>
        </w:rPr>
        <w:br w:type="page"/>
      </w:r>
    </w:p>
    <w:p w:rsidR="00055580" w:rsidRDefault="00055580" w:rsidP="00055580">
      <w:pPr>
        <w:pStyle w:val="DualTxt"/>
        <w:rPr>
          <w:rFonts w:hint="cs"/>
          <w:rtl/>
        </w:rPr>
      </w:pPr>
      <w:r>
        <w:rPr>
          <w:rFonts w:hint="cs"/>
          <w:rtl/>
        </w:rPr>
        <w:tab/>
      </w:r>
      <w:r w:rsidRPr="00055580">
        <w:rPr>
          <w:rFonts w:hint="cs"/>
          <w:i/>
          <w:iCs/>
          <w:rtl/>
        </w:rPr>
        <w:t>افتتحت الجلسة في الساعة 25/17</w:t>
      </w:r>
      <w:r>
        <w:rPr>
          <w:rFonts w:hint="cs"/>
          <w:rtl/>
        </w:rPr>
        <w:t>.</w:t>
      </w:r>
    </w:p>
    <w:p w:rsidR="00055580" w:rsidRDefault="00055580" w:rsidP="00055580">
      <w:pPr>
        <w:pStyle w:val="DualTxt"/>
        <w:rPr>
          <w:rFonts w:hint="cs"/>
          <w:b/>
          <w:bCs/>
          <w:rtl/>
        </w:rPr>
      </w:pPr>
      <w:r>
        <w:rPr>
          <w:rFonts w:hint="cs"/>
          <w:b/>
          <w:bCs/>
          <w:rtl/>
        </w:rPr>
        <w:t>إقرار جدول الأعمال المؤقت للدورة غير ا</w:t>
      </w:r>
      <w:r w:rsidR="002E1983">
        <w:rPr>
          <w:rFonts w:hint="cs"/>
          <w:b/>
          <w:bCs/>
          <w:rtl/>
        </w:rPr>
        <w:t>لعادية وللدورة الثامنة والعشرين</w:t>
      </w:r>
    </w:p>
    <w:p w:rsidR="00055580" w:rsidRDefault="00055580" w:rsidP="00055580">
      <w:pPr>
        <w:pStyle w:val="DualTxt"/>
        <w:rPr>
          <w:rFonts w:hint="cs"/>
          <w:rtl/>
        </w:rPr>
      </w:pPr>
      <w:r w:rsidRPr="00C754EA">
        <w:rPr>
          <w:rFonts w:hint="cs"/>
          <w:rtl/>
        </w:rPr>
        <w:t>1 -</w:t>
      </w:r>
      <w:r w:rsidRPr="00C754EA">
        <w:rPr>
          <w:rFonts w:hint="cs"/>
          <w:rtl/>
        </w:rPr>
        <w:tab/>
      </w:r>
      <w:r>
        <w:rPr>
          <w:rFonts w:hint="cs"/>
          <w:b/>
          <w:bCs/>
          <w:rtl/>
        </w:rPr>
        <w:t xml:space="preserve">الرئيسة: </w:t>
      </w:r>
      <w:r>
        <w:rPr>
          <w:rFonts w:hint="cs"/>
          <w:rtl/>
        </w:rPr>
        <w:t>قالت إنها تعتبر أن اللجنة ترغب في إقرار جدول الأعمال المؤقت للدورة غير العادية.</w:t>
      </w:r>
    </w:p>
    <w:p w:rsidR="00055580" w:rsidRDefault="00055580" w:rsidP="00055580">
      <w:pPr>
        <w:pStyle w:val="DualTxt"/>
        <w:rPr>
          <w:rFonts w:hint="cs"/>
          <w:rtl/>
        </w:rPr>
      </w:pPr>
      <w:r>
        <w:rPr>
          <w:rFonts w:hint="cs"/>
          <w:rtl/>
        </w:rPr>
        <w:t>2 -</w:t>
      </w:r>
      <w:r>
        <w:rPr>
          <w:rFonts w:hint="cs"/>
          <w:rtl/>
        </w:rPr>
        <w:tab/>
        <w:t>أقر جدول الأعمال المؤقت للدورة غير العادية.</w:t>
      </w:r>
    </w:p>
    <w:p w:rsidR="00055580" w:rsidRDefault="00055580" w:rsidP="00055580">
      <w:pPr>
        <w:pStyle w:val="DualTxt"/>
        <w:rPr>
          <w:rFonts w:hint="cs"/>
          <w:rtl/>
        </w:rPr>
      </w:pPr>
      <w:r>
        <w:rPr>
          <w:rFonts w:hint="cs"/>
          <w:rtl/>
        </w:rPr>
        <w:t>3 -</w:t>
      </w:r>
      <w:r>
        <w:rPr>
          <w:rFonts w:hint="cs"/>
          <w:rtl/>
        </w:rPr>
        <w:tab/>
      </w:r>
      <w:r w:rsidRPr="00C754EA">
        <w:rPr>
          <w:rFonts w:hint="cs"/>
          <w:b/>
          <w:bCs/>
          <w:rtl/>
        </w:rPr>
        <w:t>الرئيسة</w:t>
      </w:r>
      <w:r>
        <w:rPr>
          <w:rFonts w:hint="cs"/>
          <w:rtl/>
        </w:rPr>
        <w:t>: قالت إنها تعتبر أن اللجنة ترغب في إقرار جدول الأعمال المؤقت للدورة الثامنة والعشرين.</w:t>
      </w:r>
    </w:p>
    <w:p w:rsidR="00055580" w:rsidRDefault="00055580" w:rsidP="00055580">
      <w:pPr>
        <w:pStyle w:val="DualTxt"/>
        <w:rPr>
          <w:rFonts w:hint="cs"/>
          <w:rtl/>
        </w:rPr>
      </w:pPr>
      <w:r>
        <w:rPr>
          <w:rFonts w:hint="cs"/>
          <w:rtl/>
        </w:rPr>
        <w:t>4 -</w:t>
      </w:r>
      <w:r>
        <w:rPr>
          <w:rFonts w:hint="cs"/>
          <w:rtl/>
        </w:rPr>
        <w:tab/>
        <w:t>أقر جدول الأعمال المؤقت للدورة الثامنة والعشرين.</w:t>
      </w:r>
    </w:p>
    <w:p w:rsidR="00055580" w:rsidRDefault="00055580" w:rsidP="00055580">
      <w:pPr>
        <w:pStyle w:val="DualTxt"/>
        <w:rPr>
          <w:rFonts w:hint="cs"/>
          <w:b/>
          <w:bCs/>
          <w:rtl/>
        </w:rPr>
      </w:pPr>
      <w:r>
        <w:rPr>
          <w:rFonts w:hint="cs"/>
          <w:b/>
          <w:bCs/>
          <w:rtl/>
        </w:rPr>
        <w:t>اعتماد تقرير اللجنة عن دورتها السابعة والعشرين</w:t>
      </w:r>
    </w:p>
    <w:p w:rsidR="00055580" w:rsidRPr="002E1983" w:rsidRDefault="00055580" w:rsidP="00055580">
      <w:pPr>
        <w:pStyle w:val="DualTxt"/>
        <w:rPr>
          <w:rFonts w:hint="cs"/>
          <w:w w:val="90"/>
          <w:rtl/>
        </w:rPr>
      </w:pPr>
      <w:r w:rsidRPr="002E1983">
        <w:rPr>
          <w:rFonts w:hint="cs"/>
          <w:w w:val="90"/>
          <w:rtl/>
        </w:rPr>
        <w:t>(</w:t>
      </w:r>
      <w:r w:rsidRPr="002E1983">
        <w:rPr>
          <w:w w:val="90"/>
        </w:rPr>
        <w:t>CEDAW/C/2002/II/L.1</w:t>
      </w:r>
      <w:r w:rsidRPr="002E1983">
        <w:rPr>
          <w:rFonts w:hint="cs"/>
          <w:w w:val="90"/>
          <w:rtl/>
        </w:rPr>
        <w:t xml:space="preserve">؛ و </w:t>
      </w:r>
      <w:r w:rsidRPr="002E1983">
        <w:rPr>
          <w:w w:val="90"/>
        </w:rPr>
        <w:t>CEDAW/C/2002/CRP.3</w:t>
      </w:r>
      <w:r w:rsidRPr="002E1983">
        <w:rPr>
          <w:rFonts w:hint="cs"/>
          <w:w w:val="90"/>
          <w:rtl/>
        </w:rPr>
        <w:t xml:space="preserve"> و</w:t>
      </w:r>
      <w:r w:rsidRPr="002E1983">
        <w:rPr>
          <w:rFonts w:hint="eastAsia"/>
          <w:w w:val="90"/>
          <w:rtl/>
        </w:rPr>
        <w:t> </w:t>
      </w:r>
      <w:r w:rsidRPr="002E1983">
        <w:rPr>
          <w:w w:val="90"/>
        </w:rPr>
        <w:t>Add.1</w:t>
      </w:r>
      <w:r w:rsidRPr="002E1983">
        <w:rPr>
          <w:rFonts w:hint="cs"/>
          <w:w w:val="90"/>
          <w:rtl/>
        </w:rPr>
        <w:t xml:space="preserve"> و </w:t>
      </w:r>
      <w:r w:rsidRPr="002E1983">
        <w:rPr>
          <w:w w:val="90"/>
        </w:rPr>
        <w:t>2</w:t>
      </w:r>
      <w:r w:rsidRPr="002E1983">
        <w:rPr>
          <w:rFonts w:hint="cs"/>
          <w:w w:val="90"/>
          <w:rtl/>
        </w:rPr>
        <w:t xml:space="preserve"> و </w:t>
      </w:r>
      <w:r w:rsidRPr="002E1983">
        <w:rPr>
          <w:w w:val="90"/>
        </w:rPr>
        <w:t>3</w:t>
      </w:r>
      <w:r w:rsidRPr="002E1983">
        <w:rPr>
          <w:rFonts w:hint="cs"/>
          <w:w w:val="90"/>
          <w:rtl/>
        </w:rPr>
        <w:t xml:space="preserve"> و </w:t>
      </w:r>
      <w:r w:rsidRPr="002E1983">
        <w:rPr>
          <w:w w:val="90"/>
        </w:rPr>
        <w:t>4</w:t>
      </w:r>
      <w:r w:rsidRPr="002E1983">
        <w:rPr>
          <w:rFonts w:hint="cs"/>
          <w:w w:val="90"/>
          <w:rtl/>
        </w:rPr>
        <w:t xml:space="preserve"> و </w:t>
      </w:r>
      <w:r w:rsidRPr="002E1983">
        <w:rPr>
          <w:w w:val="90"/>
        </w:rPr>
        <w:t>5</w:t>
      </w:r>
      <w:r w:rsidRPr="002E1983">
        <w:rPr>
          <w:rFonts w:hint="cs"/>
          <w:w w:val="90"/>
          <w:rtl/>
        </w:rPr>
        <w:t xml:space="preserve"> و </w:t>
      </w:r>
      <w:r w:rsidRPr="002E1983">
        <w:rPr>
          <w:w w:val="90"/>
        </w:rPr>
        <w:t>6</w:t>
      </w:r>
      <w:r w:rsidRPr="002E1983">
        <w:rPr>
          <w:rFonts w:hint="cs"/>
          <w:w w:val="90"/>
          <w:rtl/>
        </w:rPr>
        <w:t>).</w:t>
      </w:r>
    </w:p>
    <w:p w:rsidR="00055580" w:rsidRDefault="00055580" w:rsidP="00055580">
      <w:pPr>
        <w:pStyle w:val="DualTxt"/>
        <w:rPr>
          <w:rFonts w:hint="cs"/>
          <w:rtl/>
        </w:rPr>
      </w:pPr>
      <w:r>
        <w:rPr>
          <w:rFonts w:hint="cs"/>
          <w:rtl/>
        </w:rPr>
        <w:t>5 -</w:t>
      </w:r>
      <w:r>
        <w:rPr>
          <w:rFonts w:hint="cs"/>
          <w:rtl/>
        </w:rPr>
        <w:tab/>
      </w:r>
      <w:r>
        <w:rPr>
          <w:rFonts w:hint="cs"/>
          <w:b/>
          <w:bCs/>
          <w:rtl/>
        </w:rPr>
        <w:t xml:space="preserve">السيدة شين: </w:t>
      </w:r>
      <w:r>
        <w:rPr>
          <w:rFonts w:hint="cs"/>
          <w:rtl/>
        </w:rPr>
        <w:t>أشارت إلى أن أحد الأسماء قد حُذف من التقرير وينبغي إدراجه.</w:t>
      </w:r>
    </w:p>
    <w:p w:rsidR="00055580" w:rsidRDefault="00055580" w:rsidP="00055580">
      <w:pPr>
        <w:pStyle w:val="DualTxt"/>
        <w:rPr>
          <w:rFonts w:hint="cs"/>
          <w:rtl/>
        </w:rPr>
      </w:pPr>
      <w:r>
        <w:rPr>
          <w:rFonts w:hint="cs"/>
          <w:rtl/>
        </w:rPr>
        <w:t>6 -</w:t>
      </w:r>
      <w:r>
        <w:rPr>
          <w:rFonts w:hint="cs"/>
          <w:rtl/>
        </w:rPr>
        <w:tab/>
      </w:r>
      <w:r>
        <w:rPr>
          <w:rFonts w:hint="cs"/>
          <w:b/>
          <w:bCs/>
          <w:rtl/>
        </w:rPr>
        <w:t xml:space="preserve">السيدة </w:t>
      </w:r>
      <w:proofErr w:type="spellStart"/>
      <w:r>
        <w:rPr>
          <w:rFonts w:hint="cs"/>
          <w:b/>
          <w:bCs/>
          <w:rtl/>
        </w:rPr>
        <w:t>هازيل</w:t>
      </w:r>
      <w:proofErr w:type="spellEnd"/>
      <w:r>
        <w:rPr>
          <w:rFonts w:hint="cs"/>
          <w:b/>
          <w:bCs/>
          <w:rtl/>
        </w:rPr>
        <w:t xml:space="preserve"> </w:t>
      </w:r>
      <w:r>
        <w:rPr>
          <w:rFonts w:hint="cs"/>
          <w:rtl/>
        </w:rPr>
        <w:t xml:space="preserve">(المقررة): قالت إن اللجنة قد اعتمدت بالفعل، في الحلقة الدراسية غير الرسمية التي عقدتها في </w:t>
      </w:r>
      <w:proofErr w:type="spellStart"/>
      <w:r>
        <w:rPr>
          <w:rFonts w:hint="cs"/>
          <w:rtl/>
        </w:rPr>
        <w:t>لوند</w:t>
      </w:r>
      <w:proofErr w:type="spellEnd"/>
      <w:r>
        <w:rPr>
          <w:rFonts w:hint="cs"/>
          <w:rtl/>
        </w:rPr>
        <w:t xml:space="preserve"> العديد من المقررات التي ترد في التقرير، وكذلك مقررات بشأن تقرير الفريق العامل المعني بالبروتوكول الاختياري وتقارير المؤتمر العالمي لمكافحة العنصرية والتمييز العنصري وكره الأجانب وما يتصل بذلك من تعصب وبشأن الجمعية العالمية الثانية للشيخوخة. وتلك المقررات شملت أيضا مقررات بشأن المبادئ التوجيهية المنقحة التي وضعتها اللجنة بالنسبة لتقديم التقارير وتعديلات أُدخلت على صيغتها من أجل إبداء التعليقات الختامية.</w:t>
      </w:r>
    </w:p>
    <w:p w:rsidR="00055580" w:rsidRDefault="00055580" w:rsidP="00055580">
      <w:pPr>
        <w:pStyle w:val="DualTxt"/>
        <w:rPr>
          <w:rFonts w:hint="cs"/>
          <w:rtl/>
        </w:rPr>
      </w:pPr>
      <w:r>
        <w:rPr>
          <w:rFonts w:hint="cs"/>
          <w:rtl/>
        </w:rPr>
        <w:t>7 -</w:t>
      </w:r>
      <w:r>
        <w:rPr>
          <w:rFonts w:hint="cs"/>
          <w:rtl/>
        </w:rPr>
        <w:tab/>
      </w:r>
      <w:r>
        <w:rPr>
          <w:rFonts w:hint="cs"/>
          <w:b/>
          <w:bCs/>
          <w:rtl/>
        </w:rPr>
        <w:t xml:space="preserve">الرئيسة: </w:t>
      </w:r>
      <w:r>
        <w:rPr>
          <w:rFonts w:hint="cs"/>
          <w:rtl/>
        </w:rPr>
        <w:t>اقترحت أن تقر اللجنة المقررات المتعلقة بالبندين 5 و 6 من جدول الأعمال.</w:t>
      </w:r>
    </w:p>
    <w:p w:rsidR="00055580" w:rsidRDefault="00055580" w:rsidP="00055580">
      <w:pPr>
        <w:pStyle w:val="DualTxt"/>
        <w:rPr>
          <w:rFonts w:hint="cs"/>
          <w:rtl/>
        </w:rPr>
      </w:pPr>
      <w:r>
        <w:rPr>
          <w:rFonts w:hint="cs"/>
          <w:rtl/>
        </w:rPr>
        <w:t>8 -</w:t>
      </w:r>
      <w:r>
        <w:rPr>
          <w:rFonts w:hint="cs"/>
          <w:rtl/>
        </w:rPr>
        <w:tab/>
        <w:t>أقرت المقررات المتعلقة بالبندين 5 و 6 من جدول الأعمال.</w:t>
      </w:r>
    </w:p>
    <w:p w:rsidR="00055580" w:rsidRDefault="00055580" w:rsidP="00055580">
      <w:pPr>
        <w:pStyle w:val="DualTxt"/>
        <w:rPr>
          <w:rFonts w:hint="cs"/>
          <w:rtl/>
        </w:rPr>
      </w:pPr>
      <w:r>
        <w:rPr>
          <w:rFonts w:hint="cs"/>
          <w:rtl/>
        </w:rPr>
        <w:t>9 -</w:t>
      </w:r>
      <w:r>
        <w:rPr>
          <w:rFonts w:hint="cs"/>
          <w:rtl/>
        </w:rPr>
        <w:tab/>
        <w:t>اعتُمد التقرير المتعلق بالدورة السابعة والعشرين بكامله.</w:t>
      </w:r>
    </w:p>
    <w:p w:rsidR="00055580" w:rsidRDefault="00055580" w:rsidP="00055580">
      <w:pPr>
        <w:pStyle w:val="DualTxt"/>
        <w:rPr>
          <w:rFonts w:hint="cs"/>
          <w:b/>
          <w:bCs/>
          <w:rtl/>
        </w:rPr>
      </w:pPr>
      <w:r>
        <w:rPr>
          <w:rFonts w:hint="cs"/>
          <w:b/>
          <w:bCs/>
          <w:rtl/>
        </w:rPr>
        <w:t>بيان من المستشارة الخاصة للأمين العام للقضايا الجنسانية والنهوض بالمرأة</w:t>
      </w:r>
    </w:p>
    <w:p w:rsidR="00055580" w:rsidRDefault="00055580" w:rsidP="00055580">
      <w:pPr>
        <w:pStyle w:val="DualTxt"/>
        <w:rPr>
          <w:rFonts w:hint="cs"/>
          <w:rtl/>
        </w:rPr>
      </w:pPr>
      <w:r>
        <w:rPr>
          <w:rFonts w:hint="cs"/>
          <w:rtl/>
        </w:rPr>
        <w:t>10 -</w:t>
      </w:r>
      <w:r>
        <w:rPr>
          <w:rFonts w:hint="cs"/>
          <w:rtl/>
        </w:rPr>
        <w:tab/>
      </w:r>
      <w:r>
        <w:rPr>
          <w:rFonts w:hint="cs"/>
          <w:b/>
          <w:bCs/>
          <w:rtl/>
        </w:rPr>
        <w:t xml:space="preserve">السيدة </w:t>
      </w:r>
      <w:proofErr w:type="spellStart"/>
      <w:r>
        <w:rPr>
          <w:rFonts w:hint="cs"/>
          <w:b/>
          <w:bCs/>
          <w:rtl/>
        </w:rPr>
        <w:t>كينغ</w:t>
      </w:r>
      <w:proofErr w:type="spellEnd"/>
      <w:r>
        <w:rPr>
          <w:rFonts w:hint="cs"/>
          <w:b/>
          <w:bCs/>
          <w:rtl/>
        </w:rPr>
        <w:t xml:space="preserve"> </w:t>
      </w:r>
      <w:r>
        <w:rPr>
          <w:rFonts w:hint="cs"/>
          <w:rtl/>
        </w:rPr>
        <w:t>(المستشارة الخاصة للأمين العام للقضايا الجنسانية والنهوض بالمرأة):</w:t>
      </w:r>
      <w:r>
        <w:rPr>
          <w:rFonts w:hint="cs"/>
          <w:b/>
          <w:bCs/>
          <w:rtl/>
        </w:rPr>
        <w:t xml:space="preserve"> </w:t>
      </w:r>
      <w:r>
        <w:rPr>
          <w:rFonts w:hint="cs"/>
          <w:rtl/>
        </w:rPr>
        <w:t>قالت إن الحوار النشط والبناء بين الحكومات والأعضاء يساعد في تعزيز تنفيذ الاتفاقية على المستوى المحلي. وأضافت أن اللجنة قد أدخلت تحسينات هامة على طرائق عملها. وأعربت من هذه الناحية عن سرورها لأن المبادئ التوجيهية الجديدة المتعلقة بتقديم التقارير قد تضمنت الاقتراح الذي قدمته اللجنة الاستشارية للمسائل الإدارية (المسائل المالية ومسائل الميزانية) أنه ينبغي تشجيع الدول الأطراف على أن تقدم تقارير أكثر إيجازا. وفي الوقت نفسه فإن تعديل صيغة التعليقات الختامية سيجعلها أداة أكثر فعالية في السعي من أجل تحقيق التنفيذ المحلي الشامل.</w:t>
      </w:r>
    </w:p>
    <w:p w:rsidR="00055580" w:rsidRDefault="00055580" w:rsidP="00055580">
      <w:pPr>
        <w:pStyle w:val="DualTxt"/>
        <w:rPr>
          <w:rFonts w:hint="cs"/>
          <w:rtl/>
        </w:rPr>
      </w:pPr>
      <w:r>
        <w:rPr>
          <w:rFonts w:hint="cs"/>
          <w:rtl/>
        </w:rPr>
        <w:t>11 -</w:t>
      </w:r>
      <w:r>
        <w:rPr>
          <w:rFonts w:hint="cs"/>
          <w:rtl/>
        </w:rPr>
        <w:tab/>
        <w:t xml:space="preserve">وأضافت قائلة إن الاجتماع غير الرسمي الذي عقدته الدول الأطراف كان مَعلماً بارزاً في الدورة وإن الحوار الاستفزازي الذي جرى بين ممثلي الدول الأطراف وأعضاء اللجنة قد شهد على أهمية الاتفاقية وعلى أن اللجنة لها حضور كبير. وقد أبدى عدد من الدول التي ليست أطرافا اهتماما في الاجتماع غير الرسمي، ولذلك فإنها رحبت باعتزام اللجنة عقد اجتماع غير رسمي مماثل مع تلك الدول في </w:t>
      </w:r>
      <w:r>
        <w:rPr>
          <w:rFonts w:hint="eastAsia"/>
          <w:rtl/>
        </w:rPr>
        <w:t>كانون</w:t>
      </w:r>
      <w:r>
        <w:rPr>
          <w:rtl/>
        </w:rPr>
        <w:t xml:space="preserve"> الثاني/يناير </w:t>
      </w:r>
      <w:r>
        <w:rPr>
          <w:rFonts w:hint="cs"/>
          <w:rtl/>
        </w:rPr>
        <w:t xml:space="preserve">2003. وذكرت أن الحلقة الدراسية غير الرسمية التي عقدتها اللجنة في </w:t>
      </w:r>
      <w:proofErr w:type="spellStart"/>
      <w:r>
        <w:rPr>
          <w:rFonts w:hint="cs"/>
          <w:rtl/>
        </w:rPr>
        <w:t>لوند</w:t>
      </w:r>
      <w:proofErr w:type="spellEnd"/>
      <w:r>
        <w:rPr>
          <w:rFonts w:hint="cs"/>
          <w:rtl/>
        </w:rPr>
        <w:t xml:space="preserve"> كانت بمثابة إعداد مفيد لأعضاء اللجنة الذين سيحضرون الاجتماع المشترك الأول الذي سيُعقد بشأن طرائق العمل، وإلى أنها تتطلع إلى تلقي آراء من اللجنة بشأن ذلك الاجتماع.</w:t>
      </w:r>
    </w:p>
    <w:p w:rsidR="00055580" w:rsidRDefault="00055580" w:rsidP="00055580">
      <w:pPr>
        <w:pStyle w:val="DualTxt"/>
        <w:rPr>
          <w:rFonts w:hint="cs"/>
          <w:rtl/>
        </w:rPr>
      </w:pPr>
      <w:r>
        <w:rPr>
          <w:rFonts w:hint="cs"/>
          <w:rtl/>
        </w:rPr>
        <w:t>12 -</w:t>
      </w:r>
      <w:r>
        <w:rPr>
          <w:rFonts w:hint="cs"/>
          <w:rtl/>
        </w:rPr>
        <w:tab/>
        <w:t>وانتقلت إلى مسألة التعاون بين شعبة النهوض بالمرأة والمفوضية السامية لحقوق الإنسان بالنسبة للاتصالات، وقالت إنها على ثقة من أنه بمجرد انقضاء الوقت اللازم لاستنفاذ العلاجات المحلية ستتلقى اللجنة العديد من الاتصالات. وقالت إنه لذلك من المهم للغاية أن يُرسي الفريق العامل المعني بالبروتوكول الاختياري أسساً صلبة لعملية البحث التي سيقوم بها. وذكرت أن مكتبها سوف يقدم الدعم من خلال تحسين قاعدة البيانات الخاصة بالاتصالات والقيام بأنشطة للتوعية تتعلق بالاتفاقية.</w:t>
      </w:r>
    </w:p>
    <w:p w:rsidR="00055580" w:rsidRDefault="00055580" w:rsidP="00055580">
      <w:pPr>
        <w:pStyle w:val="DualTxt"/>
        <w:rPr>
          <w:rFonts w:hint="cs"/>
          <w:rtl/>
        </w:rPr>
      </w:pPr>
      <w:r>
        <w:rPr>
          <w:rFonts w:hint="cs"/>
          <w:rtl/>
        </w:rPr>
        <w:t>13 -</w:t>
      </w:r>
      <w:r>
        <w:rPr>
          <w:rFonts w:hint="cs"/>
          <w:rtl/>
        </w:rPr>
        <w:tab/>
        <w:t>وأعربت عن ترحيبها بالقرار الذي اتخذ بعقد دورة غير عادية، وهو ما سيؤدي إلى إنهاء التقارير المتراكمة ويتيح للجنة معالجة التحديات التي تواجه الدول الأطراف بالنسبة لتقديم التقارير. وذكرت أن مكتبها يتطلع دائما إلى اتباع طرائق جديدة لمساعدة اللجنة وسيكون ممتنا إذا قدم الأعضاء أية أفكار تكون لديهم بشأن ذلك الموضوع.</w:t>
      </w:r>
    </w:p>
    <w:p w:rsidR="00055580" w:rsidRDefault="00055580" w:rsidP="00055580">
      <w:pPr>
        <w:pStyle w:val="DualTxt"/>
        <w:rPr>
          <w:rFonts w:hint="cs"/>
          <w:b/>
          <w:bCs/>
          <w:rtl/>
        </w:rPr>
      </w:pPr>
      <w:r>
        <w:rPr>
          <w:rFonts w:hint="cs"/>
          <w:b/>
          <w:bCs/>
          <w:rtl/>
        </w:rPr>
        <w:t>اختتام الدورة</w:t>
      </w:r>
    </w:p>
    <w:p w:rsidR="00055580" w:rsidRDefault="00055580" w:rsidP="00055580">
      <w:pPr>
        <w:pStyle w:val="DualTxt"/>
        <w:rPr>
          <w:rFonts w:hint="cs"/>
          <w:rtl/>
        </w:rPr>
      </w:pPr>
      <w:r>
        <w:rPr>
          <w:rFonts w:hint="cs"/>
          <w:rtl/>
        </w:rPr>
        <w:t>14 -</w:t>
      </w:r>
      <w:r>
        <w:rPr>
          <w:rFonts w:hint="cs"/>
          <w:rtl/>
        </w:rPr>
        <w:tab/>
      </w:r>
      <w:r>
        <w:rPr>
          <w:rFonts w:hint="cs"/>
          <w:b/>
          <w:bCs/>
          <w:rtl/>
        </w:rPr>
        <w:t xml:space="preserve">الرئيسة: </w:t>
      </w:r>
      <w:r>
        <w:rPr>
          <w:rFonts w:hint="cs"/>
          <w:rtl/>
        </w:rPr>
        <w:t>قالت إن الدورة كانت ناجحة بدرجة كبيرة، وخاصة الاجتماع مع الدول الأطراف الذي ساعد في نقل الرسالة التي مفادها أن تقديم تقرير إلى اللجنة يختلف عن المثول أمام محكمة . وأعلنت اختتام الدورة السابعة والعشرين للجنة.</w:t>
      </w:r>
    </w:p>
    <w:p w:rsidR="00055580" w:rsidRPr="00C748BC" w:rsidRDefault="00055580" w:rsidP="00055580">
      <w:pPr>
        <w:pStyle w:val="DualTxt"/>
        <w:rPr>
          <w:rFonts w:hint="cs"/>
          <w:i/>
          <w:iCs/>
          <w:rtl/>
        </w:rPr>
      </w:pPr>
      <w:r>
        <w:rPr>
          <w:rFonts w:hint="cs"/>
          <w:rtl/>
        </w:rPr>
        <w:tab/>
      </w:r>
      <w:r w:rsidRPr="00C748BC">
        <w:rPr>
          <w:rFonts w:hint="cs"/>
          <w:i/>
          <w:iCs/>
          <w:rtl/>
        </w:rPr>
        <w:t>رفعت الجلسة في الساعة 45/17.</w:t>
      </w:r>
    </w:p>
    <w:p w:rsidR="00055580" w:rsidRPr="00C748BC" w:rsidRDefault="00C748BC" w:rsidP="00C748BC">
      <w:pPr>
        <w:pStyle w:val="DualTxt"/>
        <w:spacing w:after="0" w:line="240" w:lineRule="auto"/>
        <w:rPr>
          <w:rFonts w:hint="cs"/>
          <w:rtl/>
        </w:rPr>
      </w:pPr>
      <w:bookmarkStart w:id="1" w:name="TmpSave"/>
      <w:bookmarkEnd w:id="1"/>
      <w:r>
        <w:rPr>
          <w:rFonts w:hint="cs"/>
          <w:noProof/>
          <w:w w:val="100"/>
          <w:rtl/>
        </w:rPr>
        <w:pict>
          <v:line id="_x0000_s1027" style="position:absolute;left:0;text-align:left;z-index:1" from="84.2pt,24pt" to="156.2pt,24pt" strokeweight=".25pt">
            <w10:wrap anchorx="page"/>
          </v:line>
        </w:pict>
      </w:r>
    </w:p>
    <w:p w:rsidR="00064AB6" w:rsidRPr="003F3829" w:rsidRDefault="00064AB6" w:rsidP="00055580">
      <w:pPr>
        <w:pStyle w:val="DualTxt"/>
        <w:rPr>
          <w:rFonts w:hint="cs"/>
          <w:rtl/>
        </w:rPr>
      </w:pPr>
    </w:p>
    <w:sectPr w:rsidR="00064AB6" w:rsidRPr="003F3829" w:rsidSect="00055580">
      <w:endnotePr>
        <w:numFmt w:val="decimal"/>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5-11-29T16:02:00Z" w:initials="Start">
    <w:p w:rsidR="00C748BC" w:rsidRDefault="00C748BC">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NO&gt;&gt;N0243621A&lt;&lt;ODS JOB NO&gt;&gt;</w:t>
      </w:r>
    </w:p>
    <w:p w:rsidR="00C748BC" w:rsidRDefault="00C748BC">
      <w:pPr>
        <w:pStyle w:val="CommentText"/>
      </w:pPr>
      <w:r>
        <w:t>&lt;&lt;ODS DOC SYMBOL1&gt;&gt;CEDAW/C/SR.567&lt;&lt;ODS DOC SYMBOL1&gt;&gt;</w:t>
      </w:r>
    </w:p>
    <w:p w:rsidR="00C748BC" w:rsidRDefault="00C748BC">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748BC" w:rsidRDefault="00C748BC" w:rsidP="003F3829">
      <w:pPr>
        <w:pStyle w:val="Header"/>
      </w:pPr>
      <w:r>
        <w:separator/>
      </w:r>
    </w:p>
  </w:endnote>
  <w:endnote w:type="continuationSeparator" w:id="0">
    <w:p w:rsidR="00C748BC" w:rsidRDefault="00C748BC" w:rsidP="003F3829">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C748BC">
      <w:tblPrEx>
        <w:tblCellMar>
          <w:top w:w="0" w:type="dxa"/>
          <w:bottom w:w="0" w:type="dxa"/>
        </w:tblCellMar>
      </w:tblPrEx>
      <w:tc>
        <w:tcPr>
          <w:tcW w:w="5033" w:type="dxa"/>
          <w:shd w:val="clear" w:color="auto" w:fill="auto"/>
        </w:tcPr>
        <w:p w:rsidR="00C748BC" w:rsidRPr="003F3829" w:rsidRDefault="00C748BC" w:rsidP="003F3829">
          <w:pPr>
            <w:pStyle w:val="Footer"/>
            <w:jc w:val="right"/>
            <w:rPr>
              <w:w w:val="103"/>
            </w:rPr>
          </w:pPr>
          <w:r>
            <w:rPr>
              <w:w w:val="103"/>
            </w:rPr>
            <w:fldChar w:fldCharType="begin"/>
          </w:r>
          <w:r>
            <w:rPr>
              <w:w w:val="103"/>
            </w:rPr>
            <w:instrText xml:space="preserve"> PAGE  \* MERGEFORMAT </w:instrText>
          </w:r>
          <w:r>
            <w:rPr>
              <w:w w:val="103"/>
            </w:rPr>
            <w:fldChar w:fldCharType="separate"/>
          </w:r>
          <w:r w:rsidR="00EE5B13">
            <w:rPr>
              <w:w w:val="103"/>
            </w:rPr>
            <w:t>2</w:t>
          </w:r>
          <w:r>
            <w:rPr>
              <w:w w:val="103"/>
            </w:rPr>
            <w:fldChar w:fldCharType="end"/>
          </w:r>
        </w:p>
      </w:tc>
      <w:tc>
        <w:tcPr>
          <w:tcW w:w="5033" w:type="dxa"/>
          <w:shd w:val="clear" w:color="auto" w:fill="auto"/>
        </w:tcPr>
        <w:p w:rsidR="00C748BC" w:rsidRPr="003F3829" w:rsidRDefault="00C748BC" w:rsidP="003F3829">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02-43621</w:t>
          </w:r>
          <w:r>
            <w:rPr>
              <w:b w:val="0"/>
              <w:w w:val="103"/>
            </w:rPr>
            <w:fldChar w:fldCharType="end"/>
          </w:r>
        </w:p>
      </w:tc>
    </w:tr>
  </w:tbl>
  <w:p w:rsidR="00C748BC" w:rsidRPr="003F3829" w:rsidRDefault="00C748BC" w:rsidP="003F382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C748BC">
      <w:tblPrEx>
        <w:tblCellMar>
          <w:top w:w="0" w:type="dxa"/>
          <w:bottom w:w="0" w:type="dxa"/>
        </w:tblCellMar>
      </w:tblPrEx>
      <w:tc>
        <w:tcPr>
          <w:tcW w:w="5033" w:type="dxa"/>
          <w:shd w:val="clear" w:color="auto" w:fill="auto"/>
        </w:tcPr>
        <w:p w:rsidR="00C748BC" w:rsidRPr="003F3829" w:rsidRDefault="00C748BC" w:rsidP="003F3829">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02-43621</w:t>
          </w:r>
          <w:r>
            <w:rPr>
              <w:b w:val="0"/>
              <w:w w:val="103"/>
            </w:rPr>
            <w:fldChar w:fldCharType="end"/>
          </w:r>
        </w:p>
      </w:tc>
      <w:tc>
        <w:tcPr>
          <w:tcW w:w="5033" w:type="dxa"/>
          <w:shd w:val="clear" w:color="auto" w:fill="auto"/>
        </w:tcPr>
        <w:p w:rsidR="00C748BC" w:rsidRPr="003F3829" w:rsidRDefault="00C748BC" w:rsidP="003F3829">
          <w:pPr>
            <w:pStyle w:val="Footer"/>
            <w:rPr>
              <w:w w:val="103"/>
            </w:rPr>
          </w:pPr>
          <w:r>
            <w:rPr>
              <w:w w:val="103"/>
            </w:rPr>
            <w:fldChar w:fldCharType="begin"/>
          </w:r>
          <w:r>
            <w:rPr>
              <w:w w:val="103"/>
            </w:rPr>
            <w:instrText xml:space="preserve"> PAGE  \* MERGEFORMAT </w:instrText>
          </w:r>
          <w:r>
            <w:rPr>
              <w:w w:val="103"/>
            </w:rPr>
            <w:fldChar w:fldCharType="separate"/>
          </w:r>
          <w:r w:rsidR="00EE5B13">
            <w:rPr>
              <w:w w:val="103"/>
            </w:rPr>
            <w:t>3</w:t>
          </w:r>
          <w:r>
            <w:rPr>
              <w:w w:val="103"/>
            </w:rPr>
            <w:fldChar w:fldCharType="end"/>
          </w:r>
        </w:p>
      </w:tc>
    </w:tr>
  </w:tbl>
  <w:p w:rsidR="00C748BC" w:rsidRPr="003F3829" w:rsidRDefault="00C748BC" w:rsidP="003F382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48BC" w:rsidRDefault="00C748BC" w:rsidP="003F3829">
    <w:pPr>
      <w:pStyle w:val="Footer"/>
      <w:pBdr>
        <w:top w:val="single" w:sz="2" w:space="1" w:color="auto"/>
      </w:pBdr>
      <w:rPr>
        <w:sz w:val="2"/>
      </w:rPr>
    </w:pPr>
  </w:p>
  <w:p w:rsidR="00C748BC" w:rsidRPr="002860B8" w:rsidRDefault="00C748BC" w:rsidP="003F3829">
    <w:pPr>
      <w:pStyle w:val="FootnoteText"/>
      <w:spacing w:after="120"/>
      <w:ind w:left="1267" w:right="1267" w:firstLine="0"/>
      <w:rPr>
        <w:w w:val="103"/>
        <w:rtl/>
      </w:rPr>
    </w:pPr>
    <w:r w:rsidRPr="002860B8">
      <w:rPr>
        <w:w w:val="103"/>
        <w:rtl/>
      </w:rPr>
      <w:t>هذا المحضر قابل للتصويب.</w:t>
    </w:r>
  </w:p>
  <w:p w:rsidR="00C748BC" w:rsidRPr="002860B8" w:rsidRDefault="00C748BC" w:rsidP="003F3829">
    <w:pPr>
      <w:pStyle w:val="FootnoteText"/>
      <w:spacing w:after="120"/>
      <w:ind w:left="1267" w:right="1267" w:firstLine="0"/>
      <w:rPr>
        <w:w w:val="103"/>
        <w:rtl/>
      </w:rPr>
    </w:pPr>
    <w:r w:rsidRPr="002860B8">
      <w:rPr>
        <w:w w:val="103"/>
        <w:rtl/>
      </w:rPr>
      <w:t xml:space="preserve">وينبغي تقديم التصويبات بإحدى لغات العمل. كما ينبغي تبيانها في مذكرة وإدخالها على نسخة من المحضر. كذلك ينبغي إرسالها </w:t>
    </w:r>
    <w:r w:rsidRPr="002860B8">
      <w:rPr>
        <w:b/>
        <w:bCs/>
        <w:w w:val="103"/>
        <w:rtl/>
      </w:rPr>
      <w:t>في غضون أسبوع واحد من تاريخ هذه الوثيقة إلى</w:t>
    </w:r>
    <w:r>
      <w:rPr>
        <w:rFonts w:hint="cs"/>
        <w:b/>
        <w:bCs/>
        <w:w w:val="103"/>
        <w:rtl/>
      </w:rPr>
      <w:t>:</w:t>
    </w:r>
    <w:r w:rsidRPr="002860B8">
      <w:rPr>
        <w:w w:val="103"/>
      </w:rPr>
      <w:t>Chief, Official Records Editing Section, room DC2-750, 2 United Nations Plaza</w:t>
    </w:r>
    <w:r w:rsidRPr="002860B8">
      <w:rPr>
        <w:w w:val="103"/>
        <w:rtl/>
      </w:rPr>
      <w:t>.</w:t>
    </w:r>
  </w:p>
  <w:p w:rsidR="00C748BC" w:rsidRDefault="00C748BC" w:rsidP="003F3829">
    <w:pPr>
      <w:pStyle w:val="FootnoteText"/>
      <w:spacing w:after="120"/>
      <w:ind w:left="1267" w:right="1267" w:firstLine="0"/>
      <w:rPr>
        <w:w w:val="103"/>
      </w:rPr>
    </w:pPr>
    <w:r w:rsidRPr="002860B8">
      <w:rPr>
        <w:w w:val="103"/>
        <w:rtl/>
      </w:rPr>
      <w:t>وستصدر أية تصويبات لمحاضر جلسات هذه الدورة في وثيقة تصويب واحدة، عقب نهاية الدورة بفترة وجيزة.</w:t>
    </w:r>
  </w:p>
  <w:p w:rsidR="00C748BC" w:rsidRDefault="00C748BC" w:rsidP="003F3829">
    <w:pPr>
      <w:pStyle w:val="FootnoteText"/>
      <w:bidi w:val="0"/>
      <w:spacing w:line="120" w:lineRule="exact"/>
      <w:ind w:left="1267" w:right="1267" w:firstLine="0"/>
      <w:rPr>
        <w:sz w:val="12"/>
      </w:rPr>
    </w:pPr>
  </w:p>
  <w:p w:rsidR="00C748BC" w:rsidRDefault="00C748BC" w:rsidP="003F3829">
    <w:pPr>
      <w:pStyle w:val="Footer"/>
      <w:jc w:val="right"/>
      <w:rPr>
        <w:rFonts w:cs="Times New Roman"/>
        <w:b w:val="0"/>
        <w:w w:val="103"/>
        <w:sz w:val="20"/>
      </w:rPr>
    </w:pP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02-43621 (A)</w:t>
    </w:r>
    <w:r>
      <w:rPr>
        <w:rFonts w:cs="Times New Roman"/>
        <w:b w:val="0"/>
        <w:w w:val="103"/>
        <w:sz w:val="20"/>
      </w:rPr>
      <w:fldChar w:fldCharType="end"/>
    </w:r>
  </w:p>
  <w:p w:rsidR="00C748BC" w:rsidRPr="003F3829" w:rsidRDefault="00C748BC" w:rsidP="003F3829">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*0243621*</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748BC" w:rsidRDefault="00C748BC" w:rsidP="003F3829">
      <w:pPr>
        <w:pStyle w:val="Header"/>
      </w:pPr>
      <w:r>
        <w:separator/>
      </w:r>
    </w:p>
  </w:footnote>
  <w:footnote w:type="continuationSeparator" w:id="0">
    <w:p w:rsidR="00C748BC" w:rsidRDefault="00C748BC" w:rsidP="003F3829">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7"/>
      <w:gridCol w:w="4943"/>
    </w:tblGrid>
    <w:tr w:rsidR="00C748BC">
      <w:tblPrEx>
        <w:tblCellMar>
          <w:top w:w="0" w:type="dxa"/>
          <w:bottom w:w="0" w:type="dxa"/>
        </w:tblCellMar>
      </w:tblPrEx>
      <w:trPr>
        <w:trHeight w:hRule="exact" w:val="864"/>
        <w:jc w:val="center"/>
      </w:trPr>
      <w:tc>
        <w:tcPr>
          <w:tcW w:w="5033" w:type="dxa"/>
          <w:shd w:val="clear" w:color="auto" w:fill="auto"/>
          <w:vAlign w:val="bottom"/>
        </w:tcPr>
        <w:p w:rsidR="00C748BC" w:rsidRDefault="00C748BC" w:rsidP="003F3829">
          <w:pPr>
            <w:pStyle w:val="Header"/>
            <w:bidi/>
            <w:jc w:val="right"/>
          </w:pPr>
        </w:p>
      </w:tc>
      <w:tc>
        <w:tcPr>
          <w:tcW w:w="5033" w:type="dxa"/>
          <w:shd w:val="clear" w:color="auto" w:fill="auto"/>
          <w:vAlign w:val="bottom"/>
        </w:tcPr>
        <w:p w:rsidR="00C748BC" w:rsidRPr="003F3829" w:rsidRDefault="00C748BC" w:rsidP="003F3829">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CEDAW/C/SR.567</w:t>
          </w:r>
          <w:r>
            <w:rPr>
              <w:w w:val="103"/>
            </w:rPr>
            <w:fldChar w:fldCharType="end"/>
          </w:r>
        </w:p>
      </w:tc>
    </w:tr>
  </w:tbl>
  <w:p w:rsidR="00C748BC" w:rsidRPr="003F3829" w:rsidRDefault="00C748BC" w:rsidP="003F382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3"/>
      <w:gridCol w:w="4907"/>
    </w:tblGrid>
    <w:tr w:rsidR="00C748BC">
      <w:tblPrEx>
        <w:tblCellMar>
          <w:top w:w="0" w:type="dxa"/>
          <w:bottom w:w="0" w:type="dxa"/>
        </w:tblCellMar>
      </w:tblPrEx>
      <w:trPr>
        <w:trHeight w:hRule="exact" w:val="864"/>
        <w:jc w:val="center"/>
      </w:trPr>
      <w:tc>
        <w:tcPr>
          <w:tcW w:w="5033" w:type="dxa"/>
          <w:shd w:val="clear" w:color="auto" w:fill="auto"/>
          <w:vAlign w:val="bottom"/>
        </w:tcPr>
        <w:p w:rsidR="00C748BC" w:rsidRPr="003F3829" w:rsidRDefault="00C748BC" w:rsidP="003F3829">
          <w:pPr>
            <w:pStyle w:val="Header"/>
            <w:bidi/>
            <w:spacing w:after="80"/>
            <w:jc w:val="right"/>
            <w:rPr>
              <w:w w:val="103"/>
            </w:rPr>
          </w:pPr>
          <w:r>
            <w:rPr>
              <w:w w:val="103"/>
              <w:rtl/>
            </w:rPr>
            <w:fldChar w:fldCharType="begin"/>
          </w:r>
          <w:r>
            <w:rPr>
              <w:w w:val="103"/>
              <w:rtl/>
            </w:rPr>
            <w:instrText xml:space="preserve"> </w:instrText>
          </w:r>
          <w:r>
            <w:rPr>
              <w:w w:val="103"/>
            </w:rPr>
            <w:instrText>DOCVARIABLE "sss1" \* MERGEFORMAT</w:instrText>
          </w:r>
          <w:r>
            <w:rPr>
              <w:w w:val="103"/>
              <w:rtl/>
            </w:rPr>
            <w:instrText xml:space="preserve"> </w:instrText>
          </w:r>
          <w:r>
            <w:rPr>
              <w:w w:val="103"/>
              <w:rtl/>
            </w:rPr>
            <w:fldChar w:fldCharType="separate"/>
          </w:r>
          <w:r>
            <w:rPr>
              <w:w w:val="103"/>
            </w:rPr>
            <w:t>CEDAW/C/SR.567</w:t>
          </w:r>
          <w:r>
            <w:rPr>
              <w:w w:val="103"/>
              <w:rtl/>
            </w:rPr>
            <w:fldChar w:fldCharType="end"/>
          </w:r>
        </w:p>
      </w:tc>
      <w:tc>
        <w:tcPr>
          <w:tcW w:w="5033" w:type="dxa"/>
          <w:shd w:val="clear" w:color="auto" w:fill="auto"/>
          <w:vAlign w:val="bottom"/>
        </w:tcPr>
        <w:p w:rsidR="00C748BC" w:rsidRDefault="00C748BC" w:rsidP="003F3829">
          <w:pPr>
            <w:pStyle w:val="Header"/>
          </w:pPr>
        </w:p>
      </w:tc>
    </w:tr>
  </w:tbl>
  <w:p w:rsidR="00C748BC" w:rsidRPr="003F3829" w:rsidRDefault="00C748BC" w:rsidP="003F382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C748BC">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C748BC" w:rsidRDefault="00C748BC" w:rsidP="003F3829">
          <w:pPr>
            <w:pStyle w:val="Header"/>
            <w:spacing w:after="120"/>
          </w:pPr>
        </w:p>
      </w:tc>
      <w:tc>
        <w:tcPr>
          <w:tcW w:w="1786" w:type="dxa"/>
          <w:tcBorders>
            <w:bottom w:val="single" w:sz="4" w:space="0" w:color="auto"/>
          </w:tcBorders>
          <w:shd w:val="clear" w:color="auto" w:fill="auto"/>
          <w:vAlign w:val="bottom"/>
        </w:tcPr>
        <w:p w:rsidR="00C748BC" w:rsidRPr="003F3829" w:rsidRDefault="00C748BC" w:rsidP="003F3829">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C748BC" w:rsidRDefault="00C748BC" w:rsidP="003F3829">
          <w:pPr>
            <w:pStyle w:val="Header"/>
            <w:spacing w:after="120"/>
          </w:pPr>
        </w:p>
      </w:tc>
      <w:tc>
        <w:tcPr>
          <w:tcW w:w="6523" w:type="dxa"/>
          <w:gridSpan w:val="3"/>
          <w:tcBorders>
            <w:bottom w:val="single" w:sz="4" w:space="0" w:color="auto"/>
          </w:tcBorders>
          <w:shd w:val="clear" w:color="auto" w:fill="auto"/>
          <w:vAlign w:val="bottom"/>
        </w:tcPr>
        <w:p w:rsidR="00C748BC" w:rsidRPr="003F3829" w:rsidRDefault="00C748BC" w:rsidP="003F3829">
          <w:pPr>
            <w:spacing w:line="380" w:lineRule="exact"/>
            <w:jc w:val="right"/>
          </w:pPr>
          <w:r>
            <w:rPr>
              <w:sz w:val="40"/>
            </w:rPr>
            <w:t>CEDAW</w:t>
          </w:r>
          <w:r>
            <w:t>/C/SR.567</w:t>
          </w:r>
        </w:p>
      </w:tc>
    </w:tr>
    <w:tr w:rsidR="00C748BC" w:rsidRPr="003F3829">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C748BC" w:rsidRDefault="00C748BC" w:rsidP="003F3829">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C748BC" w:rsidRPr="003F3829" w:rsidRDefault="00C748BC" w:rsidP="003F3829">
          <w:pPr>
            <w:pStyle w:val="Header"/>
            <w:spacing w:before="109"/>
            <w:jc w:val="right"/>
          </w:pPr>
        </w:p>
      </w:tc>
      <w:tc>
        <w:tcPr>
          <w:tcW w:w="5227" w:type="dxa"/>
          <w:gridSpan w:val="3"/>
          <w:tcBorders>
            <w:top w:val="single" w:sz="4" w:space="0" w:color="auto"/>
            <w:bottom w:val="single" w:sz="12" w:space="0" w:color="auto"/>
          </w:tcBorders>
          <w:shd w:val="clear" w:color="auto" w:fill="auto"/>
        </w:tcPr>
        <w:p w:rsidR="00C748BC" w:rsidRPr="003F3829" w:rsidRDefault="00C748BC" w:rsidP="003F3829">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C748BC" w:rsidRPr="003F3829" w:rsidRDefault="00C748BC" w:rsidP="003F3829">
          <w:pPr>
            <w:pStyle w:val="Header"/>
            <w:spacing w:before="109"/>
          </w:pPr>
        </w:p>
      </w:tc>
      <w:tc>
        <w:tcPr>
          <w:tcW w:w="3100" w:type="dxa"/>
          <w:gridSpan w:val="2"/>
          <w:tcBorders>
            <w:top w:val="single" w:sz="4" w:space="0" w:color="auto"/>
            <w:bottom w:val="single" w:sz="12" w:space="0" w:color="auto"/>
          </w:tcBorders>
          <w:shd w:val="clear" w:color="auto" w:fill="auto"/>
        </w:tcPr>
        <w:p w:rsidR="00C748BC" w:rsidRDefault="00C748BC" w:rsidP="003F3829">
          <w:pPr>
            <w:bidi w:val="0"/>
            <w:spacing w:before="240" w:line="240" w:lineRule="exact"/>
          </w:pPr>
          <w:r>
            <w:t>Distr.: General</w:t>
          </w:r>
        </w:p>
        <w:p w:rsidR="00C748BC" w:rsidRDefault="00C748BC" w:rsidP="002E1983">
          <w:pPr>
            <w:bidi w:val="0"/>
            <w:spacing w:line="240" w:lineRule="exact"/>
            <w:jc w:val="left"/>
          </w:pPr>
          <w:r>
            <w:t>30 November 2005</w:t>
          </w:r>
        </w:p>
        <w:p w:rsidR="00C748BC" w:rsidRDefault="00C748BC" w:rsidP="003F3829">
          <w:pPr>
            <w:bidi w:val="0"/>
            <w:spacing w:line="240" w:lineRule="exact"/>
            <w:jc w:val="left"/>
          </w:pPr>
          <w:r>
            <w:t>Arabic</w:t>
          </w:r>
        </w:p>
        <w:p w:rsidR="00C748BC" w:rsidRPr="003F3829" w:rsidRDefault="00C748BC" w:rsidP="003F3829">
          <w:pPr>
            <w:bidi w:val="0"/>
            <w:spacing w:line="240" w:lineRule="exact"/>
            <w:jc w:val="left"/>
          </w:pPr>
          <w:r>
            <w:t>Original: English</w:t>
          </w:r>
        </w:p>
      </w:tc>
    </w:tr>
  </w:tbl>
  <w:p w:rsidR="00C748BC" w:rsidRPr="003F3829" w:rsidRDefault="00C748BC" w:rsidP="003F3829">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243621*"/>
    <w:docVar w:name="CreationDt" w:val="29/11/2005 04:025 م"/>
    <w:docVar w:name="DocCategory" w:val="SROthers"/>
    <w:docVar w:name="DocType" w:val="Final"/>
    <w:docVar w:name="FooterJN" w:val="02-43621"/>
    <w:docVar w:name="jobn" w:val="02-43621 (A)"/>
    <w:docVar w:name="jobnDT" w:val="02-43621 (A)   291105"/>
    <w:docVar w:name="jobnDTDT" w:val="02-43621 (A)   291105   291105"/>
    <w:docVar w:name="JobNo" w:val="0243621A"/>
    <w:docVar w:name="OandT" w:val=" "/>
    <w:docVar w:name="sss1" w:val="CEDAW/C/SR.567"/>
    <w:docVar w:name="sss2" w:val="-"/>
    <w:docVar w:name="Symbol1" w:val="CEDAW/C/SR.567"/>
    <w:docVar w:name="Symbol2" w:val="-"/>
  </w:docVars>
  <w:rsids>
    <w:rsidRoot w:val="00097618"/>
    <w:rsid w:val="00042425"/>
    <w:rsid w:val="00055580"/>
    <w:rsid w:val="00063611"/>
    <w:rsid w:val="00064AB6"/>
    <w:rsid w:val="0006648F"/>
    <w:rsid w:val="00087310"/>
    <w:rsid w:val="0009732C"/>
    <w:rsid w:val="00097618"/>
    <w:rsid w:val="000C4EED"/>
    <w:rsid w:val="000D2CEC"/>
    <w:rsid w:val="00101EE8"/>
    <w:rsid w:val="00113349"/>
    <w:rsid w:val="001519A9"/>
    <w:rsid w:val="001737F8"/>
    <w:rsid w:val="00187870"/>
    <w:rsid w:val="001F6786"/>
    <w:rsid w:val="00205D4E"/>
    <w:rsid w:val="002416C5"/>
    <w:rsid w:val="00266F59"/>
    <w:rsid w:val="00272B6C"/>
    <w:rsid w:val="0027623A"/>
    <w:rsid w:val="00290F2F"/>
    <w:rsid w:val="002937DA"/>
    <w:rsid w:val="002A09C6"/>
    <w:rsid w:val="002C2AF2"/>
    <w:rsid w:val="002C4E1B"/>
    <w:rsid w:val="002E1983"/>
    <w:rsid w:val="00312162"/>
    <w:rsid w:val="003501D5"/>
    <w:rsid w:val="00371AC4"/>
    <w:rsid w:val="00383CA8"/>
    <w:rsid w:val="003A65ED"/>
    <w:rsid w:val="003D4612"/>
    <w:rsid w:val="003F3829"/>
    <w:rsid w:val="003F4B8C"/>
    <w:rsid w:val="00401BDF"/>
    <w:rsid w:val="00411BBD"/>
    <w:rsid w:val="00415922"/>
    <w:rsid w:val="00423BD7"/>
    <w:rsid w:val="0042757D"/>
    <w:rsid w:val="00437C14"/>
    <w:rsid w:val="004527C9"/>
    <w:rsid w:val="00453069"/>
    <w:rsid w:val="00483F5B"/>
    <w:rsid w:val="00490874"/>
    <w:rsid w:val="00494EE2"/>
    <w:rsid w:val="00496E83"/>
    <w:rsid w:val="004A2886"/>
    <w:rsid w:val="004B14A0"/>
    <w:rsid w:val="004D1B0C"/>
    <w:rsid w:val="004F1402"/>
    <w:rsid w:val="0050659B"/>
    <w:rsid w:val="00524A2E"/>
    <w:rsid w:val="005279DE"/>
    <w:rsid w:val="00534772"/>
    <w:rsid w:val="00537FCD"/>
    <w:rsid w:val="00545F76"/>
    <w:rsid w:val="005545BB"/>
    <w:rsid w:val="00556882"/>
    <w:rsid w:val="00561E43"/>
    <w:rsid w:val="005838F5"/>
    <w:rsid w:val="00591B45"/>
    <w:rsid w:val="005A0F73"/>
    <w:rsid w:val="005A2EA3"/>
    <w:rsid w:val="005C2ECE"/>
    <w:rsid w:val="005C3ED1"/>
    <w:rsid w:val="00616E82"/>
    <w:rsid w:val="006218A3"/>
    <w:rsid w:val="006564CE"/>
    <w:rsid w:val="00663F64"/>
    <w:rsid w:val="00696B7A"/>
    <w:rsid w:val="006C38EE"/>
    <w:rsid w:val="0071531E"/>
    <w:rsid w:val="0071645B"/>
    <w:rsid w:val="00716E9D"/>
    <w:rsid w:val="00747B9E"/>
    <w:rsid w:val="007524BE"/>
    <w:rsid w:val="007525FA"/>
    <w:rsid w:val="00774FF0"/>
    <w:rsid w:val="0079046D"/>
    <w:rsid w:val="0079753A"/>
    <w:rsid w:val="007A6DD9"/>
    <w:rsid w:val="007D60E0"/>
    <w:rsid w:val="007E32B9"/>
    <w:rsid w:val="0081284F"/>
    <w:rsid w:val="00814843"/>
    <w:rsid w:val="008170DE"/>
    <w:rsid w:val="00830E32"/>
    <w:rsid w:val="00873A11"/>
    <w:rsid w:val="00873AF9"/>
    <w:rsid w:val="008D1C04"/>
    <w:rsid w:val="008F04A0"/>
    <w:rsid w:val="008F64A7"/>
    <w:rsid w:val="0090012B"/>
    <w:rsid w:val="0090351F"/>
    <w:rsid w:val="009569E9"/>
    <w:rsid w:val="00970BAD"/>
    <w:rsid w:val="009768D1"/>
    <w:rsid w:val="009829B7"/>
    <w:rsid w:val="009927C0"/>
    <w:rsid w:val="009961E6"/>
    <w:rsid w:val="009C0017"/>
    <w:rsid w:val="009C15F4"/>
    <w:rsid w:val="009D62A3"/>
    <w:rsid w:val="009E2A1F"/>
    <w:rsid w:val="00A37C4B"/>
    <w:rsid w:val="00A66F66"/>
    <w:rsid w:val="00A71AE5"/>
    <w:rsid w:val="00AA1E16"/>
    <w:rsid w:val="00AC002C"/>
    <w:rsid w:val="00AC6CDD"/>
    <w:rsid w:val="00AD38D0"/>
    <w:rsid w:val="00AE108C"/>
    <w:rsid w:val="00AF1A53"/>
    <w:rsid w:val="00AF7AC7"/>
    <w:rsid w:val="00B05ADC"/>
    <w:rsid w:val="00B272BE"/>
    <w:rsid w:val="00B87FB7"/>
    <w:rsid w:val="00B9542C"/>
    <w:rsid w:val="00B95560"/>
    <w:rsid w:val="00BA17AD"/>
    <w:rsid w:val="00BA7FAB"/>
    <w:rsid w:val="00BC2F4C"/>
    <w:rsid w:val="00BC4A05"/>
    <w:rsid w:val="00BF0B15"/>
    <w:rsid w:val="00C12CBB"/>
    <w:rsid w:val="00C25A2D"/>
    <w:rsid w:val="00C260F8"/>
    <w:rsid w:val="00C43FBE"/>
    <w:rsid w:val="00C449C6"/>
    <w:rsid w:val="00C564B0"/>
    <w:rsid w:val="00C72F08"/>
    <w:rsid w:val="00C748BC"/>
    <w:rsid w:val="00C814A5"/>
    <w:rsid w:val="00C9501C"/>
    <w:rsid w:val="00C96573"/>
    <w:rsid w:val="00CD0BB8"/>
    <w:rsid w:val="00CD3849"/>
    <w:rsid w:val="00CF7384"/>
    <w:rsid w:val="00D2343D"/>
    <w:rsid w:val="00D30EAE"/>
    <w:rsid w:val="00D318F1"/>
    <w:rsid w:val="00D40B0E"/>
    <w:rsid w:val="00DA66B7"/>
    <w:rsid w:val="00DB0865"/>
    <w:rsid w:val="00DC1A45"/>
    <w:rsid w:val="00DE5433"/>
    <w:rsid w:val="00DF5F38"/>
    <w:rsid w:val="00E23336"/>
    <w:rsid w:val="00E31661"/>
    <w:rsid w:val="00E32B52"/>
    <w:rsid w:val="00E47EB8"/>
    <w:rsid w:val="00E750E1"/>
    <w:rsid w:val="00E9114A"/>
    <w:rsid w:val="00E9737E"/>
    <w:rsid w:val="00EA489C"/>
    <w:rsid w:val="00EB0CA7"/>
    <w:rsid w:val="00EB4992"/>
    <w:rsid w:val="00EE5B13"/>
    <w:rsid w:val="00EF2E52"/>
    <w:rsid w:val="00F32E4A"/>
    <w:rsid w:val="00F36D8C"/>
    <w:rsid w:val="00F93545"/>
    <w:rsid w:val="00F96FBA"/>
    <w:rsid w:val="00FB4E06"/>
    <w:rsid w:val="00FC3483"/>
    <w:rsid w:val="00FC4D68"/>
    <w:rsid w:val="00FD2ADA"/>
    <w:rsid w:val="00FF551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3F3829"/>
    <w:rPr>
      <w:szCs w:val="20"/>
    </w:rPr>
  </w:style>
  <w:style w:type="paragraph" w:styleId="CommentSubject">
    <w:name w:val="annotation subject"/>
    <w:basedOn w:val="CommentText"/>
    <w:next w:val="CommentText"/>
    <w:semiHidden/>
    <w:rsid w:val="003F382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3</Pages>
  <Words>606</Words>
  <Characters>3457</Characters>
  <Application>Microsoft Office Word</Application>
  <DocSecurity>4</DocSecurity>
  <Lines>28</Lines>
  <Paragraphs>8</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4055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Jourieh, Kamil</dc:creator>
  <cp:keywords/>
  <dc:description/>
  <cp:lastModifiedBy>123</cp:lastModifiedBy>
  <cp:revision>4</cp:revision>
  <cp:lastPrinted>2005-11-29T17:52:00Z</cp:lastPrinted>
  <dcterms:created xsi:type="dcterms:W3CDTF">2005-11-29T17:52:00Z</dcterms:created>
  <dcterms:modified xsi:type="dcterms:W3CDTF">2005-11-29T17:52:00Z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0243621</vt:lpwstr>
  </property>
  <property fmtid="{D5CDD505-2E9C-101B-9397-08002B2CF9AE}" pid="3" name="Symbol1">
    <vt:lpwstr>CEDAW/C/SR.567</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