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45C2A" w14:textId="77777777" w:rsidR="00AF0B64" w:rsidRPr="007E0CEF" w:rsidRDefault="00AF0B64" w:rsidP="00AF0B64">
      <w:pPr>
        <w:spacing w:line="240" w:lineRule="auto"/>
        <w:rPr>
          <w:sz w:val="2"/>
          <w:lang w:val="es-ES_tradnl"/>
        </w:rPr>
        <w:sectPr w:rsidR="00AF0B64" w:rsidRPr="007E0CEF" w:rsidSect="000B33C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E0CEF">
        <w:rPr>
          <w:rStyle w:val="CommentReference"/>
          <w:szCs w:val="20"/>
          <w:lang w:val="es-ES_tradnl"/>
        </w:rPr>
        <w:commentReference w:id="0"/>
      </w:r>
    </w:p>
    <w:p w14:paraId="10402DE0" w14:textId="77777777" w:rsidR="00FA3F43" w:rsidRPr="007E0CEF" w:rsidRDefault="00FA3F43" w:rsidP="00FA3F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783"/>
        <w:rPr>
          <w:lang w:val="es-ES_tradnl"/>
        </w:rPr>
      </w:pPr>
      <w:r w:rsidRPr="007E0CEF">
        <w:rPr>
          <w:lang w:val="es-ES_tradnl"/>
        </w:rPr>
        <w:t>Comité para la Eliminación de la Discriminación contra la Mujer</w:t>
      </w:r>
    </w:p>
    <w:p w14:paraId="092C9E9B" w14:textId="3A0701A5" w:rsidR="00FA3F43" w:rsidRPr="007E0CEF" w:rsidRDefault="00FA3F43" w:rsidP="00FA3F43">
      <w:pPr>
        <w:pStyle w:val="SingleTxt"/>
        <w:spacing w:after="0" w:line="120" w:lineRule="exact"/>
        <w:rPr>
          <w:sz w:val="10"/>
          <w:lang w:val="es-ES_tradnl"/>
        </w:rPr>
      </w:pPr>
    </w:p>
    <w:p w14:paraId="39D6EAC9" w14:textId="04FA04AE" w:rsidR="00FA3F43" w:rsidRPr="007E0CEF" w:rsidRDefault="00FA3F43" w:rsidP="00FA3F43">
      <w:pPr>
        <w:pStyle w:val="SingleTxt"/>
        <w:spacing w:after="0" w:line="120" w:lineRule="exact"/>
        <w:rPr>
          <w:sz w:val="10"/>
          <w:lang w:val="es-ES_tradnl"/>
        </w:rPr>
      </w:pPr>
    </w:p>
    <w:p w14:paraId="06922AA8" w14:textId="307B1F49" w:rsidR="00FA3F43" w:rsidRPr="007E0CEF" w:rsidRDefault="00FA3F43" w:rsidP="00FA3F43">
      <w:pPr>
        <w:pStyle w:val="SingleTxt"/>
        <w:spacing w:after="0" w:line="120" w:lineRule="exact"/>
        <w:rPr>
          <w:sz w:val="10"/>
          <w:lang w:val="es-ES_tradnl"/>
        </w:rPr>
      </w:pPr>
    </w:p>
    <w:p w14:paraId="5307C2E3" w14:textId="77777777" w:rsidR="00FA3F43" w:rsidRPr="007E0CEF" w:rsidRDefault="00FA3F43" w:rsidP="00FA3F43">
      <w:pPr>
        <w:pStyle w:val="TitleHCH"/>
        <w:ind w:right="1380"/>
        <w:rPr>
          <w:lang w:val="es-ES_tradnl"/>
        </w:rPr>
      </w:pPr>
      <w:r w:rsidRPr="007E0CEF">
        <w:rPr>
          <w:lang w:val="es-ES_tradnl"/>
        </w:rPr>
        <w:tab/>
      </w:r>
      <w:r w:rsidRPr="007E0CEF">
        <w:rPr>
          <w:lang w:val="es-ES_tradnl"/>
        </w:rPr>
        <w:tab/>
        <w:t>Décimo informe periódico que el Canadá debía presentar en 2020 en virtud del artículo 18 de la Convención</w:t>
      </w:r>
      <w:r w:rsidRPr="00EC4B68">
        <w:rPr>
          <w:b w:val="0"/>
          <w:bCs/>
          <w:sz w:val="20"/>
          <w:szCs w:val="20"/>
          <w:lang w:val="es-ES_tradnl"/>
        </w:rPr>
        <w:footnoteReference w:customMarkFollows="1" w:id="1"/>
        <w:t>*</w:t>
      </w:r>
      <w:r w:rsidRPr="00EC4B68">
        <w:rPr>
          <w:b w:val="0"/>
          <w:w w:val="100"/>
          <w:sz w:val="20"/>
          <w:szCs w:val="20"/>
          <w:vertAlign w:val="superscript"/>
          <w:lang w:val="es-ES_tradnl"/>
        </w:rPr>
        <w:t>,</w:t>
      </w:r>
      <w:r w:rsidRPr="00EC4B68">
        <w:rPr>
          <w:b w:val="0"/>
          <w:bCs/>
          <w:sz w:val="20"/>
          <w:szCs w:val="20"/>
          <w:lang w:val="es-ES_tradnl"/>
        </w:rPr>
        <w:footnoteReference w:customMarkFollows="1" w:id="2"/>
        <w:t>**</w:t>
      </w:r>
    </w:p>
    <w:p w14:paraId="6BCC4D5D" w14:textId="538F2072" w:rsidR="00FA3F43" w:rsidRPr="007E0CEF" w:rsidRDefault="00FA3F43" w:rsidP="00FA3F43">
      <w:pPr>
        <w:pStyle w:val="SingleTxt"/>
        <w:spacing w:after="0" w:line="120" w:lineRule="exact"/>
        <w:rPr>
          <w:sz w:val="10"/>
          <w:lang w:val="es-ES_tradnl"/>
        </w:rPr>
      </w:pPr>
    </w:p>
    <w:p w14:paraId="34DC96E6" w14:textId="0D95B519" w:rsidR="00FA3F43" w:rsidRPr="007E0CEF" w:rsidRDefault="00FA3F43" w:rsidP="00FA3F43">
      <w:pPr>
        <w:pStyle w:val="SingleTxt"/>
        <w:spacing w:after="0" w:line="120" w:lineRule="exact"/>
        <w:rPr>
          <w:sz w:val="10"/>
          <w:lang w:val="es-ES_tradnl"/>
        </w:rPr>
      </w:pPr>
    </w:p>
    <w:p w14:paraId="5A811414" w14:textId="77777777" w:rsidR="00FA3F43" w:rsidRPr="007E0CEF" w:rsidRDefault="00FA3F43" w:rsidP="00FA3F43">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right"/>
        <w:rPr>
          <w:kern w:val="14"/>
          <w:lang w:val="es-ES_tradnl"/>
        </w:rPr>
      </w:pPr>
      <w:r w:rsidRPr="007E0CEF">
        <w:rPr>
          <w:kern w:val="14"/>
          <w:lang w:val="es-ES_tradnl"/>
        </w:rPr>
        <w:t>[Fecha de recepción: 30 de junio de 2022]</w:t>
      </w:r>
    </w:p>
    <w:p w14:paraId="24EC2786" w14:textId="77777777" w:rsidR="00FA3F43" w:rsidRPr="007E0CEF" w:rsidRDefault="00FA3F43" w:rsidP="00FA3F43">
      <w:pPr>
        <w:pStyle w:val="SingleTxt"/>
        <w:rPr>
          <w:lang w:val="es-ES_tradnl"/>
        </w:rPr>
      </w:pPr>
      <w:r w:rsidRPr="007E0CEF">
        <w:rPr>
          <w:lang w:val="es-ES_tradnl"/>
        </w:rPr>
        <w:br w:type="page"/>
      </w:r>
    </w:p>
    <w:p w14:paraId="12B4F482" w14:textId="280B86B1" w:rsidR="00FA3F43" w:rsidRPr="007E0CEF" w:rsidRDefault="00FA3F43" w:rsidP="00FA3F4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lastRenderedPageBreak/>
        <w:tab/>
      </w:r>
      <w:r w:rsidRPr="007E0CEF">
        <w:rPr>
          <w:lang w:val="es-ES_tradnl"/>
        </w:rPr>
        <w:tab/>
        <w:t>Introducción</w:t>
      </w:r>
    </w:p>
    <w:p w14:paraId="5D3AF45D" w14:textId="39BD793D" w:rsidR="00FA3F43" w:rsidRPr="007E0CEF" w:rsidRDefault="00FA3F43" w:rsidP="00FA3F43">
      <w:pPr>
        <w:pStyle w:val="SingleTxt"/>
        <w:spacing w:after="0" w:line="120" w:lineRule="exact"/>
        <w:rPr>
          <w:sz w:val="10"/>
          <w:lang w:val="es-ES_tradnl"/>
        </w:rPr>
      </w:pPr>
    </w:p>
    <w:p w14:paraId="34E0F0C1" w14:textId="3480DC8D" w:rsidR="00FA3F43" w:rsidRPr="007E0CEF" w:rsidRDefault="00FA3F43" w:rsidP="00FA3F43">
      <w:pPr>
        <w:pStyle w:val="SingleTxt"/>
        <w:spacing w:after="0" w:line="120" w:lineRule="exact"/>
        <w:rPr>
          <w:sz w:val="10"/>
          <w:lang w:val="es-ES_tradnl"/>
        </w:rPr>
      </w:pPr>
    </w:p>
    <w:p w14:paraId="4314D4E0" w14:textId="77777777" w:rsidR="00FA3F43" w:rsidRPr="007E0CEF" w:rsidRDefault="00FA3F43" w:rsidP="00BB0090">
      <w:pPr>
        <w:pStyle w:val="SingleTxt"/>
        <w:numPr>
          <w:ilvl w:val="0"/>
          <w:numId w:val="6"/>
        </w:numPr>
        <w:ind w:left="1267"/>
        <w:rPr>
          <w:lang w:val="es-ES_tradnl"/>
        </w:rPr>
      </w:pPr>
      <w:r w:rsidRPr="007E0CEF">
        <w:rPr>
          <w:lang w:val="es-ES_tradnl"/>
        </w:rPr>
        <w:t>El Canadá se complace en presentar ante el Comité para la Eliminación de la Discriminación contra la Mujer su Décimo Informe relativo a la Convención sobre la Eliminación de Todas las Formas de Discriminación contra la Mujer. El presente informe se centra en las principales medidas adoptadas en el Canadá para promover la aplicación de la Convención desde la última comparecencia de dicho país ante el Comité, el 25 de octubre de 2016, hasta diciembre de 2021, y responde a la lista de cuestiones aportada por el Comité</w:t>
      </w:r>
      <w:r w:rsidRPr="007E0CEF">
        <w:rPr>
          <w:vertAlign w:val="superscript"/>
          <w:lang w:val="es-ES_tradnl"/>
        </w:rPr>
        <w:footnoteReference w:id="3"/>
      </w:r>
      <w:r w:rsidRPr="007E0CEF">
        <w:rPr>
          <w:lang w:val="es-ES_tradnl"/>
        </w:rPr>
        <w:t>.</w:t>
      </w:r>
    </w:p>
    <w:p w14:paraId="11377151" w14:textId="77777777" w:rsidR="00FA3F43" w:rsidRPr="007E0CEF" w:rsidRDefault="00FA3F43" w:rsidP="00BB0090">
      <w:pPr>
        <w:pStyle w:val="SingleTxt"/>
        <w:numPr>
          <w:ilvl w:val="0"/>
          <w:numId w:val="6"/>
        </w:numPr>
        <w:ind w:left="1267"/>
        <w:rPr>
          <w:lang w:val="es-ES_tradnl"/>
        </w:rPr>
      </w:pPr>
      <w:r w:rsidRPr="007E0CEF">
        <w:rPr>
          <w:lang w:val="es-ES_tradnl"/>
        </w:rPr>
        <w:t xml:space="preserve">En el informe se aborda la mayoría de las preguntas del Comité respetando el límite de palabras y se remite al Comité a la información adicional facilitada recientemente por el Canadá tanto a este como a otros órganos creados en virtud de tratados de derechos humanos, así como en el Documento Básico Común del Canadá. </w:t>
      </w:r>
    </w:p>
    <w:p w14:paraId="1702DF09" w14:textId="6F8A3C13" w:rsidR="00FA3F43" w:rsidRPr="007E0CEF" w:rsidRDefault="00FA3F43" w:rsidP="00BB0090">
      <w:pPr>
        <w:pStyle w:val="SingleTxt"/>
        <w:numPr>
          <w:ilvl w:val="0"/>
          <w:numId w:val="7"/>
        </w:numPr>
        <w:ind w:left="1267"/>
        <w:rPr>
          <w:lang w:val="es-ES_tradnl"/>
        </w:rPr>
      </w:pPr>
      <w:r w:rsidRPr="007E0CEF">
        <w:rPr>
          <w:lang w:val="es-ES_tradnl"/>
        </w:rPr>
        <w:t>En el presente informe se aporta información sobre la aplicación de medidas por parte de los dos órdenes de gobierno. Las menciones del “Gobierno del Canadá” hacen referencia al Gobierno federal canadiense, mientras que las menciones de “el Canadá” se refieren en general al Gobierno federal y a los gobiernos provinciales y territoriales considerados conjuntamente. Las menciones de una provincia o un territorio concretos hacen referencia, por lo general, a su correspondiente gobierno.</w:t>
      </w:r>
    </w:p>
    <w:p w14:paraId="252F97C5" w14:textId="2DDE2594" w:rsidR="00FA3F43" w:rsidRPr="007E0CEF" w:rsidRDefault="00FA3F43" w:rsidP="00FA3F43">
      <w:pPr>
        <w:pStyle w:val="SingleTxt"/>
        <w:spacing w:after="0" w:line="120" w:lineRule="exact"/>
        <w:rPr>
          <w:sz w:val="10"/>
          <w:lang w:val="es-ES_tradnl"/>
        </w:rPr>
      </w:pPr>
    </w:p>
    <w:p w14:paraId="3E545D68" w14:textId="459032ED" w:rsidR="00FA3F43" w:rsidRPr="007E0CEF" w:rsidRDefault="00FA3F43" w:rsidP="00FA3F43">
      <w:pPr>
        <w:pStyle w:val="SingleTxt"/>
        <w:spacing w:after="0" w:line="120" w:lineRule="exact"/>
        <w:rPr>
          <w:sz w:val="10"/>
          <w:lang w:val="es-ES_tradnl"/>
        </w:rPr>
      </w:pPr>
    </w:p>
    <w:p w14:paraId="64330EFE" w14:textId="0A97F507" w:rsidR="00FA3F43" w:rsidRPr="007E0CEF" w:rsidRDefault="00FA3F43" w:rsidP="00FA3F4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Pregunta 1: Generalidades</w:t>
      </w:r>
    </w:p>
    <w:p w14:paraId="029FBF4D" w14:textId="457A9176" w:rsidR="00FA3F43" w:rsidRPr="007E0CEF" w:rsidRDefault="00FA3F43" w:rsidP="00FA3F43">
      <w:pPr>
        <w:pStyle w:val="SingleTxt"/>
        <w:spacing w:after="0" w:line="120" w:lineRule="exact"/>
        <w:rPr>
          <w:sz w:val="10"/>
          <w:lang w:val="es-ES_tradnl"/>
        </w:rPr>
      </w:pPr>
    </w:p>
    <w:p w14:paraId="0A2B4752" w14:textId="395BCB0A" w:rsidR="00FA3F43" w:rsidRPr="007E0CEF" w:rsidRDefault="00FA3F43" w:rsidP="00FA3F43">
      <w:pPr>
        <w:pStyle w:val="SingleTxt"/>
        <w:spacing w:after="0" w:line="120" w:lineRule="exact"/>
        <w:rPr>
          <w:sz w:val="10"/>
          <w:lang w:val="es-ES_tradnl"/>
        </w:rPr>
      </w:pPr>
    </w:p>
    <w:p w14:paraId="15D3255B" w14:textId="50A84C38" w:rsidR="00FA3F43" w:rsidRPr="007E0CEF" w:rsidRDefault="00FA3F43" w:rsidP="00FA3F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Información y datos estadísticos sobre la situación actual de las mujeres en el Canadá</w:t>
      </w:r>
    </w:p>
    <w:p w14:paraId="6380DC6E" w14:textId="61954ADD" w:rsidR="00FA3F43" w:rsidRPr="007E0CEF" w:rsidRDefault="00FA3F43" w:rsidP="00FA3F43">
      <w:pPr>
        <w:pStyle w:val="SingleTxt"/>
        <w:spacing w:after="0" w:line="120" w:lineRule="exact"/>
        <w:rPr>
          <w:sz w:val="10"/>
          <w:lang w:val="es-ES_tradnl"/>
        </w:rPr>
      </w:pPr>
    </w:p>
    <w:p w14:paraId="3765F77F" w14:textId="5DD49C99" w:rsidR="00FA3F43" w:rsidRPr="007E0CEF" w:rsidRDefault="00FA3F43" w:rsidP="00FA3F43">
      <w:pPr>
        <w:pStyle w:val="SingleTxt"/>
        <w:spacing w:after="0" w:line="120" w:lineRule="exact"/>
        <w:rPr>
          <w:sz w:val="10"/>
          <w:lang w:val="es-ES_tradnl"/>
        </w:rPr>
      </w:pPr>
    </w:p>
    <w:p w14:paraId="604CC9EE" w14:textId="77777777" w:rsidR="00FA3F43" w:rsidRPr="007E0CEF" w:rsidRDefault="00FA3F43" w:rsidP="00BB0090">
      <w:pPr>
        <w:pStyle w:val="SingleTxt"/>
        <w:numPr>
          <w:ilvl w:val="0"/>
          <w:numId w:val="8"/>
        </w:numPr>
        <w:ind w:left="1267"/>
        <w:rPr>
          <w:lang w:val="es-ES_tradnl"/>
        </w:rPr>
      </w:pPr>
      <w:r w:rsidRPr="007E0CEF">
        <w:rPr>
          <w:lang w:val="es-ES_tradnl"/>
        </w:rPr>
        <w:t xml:space="preserve">El Canadá mantiene desde hace tiempo su determinación de garantizar la igualdad de género y está decidido a tomar medidas que contribuyan al logro de una sociedad inclusiva y democrática que posibilite la participación plena de todas las personas en todos los ámbitos de la vida. El Gobierno federal y los gobiernos provinciales y territoriales del Canadá han adoptado una serie de medidas transformadoras, en particular a través de un volumen considerable de inversiones y leyes, que constituyen la base para seguir avanzando hacia la igualdad de género. </w:t>
      </w:r>
    </w:p>
    <w:p w14:paraId="7CEBA04D" w14:textId="77777777" w:rsidR="00FA3F43" w:rsidRPr="007E0CEF" w:rsidRDefault="00FA3F43" w:rsidP="00BB0090">
      <w:pPr>
        <w:pStyle w:val="SingleTxt"/>
        <w:numPr>
          <w:ilvl w:val="0"/>
          <w:numId w:val="8"/>
        </w:numPr>
        <w:ind w:left="1267"/>
        <w:rPr>
          <w:lang w:val="es-ES_tradnl"/>
        </w:rPr>
      </w:pPr>
      <w:r w:rsidRPr="007E0CEF">
        <w:rPr>
          <w:lang w:val="es-ES_tradnl"/>
        </w:rPr>
        <w:t>No obstante, la pandemia de COVID-19 ha puesto en peligro los principales avances en materia de igualdad de género y diversidad y ha exacerbado una serie de deficiencias y obstáculos que suponían una amenaza para la igualdad. De ahí que el Gobierno federal y los gobiernos provinciales y territoriales hayan puesto en marcha una serie de medidas para ayudar a la población más afectada por la pandemia y hacer frente a la inveterada situación de desigualdad. En el anexo 1 se facilita información sobre el impacto de la pandemia de COVID-19 en las mujeres del Canadá y sobre las medidas adoptadas por el Gobierno federal y los gobiernos provinciales y territoriales para mitigar dicho impacto.</w:t>
      </w:r>
    </w:p>
    <w:p w14:paraId="767198F0" w14:textId="27852C11" w:rsidR="00FA3F43" w:rsidRPr="007E0CEF" w:rsidRDefault="00FA3F43" w:rsidP="00BB0090">
      <w:pPr>
        <w:pStyle w:val="SingleTxt"/>
        <w:numPr>
          <w:ilvl w:val="0"/>
          <w:numId w:val="9"/>
        </w:numPr>
        <w:ind w:left="1267"/>
        <w:rPr>
          <w:lang w:val="es-ES_tradnl"/>
        </w:rPr>
      </w:pPr>
      <w:r w:rsidRPr="007E0CEF">
        <w:rPr>
          <w:lang w:val="es-ES_tradnl"/>
        </w:rPr>
        <w:t xml:space="preserve">La información y los datos estadísticos expuestos en el anexo 2 están organizados en función de los cuatro objetivos de igualdad de género que se derivan del Marco de Resultados en materia de Género del Gobierno del Canadá. Tales datos estadísticos abarcan el período transcurrido desde la comparecencia del Canadá en 2016 y reflejan la información más actualizada de la que se dispone en este momento. </w:t>
      </w:r>
    </w:p>
    <w:p w14:paraId="3AF83E59" w14:textId="607CC2AF" w:rsidR="00FA3F43" w:rsidRPr="007E0CEF" w:rsidRDefault="00FA3F43">
      <w:pPr>
        <w:suppressAutoHyphens w:val="0"/>
        <w:spacing w:after="200" w:line="276" w:lineRule="auto"/>
        <w:rPr>
          <w:kern w:val="14"/>
          <w:lang w:val="es-ES_tradnl"/>
        </w:rPr>
      </w:pPr>
      <w:r w:rsidRPr="007E0CEF">
        <w:rPr>
          <w:lang w:val="es-ES_tradnl"/>
        </w:rPr>
        <w:br w:type="page"/>
      </w:r>
    </w:p>
    <w:p w14:paraId="7F052FD6" w14:textId="77777777" w:rsidR="00FA3F43" w:rsidRPr="007E0CEF" w:rsidRDefault="00FA3F43" w:rsidP="006415A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lastRenderedPageBreak/>
        <w:tab/>
      </w:r>
      <w:r w:rsidRPr="007E0CEF">
        <w:rPr>
          <w:lang w:val="es-ES_tradnl"/>
        </w:rPr>
        <w:tab/>
        <w:t xml:space="preserve">Pregunta 2: Visibilidad de la Convención, su Protocolo Facultativo y las recomendaciones generales del Comité </w:t>
      </w:r>
    </w:p>
    <w:p w14:paraId="103E1F39" w14:textId="77777777" w:rsidR="006415A2" w:rsidRPr="007E0CEF" w:rsidRDefault="006415A2" w:rsidP="006415A2">
      <w:pPr>
        <w:pStyle w:val="SingleTxt"/>
        <w:spacing w:after="0" w:line="120" w:lineRule="exact"/>
        <w:rPr>
          <w:b/>
          <w:sz w:val="10"/>
          <w:lang w:val="es-ES_tradnl"/>
        </w:rPr>
      </w:pPr>
    </w:p>
    <w:p w14:paraId="566F67D7" w14:textId="77777777" w:rsidR="006415A2" w:rsidRPr="007E0CEF" w:rsidRDefault="006415A2" w:rsidP="006415A2">
      <w:pPr>
        <w:pStyle w:val="SingleTxt"/>
        <w:spacing w:after="0" w:line="120" w:lineRule="exact"/>
        <w:rPr>
          <w:b/>
          <w:sz w:val="10"/>
          <w:lang w:val="es-ES_tradnl"/>
        </w:rPr>
      </w:pPr>
    </w:p>
    <w:p w14:paraId="0509204E" w14:textId="17A74783" w:rsidR="00FA3F43" w:rsidRPr="007E0CEF" w:rsidRDefault="00FA3F43" w:rsidP="0064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Visibilidad y difusión de la Convención</w:t>
      </w:r>
    </w:p>
    <w:p w14:paraId="076F2FE1" w14:textId="4F8C828F" w:rsidR="006415A2" w:rsidRPr="007E0CEF" w:rsidRDefault="006415A2" w:rsidP="006415A2">
      <w:pPr>
        <w:pStyle w:val="SingleTxt"/>
        <w:spacing w:after="0" w:line="120" w:lineRule="exact"/>
        <w:rPr>
          <w:sz w:val="10"/>
          <w:lang w:val="es-ES_tradnl"/>
        </w:rPr>
      </w:pPr>
    </w:p>
    <w:p w14:paraId="5C798E26" w14:textId="3E4F3EB7" w:rsidR="006415A2" w:rsidRPr="007E0CEF" w:rsidRDefault="006415A2" w:rsidP="006415A2">
      <w:pPr>
        <w:pStyle w:val="SingleTxt"/>
        <w:spacing w:after="0" w:line="120" w:lineRule="exact"/>
        <w:rPr>
          <w:sz w:val="10"/>
          <w:lang w:val="es-ES_tradnl"/>
        </w:rPr>
      </w:pPr>
    </w:p>
    <w:p w14:paraId="4A28F1AE" w14:textId="77777777" w:rsidR="00FA3F43" w:rsidRPr="007E0CEF" w:rsidRDefault="00FA3F43" w:rsidP="00BB0090">
      <w:pPr>
        <w:pStyle w:val="SingleTxt"/>
        <w:numPr>
          <w:ilvl w:val="0"/>
          <w:numId w:val="10"/>
        </w:numPr>
        <w:ind w:left="1267"/>
        <w:rPr>
          <w:lang w:val="es-ES_tradnl"/>
        </w:rPr>
      </w:pPr>
      <w:r w:rsidRPr="007E0CEF">
        <w:rPr>
          <w:lang w:val="es-ES_tradnl"/>
        </w:rPr>
        <w:t>El Gobierno del Canadá promueve la difusión de los derechos humanos y de los tratados de las Naciones Unidas en los que el país es parte, lo que incluye la Convención y su Protocolo Facultativo, a través de diversas actividades como la difusión de información y novedades relativas a la Convención, la gestión y coordinación de un portal de derechos humanos en la plataforma Canada.ca y la distribución de ejemplares impresos de la Carta de Derechos y Libertades del Canadá y la Declaración de Derechos del Canadá.</w:t>
      </w:r>
    </w:p>
    <w:p w14:paraId="1FCC7389" w14:textId="77777777" w:rsidR="00FA3F43" w:rsidRPr="007E0CEF" w:rsidRDefault="00FA3F43" w:rsidP="00BB0090">
      <w:pPr>
        <w:pStyle w:val="SingleTxt"/>
        <w:numPr>
          <w:ilvl w:val="0"/>
          <w:numId w:val="10"/>
        </w:numPr>
        <w:ind w:left="1267"/>
        <w:rPr>
          <w:lang w:val="es-ES_tradnl"/>
        </w:rPr>
      </w:pPr>
      <w:r w:rsidRPr="007E0CEF">
        <w:rPr>
          <w:lang w:val="es-ES_tradnl"/>
        </w:rPr>
        <w:t>Asimismo, los gobiernos provinciales y territoriales promueven la difusión de los derechos humanos y especialmente el contenido de la Convención. Por ejemplo, una de las principales actividades del Consejo Consultivo sobre la Condición de la Mujer de la isla del Príncipe Eduardo es la coordinación de proyectos y eventos anuales en favor de la igualdad de género, como el Día Internacional de la Mujer el 8 de marzo y la Campaña del Lazo Morado contra la Violencia el 6 de diciembre, actividades que hacen referencia a la Convención.</w:t>
      </w:r>
    </w:p>
    <w:p w14:paraId="017901A6" w14:textId="2BE63694" w:rsidR="00FA3F43" w:rsidRPr="007E0CEF" w:rsidRDefault="00FA3F43" w:rsidP="00BB0090">
      <w:pPr>
        <w:pStyle w:val="SingleTxt"/>
        <w:numPr>
          <w:ilvl w:val="0"/>
          <w:numId w:val="11"/>
        </w:numPr>
        <w:ind w:left="1267"/>
        <w:rPr>
          <w:lang w:val="es-ES_tradnl"/>
        </w:rPr>
      </w:pPr>
      <w:r w:rsidRPr="007E0CEF">
        <w:rPr>
          <w:lang w:val="es-ES_tradnl"/>
        </w:rPr>
        <w:t>El gobierno de Quebec ha creado recientemente una sección en Internet destinada a dar a conocer su actuación en materia de derechos humanos dentro de la escena internacional y a informar a la población de Quebec de sus compromisos internacionales.</w:t>
      </w:r>
    </w:p>
    <w:p w14:paraId="39C8A05C" w14:textId="145CA170" w:rsidR="006415A2" w:rsidRPr="007E0CEF" w:rsidRDefault="006415A2" w:rsidP="006415A2">
      <w:pPr>
        <w:pStyle w:val="SingleTxt"/>
        <w:spacing w:after="0" w:line="120" w:lineRule="exact"/>
        <w:rPr>
          <w:sz w:val="10"/>
          <w:lang w:val="es-ES_tradnl"/>
        </w:rPr>
      </w:pPr>
    </w:p>
    <w:p w14:paraId="40A9FB69" w14:textId="541ECE0D" w:rsidR="006415A2" w:rsidRPr="007E0CEF" w:rsidRDefault="006415A2" w:rsidP="006415A2">
      <w:pPr>
        <w:pStyle w:val="SingleTxt"/>
        <w:spacing w:after="0" w:line="120" w:lineRule="exact"/>
        <w:rPr>
          <w:sz w:val="10"/>
          <w:lang w:val="es-ES_tradnl"/>
        </w:rPr>
      </w:pPr>
    </w:p>
    <w:p w14:paraId="1A40FD99" w14:textId="1CB74F82" w:rsidR="00FA3F43" w:rsidRPr="007E0CEF" w:rsidRDefault="00FA3F43" w:rsidP="0064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Creación de capacidad en el colectivo de jueces, fiscales y abogados</w:t>
      </w:r>
    </w:p>
    <w:p w14:paraId="3F71DD0F" w14:textId="0E3A5016" w:rsidR="006415A2" w:rsidRPr="007E0CEF" w:rsidRDefault="006415A2" w:rsidP="006415A2">
      <w:pPr>
        <w:pStyle w:val="SingleTxt"/>
        <w:spacing w:after="0" w:line="120" w:lineRule="exact"/>
        <w:rPr>
          <w:sz w:val="10"/>
          <w:lang w:val="es-ES_tradnl"/>
        </w:rPr>
      </w:pPr>
    </w:p>
    <w:p w14:paraId="6E1F01FA" w14:textId="369BD78C" w:rsidR="006415A2" w:rsidRPr="007E0CEF" w:rsidRDefault="006415A2" w:rsidP="006415A2">
      <w:pPr>
        <w:pStyle w:val="SingleTxt"/>
        <w:spacing w:after="0" w:line="120" w:lineRule="exact"/>
        <w:rPr>
          <w:sz w:val="10"/>
          <w:lang w:val="es-ES_tradnl"/>
        </w:rPr>
      </w:pPr>
    </w:p>
    <w:p w14:paraId="4A4D8437" w14:textId="77777777" w:rsidR="00FA3F43" w:rsidRPr="007E0CEF" w:rsidRDefault="00FA3F43" w:rsidP="00BB0090">
      <w:pPr>
        <w:pStyle w:val="SingleTxt"/>
        <w:numPr>
          <w:ilvl w:val="0"/>
          <w:numId w:val="12"/>
        </w:numPr>
        <w:ind w:left="1267"/>
        <w:rPr>
          <w:lang w:val="es-ES_tradnl"/>
        </w:rPr>
      </w:pPr>
      <w:r w:rsidRPr="007E0CEF">
        <w:rPr>
          <w:lang w:val="es-ES_tradnl"/>
        </w:rPr>
        <w:t xml:space="preserve">A fin de respetar el principio constitucional de independencia judicial, la formación de los jueces nombrados a nivel federal en el Canadá está gestionada por la propia judicatura y forma parte del mandato estatutario del Consejo del Poder Judicial del Canadá. </w:t>
      </w:r>
    </w:p>
    <w:p w14:paraId="1AD608B6" w14:textId="77777777" w:rsidR="00FA3F43" w:rsidRPr="007E0CEF" w:rsidRDefault="00FA3F43" w:rsidP="00BB0090">
      <w:pPr>
        <w:pStyle w:val="SingleTxt"/>
        <w:numPr>
          <w:ilvl w:val="0"/>
          <w:numId w:val="12"/>
        </w:numPr>
        <w:ind w:left="1267"/>
        <w:rPr>
          <w:lang w:val="es-ES_tradnl"/>
        </w:rPr>
      </w:pPr>
      <w:r w:rsidRPr="007E0CEF">
        <w:rPr>
          <w:lang w:val="es-ES_tradnl"/>
        </w:rPr>
        <w:t>En 2018, dicho Consejo reiteró y recalcó su determinación de contribuir a la formación judicial mediante la aprobación de sus Políticas y Directrices de Desarrollo Profesional, admitiendo que la formación judicial efectiva exigía un enfoque tridimensional que abarcase la impartición de contenido sustantivo, el desarrollo de aptitudes y el conocimiento del contexto social. El Consejo del Poder Judicial del Canadá reconoció además la obligación de que los jueces fueran conscientes del contexto social en el que desempeñaban su función, lo que requería tomar conciencia y tener conocimiento de la realidad de las personas comparecientes ante los tribunales, así como entender las circunstancias relacionadas con el género, la raza, la etnia, la religión, la cultura, la orientación sexual, la diferencia de capacidades mentales o físicas, la edad, el entorno socioeconómico, la infancia y la violencia familiar.</w:t>
      </w:r>
    </w:p>
    <w:p w14:paraId="2018FE4B" w14:textId="77777777" w:rsidR="00FA3F43" w:rsidRPr="007E0CEF" w:rsidRDefault="00FA3F43" w:rsidP="00BB0090">
      <w:pPr>
        <w:pStyle w:val="SingleTxt"/>
        <w:numPr>
          <w:ilvl w:val="0"/>
          <w:numId w:val="13"/>
        </w:numPr>
        <w:ind w:left="1267"/>
        <w:rPr>
          <w:lang w:val="es-ES_tradnl"/>
        </w:rPr>
      </w:pPr>
      <w:r w:rsidRPr="007E0CEF">
        <w:rPr>
          <w:lang w:val="es-ES_tradnl"/>
        </w:rPr>
        <w:t>El 6 de mayo de 2021, la Ley por la que se modifica la Ley de Jueces y el Código Penal recibió la correspondiente sanción real para su promulgación. Dicha Ley ha modificado la Ley de Jueces para exigir a los candidatos a nombramientos en tribunales superiores provinciales que accedan a participar en la formación continua sobre cuestiones referentes a la legislación relativa a las agresiones sexuales y el contexto social. Ello garantizará que los jueces que conozcan de asuntos relacionados con agresiones sexuales tengan la formación necesaria para pronunciarse al respecto de forma justa y adecuada, sin dejarse influir por mitos y estereotipos.</w:t>
      </w:r>
    </w:p>
    <w:p w14:paraId="79E0445B" w14:textId="77777777" w:rsidR="00FA3F43" w:rsidRPr="007E0CEF" w:rsidRDefault="00FA3F43" w:rsidP="00BB0090">
      <w:pPr>
        <w:pStyle w:val="SingleTxt"/>
        <w:numPr>
          <w:ilvl w:val="0"/>
          <w:numId w:val="14"/>
        </w:numPr>
        <w:ind w:left="1267"/>
        <w:rPr>
          <w:lang w:val="es-ES_tradnl"/>
        </w:rPr>
      </w:pPr>
      <w:r w:rsidRPr="007E0CEF">
        <w:rPr>
          <w:lang w:val="es-ES_tradnl"/>
        </w:rPr>
        <w:lastRenderedPageBreak/>
        <w:t>En la isla del Príncipe Eduardo se proclamó en 2019 la Ley de Formación Obligatoria sobre la Legislación relativa a las Agresiones Sexuales, por la que se modifica la Ley de Tribunales Provinciales y que no tiene carácter independiente. De acuerdo con la Ley de Tribunales Provinciales, el Vicegobernador en Consejo puede nombrar como juez a una persona que haya accedido a cumplir con el plan de formación continua para jueces establecido por el Presidente del Tribunal, lo que incluye cualquier curso de formación continua sobre la legislación relativa a las agresiones sexuales. El concepto de formación sobre la legislación relativa a las agresiones sexuales que se contempla en dicha Ley abarca la instrucción respecto de las exclusiones probatorias, los principios del consentimiento, el desarrollo de los procesos por agresiones sexuales y los mitos y estereotipos vinculados a la parte demandante en este tipo de actuaciones.</w:t>
      </w:r>
    </w:p>
    <w:p w14:paraId="2BAB5158" w14:textId="77777777" w:rsidR="00FA3F43" w:rsidRPr="007E0CEF" w:rsidRDefault="00FA3F43" w:rsidP="00BB0090">
      <w:pPr>
        <w:pStyle w:val="SingleTxt"/>
        <w:numPr>
          <w:ilvl w:val="0"/>
          <w:numId w:val="15"/>
        </w:numPr>
        <w:ind w:left="1267"/>
        <w:rPr>
          <w:lang w:val="es-ES_tradnl"/>
        </w:rPr>
      </w:pPr>
      <w:r w:rsidRPr="007E0CEF">
        <w:rPr>
          <w:lang w:val="es-ES_tradnl"/>
        </w:rPr>
        <w:t>Durante el período 2019-2020, la Fiscalía General del Canadá ofertó una amplia gama de actividades de formación y creación de capacidad destinadas a los fiscales y sus correspondientes supervisores en materia de análisis basado en el género plus, discriminación, diversidad, inclusión y equidad. Además, dicho organismo se comprometió a revisar sus políticas de enjuiciamiento para que los factores contemplados en el análisis basado en el género plus se tuvieran en cuenta en las orientaciones y directrices de instrucción y guía de la labor de los fiscales federales.</w:t>
      </w:r>
    </w:p>
    <w:p w14:paraId="665C613A" w14:textId="77777777" w:rsidR="00FA3F43" w:rsidRPr="007E0CEF" w:rsidRDefault="00FA3F43" w:rsidP="00BB0090">
      <w:pPr>
        <w:pStyle w:val="SingleTxt"/>
        <w:numPr>
          <w:ilvl w:val="0"/>
          <w:numId w:val="16"/>
        </w:numPr>
        <w:ind w:left="1267"/>
        <w:rPr>
          <w:lang w:val="es-ES_tradnl"/>
        </w:rPr>
      </w:pPr>
      <w:r w:rsidRPr="007E0CEF">
        <w:rPr>
          <w:lang w:val="es-ES_tradnl"/>
        </w:rPr>
        <w:t>Durante el período que abarca el informe, los abogados del Gobierno federal también han tenido acceso a una serie de actividades de formación sobre el derecho internacional de los derechos humanos, incluida la Convención, así como sobre la legislación interna en materia de igualdad y no discriminación.</w:t>
      </w:r>
    </w:p>
    <w:p w14:paraId="010ADA1F" w14:textId="77777777" w:rsidR="00FA3F43" w:rsidRPr="007E0CEF" w:rsidRDefault="00FA3F43" w:rsidP="00BB0090">
      <w:pPr>
        <w:pStyle w:val="SingleTxt"/>
        <w:numPr>
          <w:ilvl w:val="0"/>
          <w:numId w:val="17"/>
        </w:numPr>
        <w:ind w:left="1267"/>
        <w:rPr>
          <w:lang w:val="es-ES_tradnl"/>
        </w:rPr>
      </w:pPr>
      <w:bookmarkStart w:id="1" w:name="lt_pId001"/>
      <w:r w:rsidRPr="007E0CEF">
        <w:rPr>
          <w:lang w:val="es-ES_tradnl"/>
        </w:rPr>
        <w:t>El establecimiento de programas de información, formación y desarrollo profesional destinados a los jueces del Tribunal de Quebec, los presidentes de los juzgados de paz y los jueces de tribunales municipales es tarea del Consejo de la Judicatura de Quebec. Para perseguir con más eficacia los delitos relacionados con la explotación sexual, cuyas principales víctimas son sobre todo mujeres y niñas, el gobierno de Quebec imparte cada año a sus fiscales penales y de vigilancia penitenciaria una formación especial sobre los aspectos distintivos de este tipo de delitos. Asimismo, Quebec ofrece a todos los fiscales recién nombrados una formación que incluye un apartado sobre violencia sexual y otro sobre violencia conyugal. También se proporciona formación especializada a los fiscales que trabajan con casos de estos dos tipos de violencia. A fin de que los fiscales puedan profundizar en el conocimiento de los delitos englobados en el amplio concepto de la violencia sexual, se ha distribuido una guía para tales profesionales con vocación de herramienta de referencia destinada a aquellos que se dedican a tratar este tipo de casos.</w:t>
      </w:r>
      <w:bookmarkEnd w:id="1"/>
    </w:p>
    <w:p w14:paraId="185E87E5" w14:textId="77777777" w:rsidR="00FA3F43" w:rsidRPr="007E0CEF" w:rsidRDefault="00FA3F43" w:rsidP="00BB0090">
      <w:pPr>
        <w:pStyle w:val="SingleTxt"/>
        <w:numPr>
          <w:ilvl w:val="0"/>
          <w:numId w:val="18"/>
        </w:numPr>
        <w:ind w:left="1267"/>
        <w:rPr>
          <w:lang w:val="es-ES_tradnl"/>
        </w:rPr>
      </w:pPr>
      <w:r w:rsidRPr="007E0CEF">
        <w:rPr>
          <w:lang w:val="es-ES_tradnl"/>
        </w:rPr>
        <w:t xml:space="preserve">Entre 2017 y 2021, la Fiscalía de la Corona de Alberta organizó una serie de cursos sobre el enjuiciamiento de la violencia sexual orientados al desarrollo de las aptitudes necesarias para enjuiciar casos que impliquen denuncias de violencia sexual de manera justa y eficaz. En dichos cursos se revisó, en general, la legislación que atañía a los casos de violencia sexual, centrándose en cuestiones específicas de derecho sustantivo, probatorias y de procedimiento. Destacados expertos de diversos campos, como el derecho, la medicina, la psicología y la ciencia, compartieron su experiencia en un esfuerzo por fomentar el desarrollo de las aptitudes necesarias para enjuiciar este tipo de casos con justicia y eficacia. En todos estos cursos se inculcó, como concepto transversal, la aplicación de un enfoque basado en el trauma sufrido. </w:t>
      </w:r>
    </w:p>
    <w:p w14:paraId="7D900B3E" w14:textId="70CC6869" w:rsidR="00FA3F43" w:rsidRPr="007E0CEF" w:rsidRDefault="00FA3F43" w:rsidP="00BB0090">
      <w:pPr>
        <w:pStyle w:val="SingleTxt"/>
        <w:numPr>
          <w:ilvl w:val="0"/>
          <w:numId w:val="19"/>
        </w:numPr>
        <w:ind w:left="1267"/>
        <w:rPr>
          <w:lang w:val="es-ES_tradnl"/>
        </w:rPr>
      </w:pPr>
      <w:r w:rsidRPr="007E0CEF">
        <w:rPr>
          <w:lang w:val="es-ES_tradnl"/>
        </w:rPr>
        <w:t xml:space="preserve">En junio de 2019, con ayuda de financiación federal, Columbia Británica puso en marcha el Plan de Estudios sobre Fundamentos de una Práctica Basada en el Trauma Sufrido para los Sectores Comunitarios de la Justicia, la Seguridad Pública y la Lucha contra la Violencia. Dicho Plan de Estudios ayuda al personal del sistema de </w:t>
      </w:r>
      <w:r w:rsidRPr="007E0CEF">
        <w:rPr>
          <w:lang w:val="es-ES_tradnl"/>
        </w:rPr>
        <w:lastRenderedPageBreak/>
        <w:t xml:space="preserve">justicia a entender mejor el impacto del trauma en las víctimas o supervivientes, a reducir el riesgo de una posible retraumatización y a evaluar sus propias prácticas y procesos de acuerdo con ello. </w:t>
      </w:r>
    </w:p>
    <w:p w14:paraId="6CCE768F" w14:textId="47A733E0" w:rsidR="006415A2" w:rsidRPr="007E0CEF" w:rsidRDefault="006415A2" w:rsidP="006415A2">
      <w:pPr>
        <w:pStyle w:val="SingleTxt"/>
        <w:spacing w:after="0" w:line="120" w:lineRule="exact"/>
        <w:rPr>
          <w:sz w:val="10"/>
          <w:lang w:val="es-ES_tradnl"/>
        </w:rPr>
      </w:pPr>
    </w:p>
    <w:p w14:paraId="747DEFD0" w14:textId="1E65FDCB" w:rsidR="006415A2" w:rsidRPr="007E0CEF" w:rsidRDefault="006415A2" w:rsidP="006415A2">
      <w:pPr>
        <w:pStyle w:val="SingleTxt"/>
        <w:spacing w:after="0" w:line="120" w:lineRule="exact"/>
        <w:rPr>
          <w:sz w:val="10"/>
          <w:lang w:val="es-ES_tradnl"/>
        </w:rPr>
      </w:pPr>
    </w:p>
    <w:p w14:paraId="1A0C57ED" w14:textId="4FAEA7ED" w:rsidR="00FA3F43" w:rsidRPr="007E0CEF" w:rsidRDefault="00FA3F43" w:rsidP="006415A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Pregunta 3: Aplicación de la Convención en el sistema federal</w:t>
      </w:r>
    </w:p>
    <w:p w14:paraId="7A6D1692" w14:textId="4607D952" w:rsidR="006415A2" w:rsidRPr="007E0CEF" w:rsidRDefault="006415A2" w:rsidP="006415A2">
      <w:pPr>
        <w:pStyle w:val="SingleTxt"/>
        <w:spacing w:after="0" w:line="120" w:lineRule="exact"/>
        <w:rPr>
          <w:sz w:val="10"/>
          <w:lang w:val="es-ES_tradnl"/>
        </w:rPr>
      </w:pPr>
    </w:p>
    <w:p w14:paraId="3629096A" w14:textId="42B10C2A" w:rsidR="006415A2" w:rsidRPr="007E0CEF" w:rsidRDefault="006415A2" w:rsidP="006415A2">
      <w:pPr>
        <w:pStyle w:val="SingleTxt"/>
        <w:spacing w:after="0" w:line="120" w:lineRule="exact"/>
        <w:rPr>
          <w:sz w:val="10"/>
          <w:lang w:val="es-ES_tradnl"/>
        </w:rPr>
      </w:pPr>
    </w:p>
    <w:p w14:paraId="6695EDD8" w14:textId="77777777" w:rsidR="00FA3F43" w:rsidRPr="007E0CEF" w:rsidRDefault="00FA3F43" w:rsidP="00BB0090">
      <w:pPr>
        <w:pStyle w:val="SingleTxt"/>
        <w:numPr>
          <w:ilvl w:val="0"/>
          <w:numId w:val="20"/>
        </w:numPr>
        <w:ind w:left="1267"/>
        <w:rPr>
          <w:lang w:val="es-ES_tradnl"/>
        </w:rPr>
      </w:pPr>
      <w:bookmarkStart w:id="2" w:name="lt_pId004"/>
      <w:r w:rsidRPr="007E0CEF">
        <w:rPr>
          <w:lang w:val="es-ES_tradnl"/>
        </w:rPr>
        <w:t>El logro de la igualdad de género y el cumplimiento de las obligaciones adquiridas en virtud de la Convención no son exclusivamente responsabilidad del Gobierno federal. Dadas las características del federalismo canadiense y la jurisdicción de cada provincia y territorio, el Gobierno federal y los gobiernos provinciales y territoriales son responsables de planificar, organizar y gestionar sus programas y políticas relativos a la igualdad de género dentro de sus respectivos ámbitos de competencia legislativa.</w:t>
      </w:r>
      <w:bookmarkStart w:id="3" w:name="lt_pId005"/>
      <w:bookmarkEnd w:id="2"/>
      <w:bookmarkEnd w:id="3"/>
    </w:p>
    <w:p w14:paraId="20D27400" w14:textId="77777777" w:rsidR="00FA3F43" w:rsidRPr="007E0CEF" w:rsidRDefault="00FA3F43" w:rsidP="00BB0090">
      <w:pPr>
        <w:pStyle w:val="SingleTxt"/>
        <w:numPr>
          <w:ilvl w:val="0"/>
          <w:numId w:val="20"/>
        </w:numPr>
        <w:ind w:left="1267"/>
        <w:rPr>
          <w:lang w:val="es-ES_tradnl"/>
        </w:rPr>
      </w:pPr>
      <w:r w:rsidRPr="007E0CEF">
        <w:rPr>
          <w:lang w:val="es-ES_tradnl"/>
        </w:rPr>
        <w:t>Existen tres mesas creadas por el Gobierno federal y los gobiernos provinciales y territoriales que actúan como foros de debate sobre la elaboración y aplicación de los instrumentos internacionales de derechos humanos y la adhesión a estos:</w:t>
      </w:r>
    </w:p>
    <w:p w14:paraId="44B8F97E" w14:textId="4E1AA1C2" w:rsidR="00FA3F43" w:rsidRPr="007E0CEF" w:rsidRDefault="006415A2" w:rsidP="006415A2">
      <w:pPr>
        <w:pStyle w:val="Bullet1G"/>
        <w:tabs>
          <w:tab w:val="num" w:pos="1701"/>
        </w:tabs>
        <w:ind w:left="1701" w:hanging="170"/>
        <w:rPr>
          <w:kern w:val="14"/>
          <w:lang w:val="es-ES_tradnl"/>
        </w:rPr>
      </w:pPr>
      <w:r w:rsidRPr="007E0CEF">
        <w:rPr>
          <w:kern w:val="14"/>
          <w:lang w:val="es-ES_tradnl"/>
        </w:rPr>
        <w:t>•</w:t>
      </w:r>
      <w:r w:rsidRPr="007E0CEF">
        <w:rPr>
          <w:kern w:val="14"/>
          <w:lang w:val="es-ES_tradnl"/>
        </w:rPr>
        <w:tab/>
      </w:r>
      <w:r w:rsidR="00FA3F43" w:rsidRPr="007E0CEF">
        <w:rPr>
          <w:kern w:val="14"/>
          <w:lang w:val="es-ES_tradnl"/>
        </w:rPr>
        <w:t xml:space="preserve">El Comité Permanente de Funcionarios de Derechos Humanos, creado en 1975 y formado por representantes del Gobierno federal y los gobiernos provinciales y territoriales, que se reúne todos los meses; </w:t>
      </w:r>
    </w:p>
    <w:p w14:paraId="07483A48" w14:textId="4B15F1A2" w:rsidR="00FA3F43" w:rsidRPr="007E0CEF" w:rsidRDefault="006415A2" w:rsidP="006415A2">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El Comité de Altos Funcionarios Responsable en materia de Derechos Humanos, creado en 2017 y constituido por miembros del Gobierno federal y los gobiernos provinciales y territoriales, el cual se encarga de promover la colaboración entre los funcionarios de alto nivel de tales instancias gubernamentales en el ámbito de los derechos humanos y se reúne al menos cada 4 meses;</w:t>
      </w:r>
    </w:p>
    <w:p w14:paraId="78F09805" w14:textId="73A48D47" w:rsidR="00FA3F43" w:rsidRPr="007E0CEF" w:rsidRDefault="006415A2" w:rsidP="006415A2">
      <w:pPr>
        <w:pStyle w:val="Bullet1G"/>
        <w:tabs>
          <w:tab w:val="num" w:pos="1701"/>
        </w:tabs>
        <w:ind w:left="1701" w:hanging="170"/>
        <w:rPr>
          <w:kern w:val="14"/>
          <w:lang w:val="es-ES_tradnl"/>
        </w:rPr>
      </w:pPr>
      <w:r w:rsidRPr="007E0CEF">
        <w:rPr>
          <w:kern w:val="14"/>
          <w:lang w:val="es-ES_tradnl"/>
        </w:rPr>
        <w:t>•</w:t>
      </w:r>
      <w:r w:rsidRPr="007E0CEF">
        <w:rPr>
          <w:kern w:val="14"/>
          <w:lang w:val="es-ES_tradnl"/>
        </w:rPr>
        <w:tab/>
      </w:r>
      <w:r w:rsidR="00FA3F43" w:rsidRPr="007E0CEF">
        <w:rPr>
          <w:kern w:val="14"/>
          <w:lang w:val="es-ES_tradnl"/>
        </w:rPr>
        <w:t xml:space="preserve">El </w:t>
      </w:r>
      <w:r w:rsidR="00FA3F43" w:rsidRPr="007E0CEF">
        <w:rPr>
          <w:lang w:val="es-ES_tradnl"/>
        </w:rPr>
        <w:t>Foro</w:t>
      </w:r>
      <w:r w:rsidR="00FA3F43" w:rsidRPr="007E0CEF">
        <w:rPr>
          <w:kern w:val="14"/>
          <w:lang w:val="es-ES_tradnl"/>
        </w:rPr>
        <w:t xml:space="preserve"> de Ministros sobre Derechos Humanos, creado en 2020, que se reunirá cada dos años para intercambiar información y debatir asuntos relacionados con las obligaciones internacionales del Canadá en materia de derechos humanos.</w:t>
      </w:r>
    </w:p>
    <w:p w14:paraId="4104FD0A" w14:textId="69073EB8" w:rsidR="00FA3F43" w:rsidRPr="007E0CEF" w:rsidRDefault="00FA3F43" w:rsidP="00BB0090">
      <w:pPr>
        <w:pStyle w:val="SingleTxt"/>
        <w:numPr>
          <w:ilvl w:val="0"/>
          <w:numId w:val="21"/>
        </w:numPr>
        <w:ind w:left="1267"/>
        <w:rPr>
          <w:lang w:val="es-ES_tradnl"/>
        </w:rPr>
      </w:pPr>
      <w:r w:rsidRPr="007E0CEF">
        <w:rPr>
          <w:lang w:val="es-ES_tradnl"/>
        </w:rPr>
        <w:t xml:space="preserve">Asimismo, cabe señalar la existencia del Foro de Ministras Responsables de la Condición de la Mujer constituido por miembros del Gobierno federal y los gobiernos provinciales y territoriales, que constituye otra plataforma útil para debatir las iniciativas, las prioridades, las mejores prácticas y los retos relacionados con la igualdad de género, lo que incluye la aportación de información actualizada sobre las actuaciones internacionales. Este Foro basado en el consenso se reúne anualmente y está copresidido por el Departamento de la Mujer y la Igualdad de Género en el plano federal y un Ministro Responsable de la Condición de la Mujer a nivel provincial o territorial.  </w:t>
      </w:r>
    </w:p>
    <w:p w14:paraId="55FE002B" w14:textId="0C595DF9" w:rsidR="006415A2" w:rsidRPr="007E0CEF" w:rsidRDefault="006415A2" w:rsidP="006415A2">
      <w:pPr>
        <w:pStyle w:val="SingleTxt"/>
        <w:spacing w:after="0" w:line="120" w:lineRule="exact"/>
        <w:rPr>
          <w:sz w:val="10"/>
          <w:lang w:val="es-ES_tradnl"/>
        </w:rPr>
      </w:pPr>
    </w:p>
    <w:p w14:paraId="5B76BF98" w14:textId="75A11583" w:rsidR="006415A2" w:rsidRPr="007E0CEF" w:rsidRDefault="006415A2" w:rsidP="006415A2">
      <w:pPr>
        <w:pStyle w:val="SingleTxt"/>
        <w:spacing w:after="0" w:line="120" w:lineRule="exact"/>
        <w:rPr>
          <w:sz w:val="10"/>
          <w:lang w:val="es-ES_tradnl"/>
        </w:rPr>
      </w:pPr>
    </w:p>
    <w:p w14:paraId="776C40F8" w14:textId="77777777" w:rsidR="00FA3F43" w:rsidRPr="007E0CEF" w:rsidRDefault="00FA3F43" w:rsidP="006415A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Pregunta 4: Marco constitucional, legislativo e institucional</w:t>
      </w:r>
    </w:p>
    <w:p w14:paraId="7A52E701" w14:textId="77777777" w:rsidR="006415A2" w:rsidRPr="007E0CEF" w:rsidRDefault="006415A2" w:rsidP="006415A2">
      <w:pPr>
        <w:pStyle w:val="SingleTxt"/>
        <w:spacing w:after="0" w:line="120" w:lineRule="exact"/>
        <w:rPr>
          <w:b/>
          <w:sz w:val="10"/>
          <w:lang w:val="es-ES_tradnl"/>
        </w:rPr>
      </w:pPr>
    </w:p>
    <w:p w14:paraId="7BF8F05E" w14:textId="77777777" w:rsidR="006415A2" w:rsidRPr="007E0CEF" w:rsidRDefault="006415A2" w:rsidP="006415A2">
      <w:pPr>
        <w:pStyle w:val="SingleTxt"/>
        <w:spacing w:after="0" w:line="120" w:lineRule="exact"/>
        <w:rPr>
          <w:b/>
          <w:sz w:val="10"/>
          <w:lang w:val="es-ES_tradnl"/>
        </w:rPr>
      </w:pPr>
    </w:p>
    <w:p w14:paraId="0F057038" w14:textId="182A38F1" w:rsidR="00FA3F43" w:rsidRPr="007E0CEF" w:rsidRDefault="00FA3F43" w:rsidP="0064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Aplicación de la Convención</w:t>
      </w:r>
    </w:p>
    <w:p w14:paraId="26D73385" w14:textId="28E0311C" w:rsidR="006415A2" w:rsidRPr="007E0CEF" w:rsidRDefault="006415A2" w:rsidP="006415A2">
      <w:pPr>
        <w:pStyle w:val="SingleTxt"/>
        <w:spacing w:after="0" w:line="120" w:lineRule="exact"/>
        <w:rPr>
          <w:sz w:val="10"/>
          <w:lang w:val="es-ES_tradnl"/>
        </w:rPr>
      </w:pPr>
    </w:p>
    <w:p w14:paraId="3BC8D710" w14:textId="22EF5D20" w:rsidR="006415A2" w:rsidRPr="007E0CEF" w:rsidRDefault="006415A2" w:rsidP="006415A2">
      <w:pPr>
        <w:pStyle w:val="SingleTxt"/>
        <w:spacing w:after="0" w:line="120" w:lineRule="exact"/>
        <w:rPr>
          <w:sz w:val="10"/>
          <w:lang w:val="es-ES_tradnl"/>
        </w:rPr>
      </w:pPr>
    </w:p>
    <w:p w14:paraId="5EAECD36" w14:textId="77777777" w:rsidR="00FA3F43" w:rsidRPr="007E0CEF" w:rsidRDefault="00FA3F43" w:rsidP="00BB0090">
      <w:pPr>
        <w:pStyle w:val="SingleTxt"/>
        <w:numPr>
          <w:ilvl w:val="0"/>
          <w:numId w:val="22"/>
        </w:numPr>
        <w:ind w:left="1267"/>
        <w:rPr>
          <w:lang w:val="es-ES_tradnl"/>
        </w:rPr>
      </w:pPr>
      <w:r w:rsidRPr="007E0CEF">
        <w:rPr>
          <w:lang w:val="es-ES_tradnl"/>
        </w:rPr>
        <w:t>La Convención se aplica a través de una serie de mecanismos de protección constitucionales y legales, así como de medidas legislativas, administrativas y de diversa índole, a saber:</w:t>
      </w:r>
    </w:p>
    <w:p w14:paraId="73038BA6" w14:textId="3A00D7E8" w:rsidR="00FA3F43" w:rsidRPr="007E0CEF" w:rsidRDefault="006415A2" w:rsidP="006415A2">
      <w:pPr>
        <w:pStyle w:val="Bullet1G"/>
        <w:tabs>
          <w:tab w:val="num" w:pos="1701"/>
        </w:tabs>
        <w:ind w:left="1701" w:hanging="170"/>
        <w:rPr>
          <w:kern w:val="14"/>
          <w:lang w:val="es-ES_tradnl"/>
        </w:rPr>
      </w:pPr>
      <w:r w:rsidRPr="007E0CEF">
        <w:rPr>
          <w:kern w:val="14"/>
          <w:lang w:val="es-ES_tradnl"/>
        </w:rPr>
        <w:t>•</w:t>
      </w:r>
      <w:r w:rsidRPr="007E0CEF">
        <w:rPr>
          <w:kern w:val="14"/>
          <w:lang w:val="es-ES_tradnl"/>
        </w:rPr>
        <w:tab/>
      </w:r>
      <w:r w:rsidR="00FA3F43" w:rsidRPr="007E0CEF">
        <w:rPr>
          <w:kern w:val="14"/>
          <w:lang w:val="es-ES_tradnl"/>
        </w:rPr>
        <w:t>La Carta de Derechos y Libertades del Canadá, que forma parte de la Constitución, es aplicable a cualquier actuación gubernamental y garantiza a todas las personas las libertades y derechos fundamentales, entre ellos, el derecho a la igualdad y a la no discriminación por razón de sexo y género;</w:t>
      </w:r>
    </w:p>
    <w:p w14:paraId="6A1142E2" w14:textId="1CCBBEBE" w:rsidR="00FA3F43" w:rsidRPr="007E0CEF" w:rsidRDefault="006415A2" w:rsidP="006415A2">
      <w:pPr>
        <w:pStyle w:val="Bullet1G"/>
        <w:tabs>
          <w:tab w:val="num" w:pos="1701"/>
        </w:tabs>
        <w:ind w:left="1701" w:hanging="170"/>
        <w:rPr>
          <w:kern w:val="14"/>
          <w:lang w:val="es-ES_tradnl"/>
        </w:rPr>
      </w:pPr>
      <w:r w:rsidRPr="007E0CEF">
        <w:rPr>
          <w:kern w:val="14"/>
          <w:lang w:val="es-ES_tradnl"/>
        </w:rPr>
        <w:lastRenderedPageBreak/>
        <w:t>•</w:t>
      </w:r>
      <w:r w:rsidRPr="007E0CEF">
        <w:rPr>
          <w:kern w:val="14"/>
          <w:lang w:val="es-ES_tradnl"/>
        </w:rPr>
        <w:tab/>
      </w:r>
      <w:r w:rsidR="00FA3F43" w:rsidRPr="007E0CEF">
        <w:rPr>
          <w:kern w:val="14"/>
          <w:lang w:val="es-ES_tradnl"/>
        </w:rPr>
        <w:t>La Declaración de Derechos del Canadá, que es aplicable a la legislación federal y salvaguarda las libertades fundamentales, los derechos y la igualdad ante la ley;</w:t>
      </w:r>
    </w:p>
    <w:p w14:paraId="333FC160" w14:textId="4D95AF11" w:rsidR="00FA3F43" w:rsidRPr="007E0CEF" w:rsidRDefault="006415A2" w:rsidP="006415A2">
      <w:pPr>
        <w:pStyle w:val="Bullet1G"/>
        <w:tabs>
          <w:tab w:val="num" w:pos="1701"/>
        </w:tabs>
        <w:ind w:left="1701" w:hanging="170"/>
        <w:rPr>
          <w:kern w:val="14"/>
          <w:lang w:val="es-ES_tradnl"/>
        </w:rPr>
      </w:pPr>
      <w:r w:rsidRPr="007E0CEF">
        <w:rPr>
          <w:kern w:val="14"/>
          <w:lang w:val="es-ES_tradnl"/>
        </w:rPr>
        <w:t>•</w:t>
      </w:r>
      <w:r w:rsidRPr="007E0CEF">
        <w:rPr>
          <w:kern w:val="14"/>
          <w:lang w:val="es-ES_tradnl"/>
        </w:rPr>
        <w:tab/>
      </w:r>
      <w:r w:rsidR="00FA3F43" w:rsidRPr="007E0CEF">
        <w:rPr>
          <w:kern w:val="14"/>
          <w:lang w:val="es-ES_tradnl"/>
        </w:rPr>
        <w:t xml:space="preserve">La legislación sobre derechos humanos del Gobierno federal y los gobiernos provinciales y territoriales, que es aplicable a los sectores público y privado y prohíbe la discriminación por motivos de sexo y género en lo que respecta al empleo, así como al suministro de bienes, servicios e instalaciones disponibles habitualmente para el público y el alojamiento de personas; </w:t>
      </w:r>
    </w:p>
    <w:p w14:paraId="2FEA6195" w14:textId="63BAB20B" w:rsidR="00FA3F43" w:rsidRPr="007E0CEF" w:rsidRDefault="006415A2" w:rsidP="006415A2">
      <w:pPr>
        <w:pStyle w:val="Bullet1G"/>
        <w:tabs>
          <w:tab w:val="num" w:pos="1701"/>
        </w:tabs>
        <w:ind w:left="1701" w:hanging="170"/>
        <w:rPr>
          <w:kern w:val="14"/>
          <w:lang w:val="es-ES_tradnl"/>
        </w:rPr>
      </w:pPr>
      <w:r w:rsidRPr="007E0CEF">
        <w:rPr>
          <w:kern w:val="14"/>
          <w:lang w:val="es-ES_tradnl"/>
        </w:rPr>
        <w:t>•</w:t>
      </w:r>
      <w:r w:rsidRPr="007E0CEF">
        <w:rPr>
          <w:kern w:val="14"/>
          <w:lang w:val="es-ES_tradnl"/>
        </w:rPr>
        <w:tab/>
      </w:r>
      <w:r w:rsidR="00FA3F43" w:rsidRPr="007E0CEF">
        <w:rPr>
          <w:kern w:val="14"/>
          <w:lang w:val="es-ES_tradnl"/>
        </w:rPr>
        <w:t xml:space="preserve">Las leyes, políticas y programas específicos del Gobierno federal y los gobiernos provinciales y territoriales que regulan las esferas que afectan a las mujeres. </w:t>
      </w:r>
    </w:p>
    <w:p w14:paraId="4DAE6593" w14:textId="1356A270" w:rsidR="00FA3F43" w:rsidRPr="007E0CEF" w:rsidRDefault="00FA3F43" w:rsidP="00BB0090">
      <w:pPr>
        <w:pStyle w:val="SingleTxt"/>
        <w:numPr>
          <w:ilvl w:val="0"/>
          <w:numId w:val="22"/>
        </w:numPr>
        <w:ind w:left="1267"/>
        <w:rPr>
          <w:lang w:val="es-ES_tradnl"/>
        </w:rPr>
      </w:pPr>
      <w:r w:rsidRPr="007E0CEF">
        <w:rPr>
          <w:lang w:val="es-ES_tradnl"/>
        </w:rPr>
        <w:t xml:space="preserve">La información relativa a la consideración judicial de las obligaciones internacionales del Canadá puede consultarse en los párrafos 141 a 143 del Documento Básico Común del Canadá. </w:t>
      </w:r>
    </w:p>
    <w:p w14:paraId="7DA2697E" w14:textId="5AB5F990" w:rsidR="006415A2" w:rsidRPr="007E0CEF" w:rsidRDefault="006415A2" w:rsidP="006415A2">
      <w:pPr>
        <w:pStyle w:val="SingleTxt"/>
        <w:spacing w:after="0" w:line="120" w:lineRule="exact"/>
        <w:rPr>
          <w:sz w:val="10"/>
          <w:lang w:val="es-ES_tradnl"/>
        </w:rPr>
      </w:pPr>
    </w:p>
    <w:p w14:paraId="1233EDA5" w14:textId="6D308EBB" w:rsidR="006415A2" w:rsidRPr="007E0CEF" w:rsidRDefault="006415A2" w:rsidP="006415A2">
      <w:pPr>
        <w:pStyle w:val="SingleTxt"/>
        <w:spacing w:after="0" w:line="120" w:lineRule="exact"/>
        <w:rPr>
          <w:sz w:val="10"/>
          <w:lang w:val="es-ES_tradnl"/>
        </w:rPr>
      </w:pPr>
    </w:p>
    <w:p w14:paraId="367B8714" w14:textId="1587FFD4" w:rsidR="00FA3F43" w:rsidRPr="007E0CEF" w:rsidRDefault="00FA3F43" w:rsidP="0064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Ley sobre la Población India</w:t>
      </w:r>
    </w:p>
    <w:p w14:paraId="1D6E1A25" w14:textId="23EDC4C6" w:rsidR="006415A2" w:rsidRPr="007E0CEF" w:rsidRDefault="006415A2" w:rsidP="006415A2">
      <w:pPr>
        <w:pStyle w:val="SingleTxt"/>
        <w:spacing w:after="0" w:line="120" w:lineRule="exact"/>
        <w:rPr>
          <w:sz w:val="10"/>
          <w:lang w:val="es-ES_tradnl"/>
        </w:rPr>
      </w:pPr>
    </w:p>
    <w:p w14:paraId="73A2B6C5" w14:textId="444A9169" w:rsidR="006415A2" w:rsidRPr="007E0CEF" w:rsidRDefault="006415A2" w:rsidP="006415A2">
      <w:pPr>
        <w:pStyle w:val="SingleTxt"/>
        <w:spacing w:after="0" w:line="120" w:lineRule="exact"/>
        <w:rPr>
          <w:sz w:val="10"/>
          <w:lang w:val="es-ES_tradnl"/>
        </w:rPr>
      </w:pPr>
    </w:p>
    <w:p w14:paraId="3BF9D977" w14:textId="77777777" w:rsidR="00FA3F43" w:rsidRPr="007E0CEF" w:rsidRDefault="00FA3F43" w:rsidP="00BB0090">
      <w:pPr>
        <w:pStyle w:val="SingleTxt"/>
        <w:numPr>
          <w:ilvl w:val="0"/>
          <w:numId w:val="23"/>
        </w:numPr>
        <w:ind w:left="1267"/>
        <w:rPr>
          <w:lang w:val="es-ES_tradnl"/>
        </w:rPr>
      </w:pPr>
      <w:r w:rsidRPr="007E0CEF">
        <w:rPr>
          <w:lang w:val="es-ES_tradnl"/>
        </w:rPr>
        <w:t xml:space="preserve">En 2017 entró parcialmente en vigor la Ley del Gobierno del Canadá por la que se modifica la Ley sobre la Población India, en respuesta a la decisión del Tribunal Superior de Quebec en la causa </w:t>
      </w:r>
      <w:r w:rsidRPr="007E0CEF">
        <w:rPr>
          <w:i/>
          <w:iCs/>
          <w:lang w:val="es-ES_tradnl"/>
        </w:rPr>
        <w:t>Descheneaux c. Canada (Procureur général)</w:t>
      </w:r>
      <w:r w:rsidRPr="007E0CEF">
        <w:rPr>
          <w:lang w:val="es-ES_tradnl"/>
        </w:rPr>
        <w:t xml:space="preserve"> (proyecto de ley S-3), en la que se abordan algunas desigualdades por razón de sexo pendientes en las disposiciones relativas a la inscripción registral de la Ley sobre la Población India. A raíz del amplio compromiso adquirido a nivel nacional con las Primeras Naciones entre 2018 y 2019 respecto a la Ley sobre la Población India, en 2019 entró en vigor la eliminación de la fecha de corte de 1951, con la consiguiente eliminación de todas las desigualdades conocidas por razón de sexo en el proceso de inscripción registral. La plena entrada en vigor del proyecto de ley S-3 responde a las inquietudes planteadas desde hace tiempo por los pueblos y las organizaciones de las Primeras Naciones, el Comité de Derechos Humanos de las Naciones Unidas, la Comisión Nacional de Investigación sobre las Mujeres y las Niñas Indígenas Desaparecidas o Asesinadas y otras partes interesadas fundamentales.</w:t>
      </w:r>
    </w:p>
    <w:p w14:paraId="7B1883D7" w14:textId="77777777" w:rsidR="00FA3F43" w:rsidRPr="007E0CEF" w:rsidRDefault="00FA3F43" w:rsidP="00BB0090">
      <w:pPr>
        <w:pStyle w:val="SingleTxt"/>
        <w:numPr>
          <w:ilvl w:val="0"/>
          <w:numId w:val="23"/>
        </w:numPr>
        <w:ind w:left="1267"/>
        <w:rPr>
          <w:lang w:val="es-ES_tradnl"/>
        </w:rPr>
      </w:pPr>
      <w:r w:rsidRPr="007E0CEF">
        <w:rPr>
          <w:lang w:val="es-ES_tradnl"/>
        </w:rPr>
        <w:t xml:space="preserve">Tal y como exigía la legislación, el 11 de diciembre de 2020 se presentó en la Cámara de los Comunes el informe final al Parlamento sobre la revisión del proyecto de ley S-3, en el que se resume la aplicación de las disposiciones promulgadas por el mencionado proyecto de ley y se establece la eliminación de las desigualdades por razón de sexo en las disposiciones relativas a la inscripción registral de la Ley sobre la Población India. </w:t>
      </w:r>
    </w:p>
    <w:p w14:paraId="7686D899" w14:textId="77777777" w:rsidR="00FA3F43" w:rsidRPr="007E0CEF" w:rsidRDefault="00FA3F43" w:rsidP="00BB0090">
      <w:pPr>
        <w:pStyle w:val="SingleTxt"/>
        <w:numPr>
          <w:ilvl w:val="0"/>
          <w:numId w:val="25"/>
        </w:numPr>
        <w:ind w:left="1267"/>
        <w:rPr>
          <w:lang w:val="es-ES_tradnl"/>
        </w:rPr>
      </w:pPr>
      <w:r w:rsidRPr="007E0CEF">
        <w:rPr>
          <w:lang w:val="es-ES_tradnl"/>
        </w:rPr>
        <w:t>El Gobierno del Canadá admite la existencia de efectos residuales de la legislación anterior por razón de sexo, así como la persistencia de desigualdades que continúan afectando a la inscripción registral, en particular por lo que se refiere al denominado “corte de segunda generación”, la certificación y el reconocimiento de derechos, por lo que sigue trabajando para hacer frente a este tipo de consecuencias.</w:t>
      </w:r>
    </w:p>
    <w:p w14:paraId="2E304B69" w14:textId="77777777" w:rsidR="00FA3F43" w:rsidRPr="007E0CEF" w:rsidRDefault="00FA3F43" w:rsidP="00BB0090">
      <w:pPr>
        <w:pStyle w:val="SingleTxt"/>
        <w:numPr>
          <w:ilvl w:val="0"/>
          <w:numId w:val="24"/>
        </w:numPr>
        <w:ind w:left="1267"/>
        <w:rPr>
          <w:lang w:val="es-ES_tradnl"/>
        </w:rPr>
      </w:pPr>
      <w:bookmarkStart w:id="4" w:name="_Hlk102978874"/>
      <w:r w:rsidRPr="007E0CEF">
        <w:rPr>
          <w:lang w:val="es-ES_tradnl"/>
        </w:rPr>
        <w:t xml:space="preserve">Desde 2017, el Gobierno del Canadá ha estado invirtiendo constantemente en soluciones de política e iniciativas de eficiencia técnica y modernización digital, como la creación de la aplicación para teléfonos inteligentes del Certificado Seguro de Indígena de Estatuto Legal (aplicación de fotos). El Gobierno del Canadá ha destinado parte del personal específicamente a tramitar los expedientes relacionados con el proyecto de ley S-3 y ha aumentado la eficiencia de dicha tramitación mediante un proyecto de reajuste del volumen de trabajo. </w:t>
      </w:r>
    </w:p>
    <w:p w14:paraId="0DC9CF4B" w14:textId="77777777" w:rsidR="00FA3F43" w:rsidRPr="007E0CEF" w:rsidRDefault="00FA3F43" w:rsidP="00BB0090">
      <w:pPr>
        <w:pStyle w:val="SingleTxt"/>
        <w:numPr>
          <w:ilvl w:val="0"/>
          <w:numId w:val="26"/>
        </w:numPr>
        <w:ind w:left="1267"/>
        <w:rPr>
          <w:lang w:val="es-ES_tradnl"/>
        </w:rPr>
      </w:pPr>
      <w:bookmarkStart w:id="5" w:name="_Hlk102979230"/>
      <w:bookmarkEnd w:id="4"/>
      <w:r w:rsidRPr="007E0CEF">
        <w:rPr>
          <w:lang w:val="es-ES_tradnl"/>
        </w:rPr>
        <w:t>A fecha de diciembre de 2021, las inversiones encaminadas a reducir los tiempos de espera de los solicitantes afectados por el proyecto de ley S-3 habían permitido que las Unidades de Tramitación tramitaran una media de 1.800 expedientes al mes, frente a los 934 expedientes mensuales tramitados en abril de 2021.</w:t>
      </w:r>
      <w:bookmarkEnd w:id="5"/>
    </w:p>
    <w:p w14:paraId="1222230D" w14:textId="77777777" w:rsidR="00FA3F43" w:rsidRPr="007E0CEF" w:rsidRDefault="00FA3F43" w:rsidP="00BB0090">
      <w:pPr>
        <w:pStyle w:val="SingleTxt"/>
        <w:numPr>
          <w:ilvl w:val="0"/>
          <w:numId w:val="27"/>
        </w:numPr>
        <w:ind w:left="1267"/>
        <w:rPr>
          <w:lang w:val="es-ES_tradnl"/>
        </w:rPr>
      </w:pPr>
      <w:bookmarkStart w:id="6" w:name="_Hlk102979273"/>
      <w:r w:rsidRPr="007E0CEF">
        <w:rPr>
          <w:lang w:val="es-ES_tradnl"/>
        </w:rPr>
        <w:lastRenderedPageBreak/>
        <w:t>A raíz de la entrada en vigor del proyecto de ley S-3, el Gobierno del Canadá destinó 19 millones de dólares en 2018 a respaldar su aplicación. Asimismo, se aportaron fondos adicionales en apoyo de los programas afectados por el incremento del número de personas con nuevos derechos adquiridos en virtud de la Ley sobre la Población India. El Gobierno del Canadá destinó otros 21,2 millones de dólares en 2019 a respaldar la tramitación de expedientes, la participación de las partes interesadas y el seguimiento de las correspondientes repercusiones.</w:t>
      </w:r>
    </w:p>
    <w:bookmarkEnd w:id="6"/>
    <w:p w14:paraId="42A7630B" w14:textId="77777777" w:rsidR="00FA3F43" w:rsidRPr="007E0CEF" w:rsidRDefault="00FA3F43" w:rsidP="00BB0090">
      <w:pPr>
        <w:pStyle w:val="SingleTxt"/>
        <w:numPr>
          <w:ilvl w:val="0"/>
          <w:numId w:val="28"/>
        </w:numPr>
        <w:ind w:left="1267"/>
        <w:rPr>
          <w:lang w:val="es-ES_tradnl"/>
        </w:rPr>
      </w:pPr>
      <w:r w:rsidRPr="007E0CEF">
        <w:rPr>
          <w:lang w:val="es-ES_tradnl"/>
        </w:rPr>
        <w:t xml:space="preserve">Constantemente se fomenta la participación y divulgación entre los miembros de las Primeras Naciones y los asociados indígenas con respecto al seguimiento de las repercusiones de la aplicación del proyecto de ley S-3 y a la persistencia de desigualdades en la inscripción registral en virtud de la Ley sobre la Población India. </w:t>
      </w:r>
    </w:p>
    <w:p w14:paraId="2A8F751D" w14:textId="518E3C28" w:rsidR="00FA3F43" w:rsidRPr="007E0CEF" w:rsidRDefault="00FA3F43" w:rsidP="00BB0090">
      <w:pPr>
        <w:pStyle w:val="SingleTxt"/>
        <w:numPr>
          <w:ilvl w:val="0"/>
          <w:numId w:val="29"/>
        </w:numPr>
        <w:ind w:left="1267"/>
        <w:rPr>
          <w:lang w:val="es-ES_tradnl"/>
        </w:rPr>
      </w:pPr>
      <w:r w:rsidRPr="007E0CEF">
        <w:rPr>
          <w:lang w:val="es-ES_tradnl"/>
        </w:rPr>
        <w:t xml:space="preserve">El Gobierno del Canadá admite el impacto de las discriminaciones por razón de sexo llevadas a cabo anteriormente en el proceso de inscripción registral de las mujeres de las Primeras Naciones y sus descendientes. No obstante, en la actualidad no se contemplan medidas de reparación. </w:t>
      </w:r>
    </w:p>
    <w:p w14:paraId="58A69E13" w14:textId="0B0B2D0D" w:rsidR="006415A2" w:rsidRPr="007E0CEF" w:rsidRDefault="006415A2" w:rsidP="006415A2">
      <w:pPr>
        <w:pStyle w:val="SingleTxt"/>
        <w:spacing w:after="0" w:line="120" w:lineRule="exact"/>
        <w:rPr>
          <w:sz w:val="10"/>
          <w:lang w:val="es-ES_tradnl"/>
        </w:rPr>
      </w:pPr>
    </w:p>
    <w:p w14:paraId="46CBFFA6" w14:textId="1B1B586D" w:rsidR="006415A2" w:rsidRPr="007E0CEF" w:rsidRDefault="006415A2" w:rsidP="006415A2">
      <w:pPr>
        <w:pStyle w:val="SingleTxt"/>
        <w:spacing w:after="0" w:line="120" w:lineRule="exact"/>
        <w:rPr>
          <w:sz w:val="10"/>
          <w:lang w:val="es-ES_tradnl"/>
        </w:rPr>
      </w:pPr>
    </w:p>
    <w:p w14:paraId="5C8CA463" w14:textId="77777777" w:rsidR="00FA3F43" w:rsidRPr="007E0CEF" w:rsidRDefault="00FA3F43" w:rsidP="006415A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Preguntas 5 y 6: Acceso a la justicia</w:t>
      </w:r>
    </w:p>
    <w:p w14:paraId="7032388C" w14:textId="77777777" w:rsidR="006415A2" w:rsidRPr="007E0CEF" w:rsidRDefault="006415A2" w:rsidP="006415A2">
      <w:pPr>
        <w:pStyle w:val="SingleTxt"/>
        <w:spacing w:after="0" w:line="120" w:lineRule="exact"/>
        <w:rPr>
          <w:b/>
          <w:sz w:val="10"/>
          <w:lang w:val="es-ES_tradnl"/>
        </w:rPr>
      </w:pPr>
    </w:p>
    <w:p w14:paraId="74865D86" w14:textId="77777777" w:rsidR="006415A2" w:rsidRPr="007E0CEF" w:rsidRDefault="006415A2" w:rsidP="006415A2">
      <w:pPr>
        <w:pStyle w:val="SingleTxt"/>
        <w:spacing w:after="0" w:line="120" w:lineRule="exact"/>
        <w:rPr>
          <w:b/>
          <w:sz w:val="10"/>
          <w:lang w:val="es-ES_tradnl"/>
        </w:rPr>
      </w:pPr>
    </w:p>
    <w:p w14:paraId="1A8B556A" w14:textId="61BEC36E" w:rsidR="00FA3F43" w:rsidRPr="007E0CEF" w:rsidRDefault="00FA3F43" w:rsidP="0064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Acceso a la asistencia jurídica</w:t>
      </w:r>
    </w:p>
    <w:p w14:paraId="6E5C4693" w14:textId="650C59A8" w:rsidR="006415A2" w:rsidRPr="007E0CEF" w:rsidRDefault="006415A2" w:rsidP="006415A2">
      <w:pPr>
        <w:pStyle w:val="SingleTxt"/>
        <w:spacing w:after="0" w:line="120" w:lineRule="exact"/>
        <w:rPr>
          <w:sz w:val="10"/>
          <w:lang w:val="es-ES_tradnl"/>
        </w:rPr>
      </w:pPr>
    </w:p>
    <w:p w14:paraId="25D85D5F" w14:textId="7882C918" w:rsidR="006415A2" w:rsidRPr="007E0CEF" w:rsidRDefault="006415A2" w:rsidP="006415A2">
      <w:pPr>
        <w:pStyle w:val="SingleTxt"/>
        <w:spacing w:after="0" w:line="120" w:lineRule="exact"/>
        <w:rPr>
          <w:sz w:val="10"/>
          <w:lang w:val="es-ES_tradnl"/>
        </w:rPr>
      </w:pPr>
    </w:p>
    <w:p w14:paraId="6E58891D" w14:textId="356D8EBD" w:rsidR="00FA3F43" w:rsidRPr="007E0CEF" w:rsidRDefault="00FA3F43" w:rsidP="00BB0090">
      <w:pPr>
        <w:pStyle w:val="SingleTxt"/>
        <w:numPr>
          <w:ilvl w:val="0"/>
          <w:numId w:val="30"/>
        </w:numPr>
        <w:ind w:left="1267"/>
        <w:rPr>
          <w:lang w:val="es-ES_tradnl"/>
        </w:rPr>
      </w:pPr>
      <w:r w:rsidRPr="007E0CEF">
        <w:rPr>
          <w:lang w:val="es-ES_tradnl"/>
        </w:rPr>
        <w:t>Uno de los pilares importantes del sistema de justicia del Canadá es la existencia de un sistema sólido de asistencia jurídica a disposición de las personas desfavorecidas desde el punto de vista económico</w:t>
      </w:r>
      <w:r w:rsidRPr="007E0CEF">
        <w:rPr>
          <w:vertAlign w:val="superscript"/>
          <w:lang w:val="es-ES_tradnl"/>
        </w:rPr>
        <w:footnoteReference w:id="4"/>
      </w:r>
      <w:r w:rsidRPr="007E0CEF">
        <w:rPr>
          <w:lang w:val="es-ES_tradnl"/>
        </w:rPr>
        <w:t xml:space="preserve">. </w:t>
      </w:r>
    </w:p>
    <w:p w14:paraId="559113EC" w14:textId="77777777" w:rsidR="00FA3F43" w:rsidRPr="007E0CEF" w:rsidRDefault="00FA3F43" w:rsidP="00BB0090">
      <w:pPr>
        <w:pStyle w:val="SingleTxt"/>
        <w:numPr>
          <w:ilvl w:val="0"/>
          <w:numId w:val="30"/>
        </w:numPr>
        <w:ind w:left="1267"/>
        <w:rPr>
          <w:lang w:val="es-ES_tradnl"/>
        </w:rPr>
      </w:pPr>
      <w:r w:rsidRPr="007E0CEF">
        <w:rPr>
          <w:lang w:val="es-ES_tradnl"/>
        </w:rPr>
        <w:t>En el período 2018-2019, los organismos de asistencia jurídica de los gobiernos provinciales y territoriales prestaron servicios de asistencia jurídica de carácter civil (en asuntos no relacionados con la inmigración y la población refugiada) a 111.793 clientas, de las cuales 7.404 eran mujeres indígenas.</w:t>
      </w:r>
    </w:p>
    <w:p w14:paraId="39B61E46" w14:textId="77777777" w:rsidR="00FA3F43" w:rsidRPr="007E0CEF" w:rsidRDefault="00FA3F43" w:rsidP="00BB0090">
      <w:pPr>
        <w:pStyle w:val="SingleTxt"/>
        <w:numPr>
          <w:ilvl w:val="0"/>
          <w:numId w:val="31"/>
        </w:numPr>
        <w:ind w:left="1267"/>
        <w:rPr>
          <w:lang w:val="es-ES_tradnl"/>
        </w:rPr>
      </w:pPr>
      <w:r w:rsidRPr="007E0CEF">
        <w:rPr>
          <w:lang w:val="es-ES_tradnl"/>
        </w:rPr>
        <w:t xml:space="preserve">Tales gobiernos cuentan asimismo con iniciativas orientadas a mejorar el acceso a la asistencia y los servicios jurídicos, especialmente en el caso de las mujeres indígenas. He aquí algunos ejemplos: </w:t>
      </w:r>
    </w:p>
    <w:p w14:paraId="1AB43F98" w14:textId="0AA9DC56" w:rsidR="00FA3F43" w:rsidRPr="007E0CEF" w:rsidRDefault="006415A2" w:rsidP="006415A2">
      <w:pPr>
        <w:pStyle w:val="Bullet1G"/>
        <w:tabs>
          <w:tab w:val="num" w:pos="1701"/>
        </w:tabs>
        <w:ind w:left="1701" w:hanging="170"/>
        <w:rPr>
          <w:kern w:val="14"/>
          <w:lang w:val="es-ES_tradnl"/>
        </w:rPr>
      </w:pPr>
      <w:r w:rsidRPr="007E0CEF">
        <w:rPr>
          <w:kern w:val="14"/>
          <w:lang w:val="es-ES_tradnl"/>
        </w:rPr>
        <w:t>•</w:t>
      </w:r>
      <w:r w:rsidRPr="007E0CEF">
        <w:rPr>
          <w:kern w:val="14"/>
          <w:lang w:val="es-ES_tradnl"/>
        </w:rPr>
        <w:tab/>
      </w:r>
      <w:r w:rsidR="00FA3F43" w:rsidRPr="007E0CEF">
        <w:rPr>
          <w:kern w:val="14"/>
          <w:lang w:val="es-ES_tradnl"/>
        </w:rPr>
        <w:t>En Quebec se aplica una ponderación del 20,0 % en el cálculo del umbral de requisitos financieros para acceder a servicios de asistencia jurídica en el caso de los clientes residentes en zonas remotas, criterio que resulta aplicable a buena parte de la población indígena. La red abarca 11 centros jurídicos regionales y 112 oficinas de asistencia jurídica distribuidos en 91 comunidades de Quebec. Los servicios de asistencia jurídica se ofertan en su mayoría en francés e inglés, si bien también es posible acceder a ellos en lenguas indígenas en algunas oficinas de asistencia jurídica. Asimismo, se ofrecen servicios de interpretación y traducción cuando se dispone de recursos para ello. Además, se incrementa la remuneración de los abogados que ejercen en el ámbito privado prestando sus servicios en determinadas regiones remotas, lo que beneficia a las mujeres de las comunidades aborígenes;</w:t>
      </w:r>
    </w:p>
    <w:p w14:paraId="0FF86DBB" w14:textId="3C5797F5" w:rsidR="00FA3F43" w:rsidRPr="007E0CEF" w:rsidRDefault="006415A2" w:rsidP="006415A2">
      <w:pPr>
        <w:pStyle w:val="Bullet1G"/>
        <w:tabs>
          <w:tab w:val="num" w:pos="1701"/>
        </w:tabs>
        <w:ind w:left="1701" w:hanging="170"/>
        <w:rPr>
          <w:kern w:val="14"/>
          <w:lang w:val="es-ES_tradnl"/>
        </w:rPr>
      </w:pPr>
      <w:r w:rsidRPr="007E0CEF">
        <w:rPr>
          <w:kern w:val="14"/>
          <w:lang w:val="es-ES_tradnl"/>
        </w:rPr>
        <w:t>•</w:t>
      </w:r>
      <w:r w:rsidRPr="007E0CEF">
        <w:rPr>
          <w:kern w:val="14"/>
          <w:lang w:val="es-ES_tradnl"/>
        </w:rPr>
        <w:tab/>
      </w:r>
      <w:r w:rsidR="00FA3F43" w:rsidRPr="007E0CEF">
        <w:rPr>
          <w:kern w:val="14"/>
          <w:lang w:val="es-ES_tradnl"/>
        </w:rPr>
        <w:t>Por otro lado, en Quebec se han creado en los últimos años diversos Centros Comunitarios de Justicia, entre ellos uno en Nunavik para atender a la nación inuit. Tales Centros constituyen una importante fuente de información y asistencia jurídica a la que pueden acceder numerosas mujeres indígenas. Asimismo, recientemente se han realizado inversiones encaminadas a aumentar el número de asistentes parajudiciales y el alcance de su cometido;</w:t>
      </w:r>
    </w:p>
    <w:p w14:paraId="48966BA9" w14:textId="41E5E267" w:rsidR="00FA3F43" w:rsidRPr="007E0CEF" w:rsidRDefault="006415A2" w:rsidP="006415A2">
      <w:pPr>
        <w:pStyle w:val="Bullet1G"/>
        <w:tabs>
          <w:tab w:val="num" w:pos="1701"/>
        </w:tabs>
        <w:ind w:left="1701" w:hanging="170"/>
        <w:rPr>
          <w:kern w:val="14"/>
          <w:lang w:val="es-ES_tradnl"/>
        </w:rPr>
      </w:pPr>
      <w:r w:rsidRPr="007E0CEF">
        <w:rPr>
          <w:kern w:val="14"/>
          <w:lang w:val="es-ES_tradnl"/>
        </w:rPr>
        <w:lastRenderedPageBreak/>
        <w:t>•</w:t>
      </w:r>
      <w:r w:rsidRPr="007E0CEF">
        <w:rPr>
          <w:kern w:val="14"/>
          <w:lang w:val="es-ES_tradnl"/>
        </w:rPr>
        <w:tab/>
      </w:r>
      <w:r w:rsidR="00FA3F43" w:rsidRPr="007E0CEF">
        <w:rPr>
          <w:kern w:val="14"/>
          <w:lang w:val="es-ES_tradnl"/>
        </w:rPr>
        <w:t>Aun cuando no cumplan los requisitos para contar con la representación de un abogado de oficio, los clientes de Columbia Británica pueden seguir optando a servicios de asesoramiento jurídico. En cuanto al derecho de familia y la protección infantil, los clientes pueden acceder a los servicios de abogados de los juzgados que asesoran a las personas que se representan a sí mismas ante los tribunales y las orientan para cumplimentar sus formularios. Tales clientes pueden optar a los servicios de abogados de los Centros de Justicia de Familia y los Centros de Acceso a la Justicia, quienes ofrecen a las personas en proceso de separación o divorcio asesoramiento en materia de horarios de visita a los hijos o tiempo compartido con estos, custodia, acceso, manutención y acuerdos. Además, los Contratos de Representación Limitada en Cuestiones de Derecho de Familia proporcionan asesoramiento y representación limitada en asuntos de derecho de familia a los clientes que requieran asistencia para la mediación, la negociación de soluciones o la representación propia en relación con cualquier cuestión de derecho de familia, exceptuando el divorcio, ante el Tribunal Provincial o el Tribunal Supremo. Los clientes también tienen acceso a Family LawLINE, un servicio telefónico de asesoramiento prestado por abogados de familia en materia de horarios de visita a los hijos o tiempo compartido con estos, custodia, acceso, manutención, acuerdos y asuntos relacionados con la protección infantil;</w:t>
      </w:r>
    </w:p>
    <w:p w14:paraId="4DAD0C3C" w14:textId="3176809F" w:rsidR="00FA3F43" w:rsidRPr="007E0CEF" w:rsidRDefault="006415A2" w:rsidP="006415A2">
      <w:pPr>
        <w:pStyle w:val="Bullet1G"/>
        <w:tabs>
          <w:tab w:val="num" w:pos="1701"/>
        </w:tabs>
        <w:ind w:left="1701" w:hanging="170"/>
        <w:rPr>
          <w:kern w:val="14"/>
          <w:lang w:val="es-ES_tradnl"/>
        </w:rPr>
      </w:pPr>
      <w:r w:rsidRPr="007E0CEF">
        <w:rPr>
          <w:kern w:val="14"/>
          <w:lang w:val="es-ES_tradnl"/>
        </w:rPr>
        <w:t>•</w:t>
      </w:r>
      <w:r w:rsidRPr="007E0CEF">
        <w:rPr>
          <w:kern w:val="14"/>
          <w:lang w:val="es-ES_tradnl"/>
        </w:rPr>
        <w:tab/>
      </w:r>
      <w:r w:rsidR="00FA3F43" w:rsidRPr="007E0CEF">
        <w:rPr>
          <w:kern w:val="14"/>
          <w:lang w:val="es-ES_tradnl"/>
        </w:rPr>
        <w:t xml:space="preserve">La Comisión de Asistencia Jurídica de Nueva Escocia contrata a personal de apoyo a la justicia social para Cabo Bretón que desempeña un papel importante en la facilitación de información jurídica a las comunidades y los clientes, así como en la asistencia a aquellos clientes inmersos en procesos relacionados con la vivienda y la seguridad de los ingresos ante los tribunales administrativos. </w:t>
      </w:r>
    </w:p>
    <w:p w14:paraId="2A312223" w14:textId="39F77268" w:rsidR="006415A2" w:rsidRPr="007E0CEF" w:rsidRDefault="006415A2" w:rsidP="006415A2">
      <w:pPr>
        <w:pStyle w:val="Bullet1G"/>
        <w:tabs>
          <w:tab w:val="num" w:pos="1701"/>
        </w:tabs>
        <w:spacing w:after="0" w:line="120" w:lineRule="exact"/>
        <w:ind w:left="1701" w:hanging="170"/>
        <w:rPr>
          <w:kern w:val="14"/>
          <w:sz w:val="10"/>
          <w:lang w:val="es-ES_tradnl"/>
        </w:rPr>
      </w:pPr>
    </w:p>
    <w:p w14:paraId="64ECC384" w14:textId="6A158095" w:rsidR="006415A2" w:rsidRPr="007E0CEF" w:rsidRDefault="006415A2" w:rsidP="006415A2">
      <w:pPr>
        <w:pStyle w:val="Bullet1G"/>
        <w:tabs>
          <w:tab w:val="num" w:pos="1701"/>
        </w:tabs>
        <w:spacing w:after="0" w:line="120" w:lineRule="exact"/>
        <w:ind w:left="1701" w:hanging="170"/>
        <w:rPr>
          <w:kern w:val="14"/>
          <w:sz w:val="10"/>
          <w:lang w:val="es-ES_tradnl"/>
        </w:rPr>
      </w:pPr>
    </w:p>
    <w:p w14:paraId="02BB2B79" w14:textId="5DEE47E3" w:rsidR="00FA3F43" w:rsidRPr="007E0CEF" w:rsidRDefault="00FA3F43" w:rsidP="0064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Casos llevados ante los tribunales</w:t>
      </w:r>
    </w:p>
    <w:p w14:paraId="1948C4A8" w14:textId="17AD17CE" w:rsidR="006415A2" w:rsidRPr="007E0CEF" w:rsidRDefault="006415A2" w:rsidP="006415A2">
      <w:pPr>
        <w:pStyle w:val="SingleTxt"/>
        <w:spacing w:after="0" w:line="120" w:lineRule="exact"/>
        <w:rPr>
          <w:sz w:val="10"/>
          <w:lang w:val="es-ES_tradnl"/>
        </w:rPr>
      </w:pPr>
    </w:p>
    <w:p w14:paraId="66770B35" w14:textId="7FF5D421" w:rsidR="006415A2" w:rsidRPr="007E0CEF" w:rsidRDefault="006415A2" w:rsidP="006415A2">
      <w:pPr>
        <w:pStyle w:val="SingleTxt"/>
        <w:spacing w:after="0" w:line="120" w:lineRule="exact"/>
        <w:rPr>
          <w:sz w:val="10"/>
          <w:lang w:val="es-ES_tradnl"/>
        </w:rPr>
      </w:pPr>
    </w:p>
    <w:p w14:paraId="617F73FB" w14:textId="77777777" w:rsidR="00FA3F43" w:rsidRPr="007E0CEF" w:rsidRDefault="00FA3F43" w:rsidP="00BB0090">
      <w:pPr>
        <w:pStyle w:val="SingleTxt"/>
        <w:numPr>
          <w:ilvl w:val="0"/>
          <w:numId w:val="32"/>
        </w:numPr>
        <w:ind w:left="1267"/>
        <w:rPr>
          <w:iCs/>
          <w:lang w:val="es-ES_tradnl"/>
        </w:rPr>
      </w:pPr>
      <w:r w:rsidRPr="007E0CEF">
        <w:rPr>
          <w:lang w:val="es-ES_tradnl"/>
        </w:rPr>
        <w:t xml:space="preserve">Tanto en la Carta de Derechos y Libertades del Canadá (en adelante, la Carta) como en los estatutos de derechos humanos del país se contemplan diversas modalidades de reparación de las violaciones de los derechos humanos, dependiendo de la naturaleza del derecho vulnerado y del tipo de reparación solicitada. Mientras que los tribunales se ocupan de la discriminación contemplada en el artículo 15 de la Carta, el principal medio para hacer cumplir los códigos y la legislación en materia de derechos humanos son las comisiones o tribunales de derechos humanos establecidos en virtud de aquellos (véanse los párrafos 90 a 94, 99 a 106, 131 a 133, 138 a 142 y 164 a 166 del Documento Básico Común del Canadá). </w:t>
      </w:r>
    </w:p>
    <w:p w14:paraId="719158C6" w14:textId="77777777" w:rsidR="00FA3F43" w:rsidRPr="007E0CEF" w:rsidRDefault="00FA3F43" w:rsidP="00BB0090">
      <w:pPr>
        <w:pStyle w:val="SingleTxt"/>
        <w:numPr>
          <w:ilvl w:val="0"/>
          <w:numId w:val="32"/>
        </w:numPr>
        <w:ind w:left="1267"/>
        <w:rPr>
          <w:lang w:val="es-ES_tradnl"/>
        </w:rPr>
      </w:pPr>
      <w:r w:rsidRPr="007E0CEF">
        <w:rPr>
          <w:lang w:val="es-ES_tradnl"/>
        </w:rPr>
        <w:t xml:space="preserve">Entre noviembre de 2016 y noviembre de 2020, se emprendieron aproximadamente 50 actuaciones ante las instancias decisorias federales (a saber: el Tribunal Supremo del Canadá, los Tribunales Federales, el Tribunal Canadiense de Derechos Humanos y la Junta Federal de Empleo y Relaciones Laborales de la Función Pública) relacionadas con reclamaciones o denuncias referentes a actos de discriminación contra las mujeres por razón de sexo. Por lo general, la mayoría de los casos tenían que ver con reclamaciones por discriminación en el contexto laboral y con frecuencia se solapaban con reclamaciones referentes a discriminación por motivos de discapacidad u origen étnico. Las reclamaciones relativas a discriminación por razón de sexo y género en virtud de lo dispuesto en la Carta o la Ley Canadiense de Derechos Humanos también pueden someterse a examen por parte de una serie de tribunales administrativos federales. </w:t>
      </w:r>
    </w:p>
    <w:p w14:paraId="700786AF" w14:textId="5F86EDC6" w:rsidR="00FA3F43" w:rsidRPr="007E0CEF" w:rsidRDefault="00FA3F43" w:rsidP="00BB0090">
      <w:pPr>
        <w:pStyle w:val="SingleTxt"/>
        <w:numPr>
          <w:ilvl w:val="0"/>
          <w:numId w:val="33"/>
        </w:numPr>
        <w:ind w:left="1267"/>
        <w:rPr>
          <w:lang w:val="es-ES_tradnl"/>
        </w:rPr>
      </w:pPr>
      <w:r w:rsidRPr="007E0CEF">
        <w:rPr>
          <w:lang w:val="es-ES_tradnl"/>
        </w:rPr>
        <w:t>Nueve de las decisiones definitivas adoptadas por el Tribunal Supremo del Canadá y los Tribunales Federales desde noviembre de 2016 guardan relación con reclamaciones referentes a discriminación por razón de sexo en virtud de lo dispuesto en el artículo 15 de la Carta. En dos de las decisiones del Tribunal Supremo adoptadas en esos casos se concluyó que existía una violación de las disposiciones del artículo</w:t>
      </w:r>
      <w:r w:rsidR="006415A2" w:rsidRPr="007E0CEF">
        <w:rPr>
          <w:lang w:val="es-ES_tradnl"/>
        </w:rPr>
        <w:t> </w:t>
      </w:r>
      <w:r w:rsidRPr="007E0CEF">
        <w:rPr>
          <w:lang w:val="es-ES_tradnl"/>
        </w:rPr>
        <w:t xml:space="preserve">15. </w:t>
      </w:r>
    </w:p>
    <w:p w14:paraId="6BC6D0FF" w14:textId="77777777" w:rsidR="00FA3F43" w:rsidRPr="007E0CEF" w:rsidRDefault="00FA3F43" w:rsidP="00BB0090">
      <w:pPr>
        <w:pStyle w:val="SingleTxt"/>
        <w:numPr>
          <w:ilvl w:val="0"/>
          <w:numId w:val="34"/>
        </w:numPr>
        <w:ind w:left="1267"/>
        <w:rPr>
          <w:lang w:val="es-ES_tradnl"/>
        </w:rPr>
      </w:pPr>
      <w:r w:rsidRPr="007E0CEF">
        <w:rPr>
          <w:lang w:val="es-ES_tradnl"/>
        </w:rPr>
        <w:lastRenderedPageBreak/>
        <w:t xml:space="preserve">En la sentencia 17 de 2018 del Tribunal Supremo del Canadá en la causa </w:t>
      </w:r>
      <w:r w:rsidRPr="007E0CEF">
        <w:rPr>
          <w:i/>
          <w:iCs/>
          <w:lang w:val="es-ES_tradnl"/>
        </w:rPr>
        <w:t>Quebec (Attorney General) v. Alliance du personnel professionnel et technique de la santé et des services sociaux</w:t>
      </w:r>
      <w:r w:rsidRPr="007E0CEF">
        <w:rPr>
          <w:lang w:val="es-ES_tradnl"/>
        </w:rPr>
        <w:t>, la mayoría del Tribunal Supremo sostuvo que ciertas disposiciones de la Ley de Equidad Salarial de Quebec violaban lo dispuesto en el artículo 15 de la Carta al perpetuar las desventajas preexistentes a las que se enfrentaban las mujeres. Las disposiciones en cuestión eran las enmiendas de 2009 a la Ley, que sustituyeron las obligaciones permanentes de los empleadores en materia de equidad salarial por un sistema de auditorías periódicas. Ello hacía que los empleadores únicamente corrigieran la desigualdad salarial cada cinco años, sin que se compensase a los empleados con carácter retroactivo a menos que el empleador hubiera actuado de mala fe o bien de manera arbitraria o discriminatoria. El Tribunal sostuvo que, aunque la finalidad de la Ley fuera proporcionar “igualdad de remuneración por trabajo de igual valor”, se negaban en cambio a las mujeres las ventajas de las que habitualmente disfrutaban los hombres. Para acatar esta decisión, Quebec aprobó en abril de 2019 el proyecto de ley por la que se modificaba la Ley de Equidad Salarial con el fin, principalmente, de evaluar mejor el mantenimiento de dicha equidad. Además de revisar el proceso de evaluación del mantenimiento de la equidad salarial a la vista de la decisión emitida por el Tribunal Supremo del Canadá, la ley en cuestión también pretende fomentar la participación de los empleados durante dicha evaluación, supervisar la tramitación de denuncias y mejorar los mecanismos de aplicación de la Ley de Equidad Salarial.</w:t>
      </w:r>
    </w:p>
    <w:p w14:paraId="454CB65B" w14:textId="77777777" w:rsidR="00FA3F43" w:rsidRPr="007E0CEF" w:rsidRDefault="00FA3F43" w:rsidP="00BB0090">
      <w:pPr>
        <w:pStyle w:val="SingleTxt"/>
        <w:numPr>
          <w:ilvl w:val="0"/>
          <w:numId w:val="35"/>
        </w:numPr>
        <w:ind w:left="1267"/>
        <w:rPr>
          <w:lang w:val="es-ES_tradnl"/>
        </w:rPr>
      </w:pPr>
      <w:r w:rsidRPr="007E0CEF">
        <w:rPr>
          <w:lang w:val="es-ES_tradnl"/>
        </w:rPr>
        <w:t xml:space="preserve">En la sentencia 28 de 2020 del Tribunal Supremo del Canadá en la causa </w:t>
      </w:r>
      <w:r w:rsidRPr="007E0CEF">
        <w:rPr>
          <w:i/>
          <w:iCs/>
          <w:lang w:val="es-ES_tradnl"/>
        </w:rPr>
        <w:t>Fraser v Canada (Attorney General)</w:t>
      </w:r>
      <w:r w:rsidRPr="007E0CEF">
        <w:rPr>
          <w:lang w:val="es-ES_tradnl"/>
        </w:rPr>
        <w:t xml:space="preserve">, la mayoría del Tribunal Supremo sostuvo que las condiciones del régimen de pensiones de la Real Policía Montada del Canadá (RPMC) discriminaban a las mujeres por razón de sexo, en contra de lo dispuesto en el artículo 15 de la Carta, al impedir que los empleados participantes en acuerdos de trabajo compartido, quienes eran principalmente mujeres con obligaciones de cuidado de hijos, obtuvieran el reconocimiento de una pensión por servicio a tiempo completo. En ese caso, los miembros de la RPMC que compartían el puesto de trabajo se consideraban empleados a tiempo parcial según las condiciones del régimen de pensiones y no podían obtener el reconocimiento de una pensión por servicio a tiempo completo a diferencia de los miembros contratados a tiempo completo, quienes podían disfrutar de un permiso no retribuido y recuperar su derecho al reconocimiento de dicho tipo de pensión. El Tribunal sostuvo que la imposibilidad de que los empleados que reducían temporalmente su horario de trabajo en virtud de un acuerdo de trabajo compartido pudieran recuperar el derecho al reconocimiento de una pensión por servicio a tiempo completo afectaba de manera desproporcionada a las mujeres. Además, la mayoría de los miembros del Tribunal consideraba que ello perpetuaba la desventaja de las mujeres a la luz de una serie de factores, como los condicionantes económicos y de género que influían en la “elección” de trabajar a tiempo parcial, así como la persistencia de la división del trabajo doméstico y el cuidado de hijos en función del género. </w:t>
      </w:r>
    </w:p>
    <w:p w14:paraId="2AFC944E" w14:textId="77777777" w:rsidR="00FA3F43" w:rsidRPr="007E0CEF" w:rsidRDefault="00FA3F43" w:rsidP="00BB0090">
      <w:pPr>
        <w:pStyle w:val="SingleTxt"/>
        <w:numPr>
          <w:ilvl w:val="0"/>
          <w:numId w:val="36"/>
        </w:numPr>
        <w:ind w:left="1267"/>
        <w:rPr>
          <w:lang w:val="es-ES_tradnl"/>
        </w:rPr>
      </w:pPr>
      <w:r w:rsidRPr="007E0CEF">
        <w:rPr>
          <w:lang w:val="es-ES_tradnl"/>
        </w:rPr>
        <w:t xml:space="preserve">Entre noviembre de 2016 y octubre de 2021, el Tribunal Canadiense de Derechos Humanos emitió siete decisiones referentes a reclamaciones por discriminación contra las mujeres por razón de sexo en virtud de lo dispuesto en la Ley de Derechos Humanos del Canadá. En tres de esos casos denunciados se consiguió demostrar la existencia de un trato diferencial desfavorable por razón de sexo. En dos de ellos, el Tribunal concedió una indemnización a las demandantes, a quienes se había despedido de su empleo en parte por haberse acogido a una baja por enfermedad debido a complicaciones relacionadas con el embarazo.  </w:t>
      </w:r>
      <w:bookmarkStart w:id="7" w:name="_Hlk87451383"/>
      <w:bookmarkEnd w:id="7"/>
    </w:p>
    <w:p w14:paraId="36D2469C" w14:textId="77777777" w:rsidR="00FA3F43" w:rsidRPr="007E0CEF" w:rsidRDefault="00FA3F43" w:rsidP="00BB0090">
      <w:pPr>
        <w:pStyle w:val="SingleTxt"/>
        <w:numPr>
          <w:ilvl w:val="0"/>
          <w:numId w:val="37"/>
        </w:numPr>
        <w:ind w:left="1267"/>
        <w:rPr>
          <w:lang w:val="es-ES_tradnl"/>
        </w:rPr>
      </w:pPr>
      <w:r w:rsidRPr="007E0CEF">
        <w:rPr>
          <w:lang w:val="es-ES_tradnl"/>
        </w:rPr>
        <w:t xml:space="preserve">El Tribunal Supremo del Canadá hizo referencia a la Convención en tres de las cuatro decisiones relacionadas con reclamaciones relativas a discriminación por razón de sexo que emitió entre noviembre de 2016 y 2020, respaldando los principios de </w:t>
      </w:r>
      <w:r w:rsidRPr="007E0CEF">
        <w:rPr>
          <w:lang w:val="es-ES_tradnl"/>
        </w:rPr>
        <w:lastRenderedPageBreak/>
        <w:t>igualdad de remuneración por trabajo de igual valor</w:t>
      </w:r>
      <w:r w:rsidRPr="007E0CEF">
        <w:rPr>
          <w:vertAlign w:val="superscript"/>
          <w:lang w:val="es-ES_tradnl"/>
        </w:rPr>
        <w:footnoteReference w:id="5"/>
      </w:r>
      <w:r w:rsidRPr="007E0CEF">
        <w:rPr>
          <w:lang w:val="es-ES_tradnl"/>
        </w:rPr>
        <w:t xml:space="preserve"> e igualdad conyugal</w:t>
      </w:r>
      <w:r w:rsidRPr="007E0CEF">
        <w:rPr>
          <w:vertAlign w:val="superscript"/>
          <w:lang w:val="es-ES_tradnl"/>
        </w:rPr>
        <w:footnoteReference w:id="6"/>
      </w:r>
      <w:r w:rsidRPr="007E0CEF">
        <w:rPr>
          <w:lang w:val="es-ES_tradnl"/>
        </w:rPr>
        <w:t xml:space="preserve">. Además, la Junta de Inmigración y Refugiados del Canadá ha citado con frecuencia los informes relativos a la Convención en los casos de solicitantes del estatuto de refugiado que temen sufrir persecución por violencia de género. </w:t>
      </w:r>
    </w:p>
    <w:p w14:paraId="3BEB9315" w14:textId="3665CA03" w:rsidR="00FA3F43" w:rsidRPr="007E0CEF" w:rsidRDefault="00FA3F43" w:rsidP="00BB0090">
      <w:pPr>
        <w:pStyle w:val="SingleTxt"/>
        <w:numPr>
          <w:ilvl w:val="0"/>
          <w:numId w:val="38"/>
        </w:numPr>
        <w:ind w:left="1267"/>
        <w:rPr>
          <w:lang w:val="es-ES_tradnl"/>
        </w:rPr>
      </w:pPr>
      <w:r w:rsidRPr="007E0CEF">
        <w:rPr>
          <w:lang w:val="es-ES_tradnl"/>
        </w:rPr>
        <w:t xml:space="preserve">Dos fallos dictados por el Tribunal de Derechos Humanos de Quebec hacen referencia a disposiciones de la Convención: la sentencia 3 de 2018 de dicho Tribunal en la causa </w:t>
      </w:r>
      <w:r w:rsidRPr="007E0CEF">
        <w:rPr>
          <w:i/>
          <w:iCs/>
          <w:lang w:val="es-ES_tradnl"/>
        </w:rPr>
        <w:t>Commission des droits de la personne et des droits de la jeunesse (Pheneus et une autre) c. Fornella</w:t>
      </w:r>
      <w:r w:rsidRPr="007E0CEF">
        <w:rPr>
          <w:lang w:val="es-ES_tradnl"/>
        </w:rPr>
        <w:t xml:space="preserve"> y su sentencia 6 de 2017 en la causa </w:t>
      </w:r>
      <w:r w:rsidRPr="007E0CEF">
        <w:rPr>
          <w:i/>
          <w:iCs/>
          <w:lang w:val="es-ES_tradnl"/>
        </w:rPr>
        <w:t>Commission des droits de la personne et des droits de la jeunesse (Saumier) c. Les Entreprises Mirabel (RA) inc</w:t>
      </w:r>
      <w:r w:rsidRPr="007E0CEF">
        <w:rPr>
          <w:lang w:val="es-ES_tradnl"/>
        </w:rPr>
        <w:t>.</w:t>
      </w:r>
    </w:p>
    <w:p w14:paraId="7A0398D2" w14:textId="770AB848" w:rsidR="006415A2" w:rsidRPr="007E0CEF" w:rsidRDefault="006415A2" w:rsidP="006415A2">
      <w:pPr>
        <w:pStyle w:val="SingleTxt"/>
        <w:spacing w:after="0" w:line="120" w:lineRule="exact"/>
        <w:rPr>
          <w:sz w:val="10"/>
          <w:lang w:val="es-ES_tradnl"/>
        </w:rPr>
      </w:pPr>
    </w:p>
    <w:p w14:paraId="714C9611" w14:textId="22260A61" w:rsidR="006415A2" w:rsidRPr="007E0CEF" w:rsidRDefault="006415A2" w:rsidP="006415A2">
      <w:pPr>
        <w:pStyle w:val="SingleTxt"/>
        <w:spacing w:after="0" w:line="120" w:lineRule="exact"/>
        <w:rPr>
          <w:sz w:val="10"/>
          <w:lang w:val="es-ES_tradnl"/>
        </w:rPr>
      </w:pPr>
    </w:p>
    <w:p w14:paraId="5776603F" w14:textId="4709C56C" w:rsidR="00FA3F43" w:rsidRPr="007E0CEF" w:rsidRDefault="00FA3F43" w:rsidP="0064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 xml:space="preserve">Vías de recurso y reparación por las violaciones de los derechos </w:t>
      </w:r>
      <w:r w:rsidR="002B389F" w:rsidRPr="007E0CEF">
        <w:rPr>
          <w:lang w:val="es-ES_tradnl"/>
        </w:rPr>
        <w:t>de</w:t>
      </w:r>
      <w:r w:rsidR="002B389F">
        <w:rPr>
          <w:lang w:val="es-ES_tradnl"/>
        </w:rPr>
        <w:t> </w:t>
      </w:r>
      <w:r w:rsidRPr="007E0CEF">
        <w:rPr>
          <w:lang w:val="es-ES_tradnl"/>
        </w:rPr>
        <w:t>las mujeres y niñas indígenas</w:t>
      </w:r>
      <w:bookmarkStart w:id="8" w:name="_Hlk85012255"/>
    </w:p>
    <w:p w14:paraId="62C41E9F" w14:textId="1E8B6C19" w:rsidR="006415A2" w:rsidRPr="007E0CEF" w:rsidRDefault="006415A2" w:rsidP="006415A2">
      <w:pPr>
        <w:pStyle w:val="SingleTxt"/>
        <w:spacing w:after="0" w:line="120" w:lineRule="exact"/>
        <w:rPr>
          <w:sz w:val="10"/>
          <w:lang w:val="es-ES_tradnl"/>
        </w:rPr>
      </w:pPr>
    </w:p>
    <w:p w14:paraId="65BECF60" w14:textId="03B49535" w:rsidR="006415A2" w:rsidRPr="007E0CEF" w:rsidRDefault="006415A2" w:rsidP="006415A2">
      <w:pPr>
        <w:pStyle w:val="SingleTxt"/>
        <w:spacing w:after="0" w:line="120" w:lineRule="exact"/>
        <w:rPr>
          <w:sz w:val="10"/>
          <w:lang w:val="es-ES_tradnl"/>
        </w:rPr>
      </w:pPr>
    </w:p>
    <w:p w14:paraId="735745FF" w14:textId="77777777" w:rsidR="00FA3F43" w:rsidRPr="007E0CEF" w:rsidRDefault="00FA3F43" w:rsidP="00BB0090">
      <w:pPr>
        <w:pStyle w:val="SingleTxt"/>
        <w:numPr>
          <w:ilvl w:val="0"/>
          <w:numId w:val="39"/>
        </w:numPr>
        <w:ind w:left="1267"/>
        <w:rPr>
          <w:iCs/>
          <w:lang w:val="es-ES_tradnl"/>
        </w:rPr>
      </w:pPr>
      <w:bookmarkStart w:id="9" w:name="_Hlk103066136"/>
      <w:bookmarkEnd w:id="8"/>
      <w:r w:rsidRPr="007E0CEF">
        <w:rPr>
          <w:lang w:val="es-ES_tradnl"/>
        </w:rPr>
        <w:t xml:space="preserve">Las mujeres y las niñas indígenas pueden interponer recursos y obtener reparación por las violaciones de sus derechos a través de las vías judiciales habituales. Se han presentado demandas colectivas ante los tribunales en las que los familiares y miembros de la comunidad integrantes de la Comisión Nacional de Investigación sobre las Mujeres y las Niñas Indígenas Desaparecidas o Asesinadas solicitan la correspondiente restitución u otro tipo de reparación. En el Plan de Acción Nacional de 2021 relativo a la labor de dicha Comisión, que abarca el Plan Federal (véase el párrafo 96), se establece una serie de responsabilidades en el afrontamiento de las causas fundamentales de la violencia que sufren las mujeres y niñas indígenas y las personas biespirituales, lesbianas, gais, bisexuales, transgénero, </w:t>
      </w:r>
      <w:r w:rsidRPr="007E0CEF">
        <w:rPr>
          <w:i/>
          <w:iCs/>
          <w:lang w:val="es-ES_tradnl"/>
        </w:rPr>
        <w:t>queer</w:t>
      </w:r>
      <w:r w:rsidRPr="007E0CEF">
        <w:rPr>
          <w:lang w:val="es-ES_tradnl"/>
        </w:rPr>
        <w:t xml:space="preserve">, en proceso de cuestionamiento, intersexuales, asexuales y otras. El Gobierno del Canadá está decidido a adoptar medidas más amplias que permitan abordar los problemas relacionados con el acceso a la justicia a los que se enfrentan las víctimas y sus familias mejorando los mecanismos de apoyo a estas para que tengan en cuenta el trauma sufrido y los aspectos culturales, así como estudiando la posibilidad de implementar soluciones lideradas por la población indígena y sistemas de justicia de base comunitaria que constituyan alternativas al sistema de justicia principal. </w:t>
      </w:r>
    </w:p>
    <w:bookmarkEnd w:id="9"/>
    <w:p w14:paraId="7625442A" w14:textId="37C750AC" w:rsidR="00FA3F43" w:rsidRPr="007E0CEF" w:rsidRDefault="00FA3F43" w:rsidP="00BB0090">
      <w:pPr>
        <w:pStyle w:val="SingleTxt"/>
        <w:numPr>
          <w:ilvl w:val="0"/>
          <w:numId w:val="39"/>
        </w:numPr>
        <w:ind w:left="1267"/>
        <w:rPr>
          <w:iCs/>
          <w:lang w:val="es-ES_tradnl"/>
        </w:rPr>
      </w:pPr>
      <w:r w:rsidRPr="007E0CEF">
        <w:rPr>
          <w:lang w:val="es-ES_tradnl"/>
        </w:rPr>
        <w:t xml:space="preserve">El reconocimiento de los derechos indígenas y la defensa de los derechos humanos de las mujeres y niñas indígenas constituyen una prioridad para el Gobierno del Canadá. El Gobierno instauró una legislación para aplicar la Declaración de las Naciones Unidas sobre los Derechos de los Pueblos Indígenas en diciembre de 2020, que entró en vigor el 21 de junio de 2021. La aplicación de dicha legislación abarcará medidas como hacer frente a las injusticias, combatir los prejuicios y eliminar todas las formas de violencia y discriminación, especialmente las cometidas contra las mujeres y niñas indígenas, y promover la educación en derechos humanos. </w:t>
      </w:r>
      <w:bookmarkStart w:id="10" w:name="_Hlk87451773"/>
      <w:bookmarkEnd w:id="10"/>
    </w:p>
    <w:p w14:paraId="746EA7DB" w14:textId="542A6070" w:rsidR="006415A2" w:rsidRPr="007E0CEF" w:rsidRDefault="006415A2" w:rsidP="006415A2">
      <w:pPr>
        <w:pStyle w:val="SingleTxt"/>
        <w:spacing w:after="0" w:line="120" w:lineRule="exact"/>
        <w:rPr>
          <w:sz w:val="10"/>
          <w:lang w:val="es-ES_tradnl"/>
        </w:rPr>
      </w:pPr>
    </w:p>
    <w:p w14:paraId="78C28778" w14:textId="59D3FE2E" w:rsidR="006415A2" w:rsidRPr="007E0CEF" w:rsidRDefault="006415A2" w:rsidP="006415A2">
      <w:pPr>
        <w:pStyle w:val="SingleTxt"/>
        <w:spacing w:after="0" w:line="120" w:lineRule="exact"/>
        <w:rPr>
          <w:iCs/>
          <w:sz w:val="10"/>
          <w:lang w:val="es-ES_tradnl"/>
        </w:rPr>
      </w:pPr>
    </w:p>
    <w:p w14:paraId="0EB4FB44" w14:textId="55ABA738" w:rsidR="00FA3F43" w:rsidRPr="007E0CEF" w:rsidRDefault="00FA3F43" w:rsidP="006415A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7E0CEF">
        <w:rPr>
          <w:lang w:val="es-ES_tradnl"/>
        </w:rPr>
        <w:lastRenderedPageBreak/>
        <w:tab/>
      </w:r>
      <w:r w:rsidRPr="007E0CEF">
        <w:rPr>
          <w:lang w:val="es-ES_tradnl"/>
        </w:rPr>
        <w:tab/>
        <w:t>Pregunta 7: Mecanismos nacionales para el adelanto de la mujer</w:t>
      </w:r>
    </w:p>
    <w:p w14:paraId="6B7CB644" w14:textId="77777777" w:rsidR="006415A2" w:rsidRPr="007E0CEF" w:rsidRDefault="006415A2" w:rsidP="006415A2">
      <w:pPr>
        <w:pStyle w:val="SingleTxt"/>
        <w:keepNext/>
        <w:keepLines/>
        <w:spacing w:after="0" w:line="120" w:lineRule="exact"/>
        <w:rPr>
          <w:b/>
          <w:sz w:val="10"/>
          <w:lang w:val="es-ES_tradnl"/>
        </w:rPr>
      </w:pPr>
    </w:p>
    <w:p w14:paraId="205EE192" w14:textId="77777777" w:rsidR="006415A2" w:rsidRPr="007E0CEF" w:rsidRDefault="006415A2" w:rsidP="006415A2">
      <w:pPr>
        <w:pStyle w:val="SingleTxt"/>
        <w:keepNext/>
        <w:keepLines/>
        <w:spacing w:after="0" w:line="120" w:lineRule="exact"/>
        <w:rPr>
          <w:b/>
          <w:sz w:val="10"/>
          <w:lang w:val="es-ES_tradnl"/>
        </w:rPr>
      </w:pPr>
    </w:p>
    <w:p w14:paraId="50182ADB" w14:textId="73006A2A" w:rsidR="00FA3F43" w:rsidRPr="007E0CEF" w:rsidRDefault="00FA3F43" w:rsidP="0064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Departamento de la Mujer y la Igualdad de Género</w:t>
      </w:r>
    </w:p>
    <w:p w14:paraId="71F5BC13" w14:textId="7B3D179D" w:rsidR="006415A2" w:rsidRPr="007E0CEF" w:rsidRDefault="006415A2" w:rsidP="006415A2">
      <w:pPr>
        <w:pStyle w:val="SingleTxt"/>
        <w:keepNext/>
        <w:keepLines/>
        <w:spacing w:after="0" w:line="120" w:lineRule="exact"/>
        <w:rPr>
          <w:sz w:val="10"/>
          <w:lang w:val="es-ES_tradnl"/>
        </w:rPr>
      </w:pPr>
    </w:p>
    <w:p w14:paraId="71BFE5D5" w14:textId="69E109B2" w:rsidR="006415A2" w:rsidRPr="007E0CEF" w:rsidRDefault="006415A2" w:rsidP="006415A2">
      <w:pPr>
        <w:pStyle w:val="SingleTxt"/>
        <w:keepNext/>
        <w:keepLines/>
        <w:spacing w:after="0" w:line="120" w:lineRule="exact"/>
        <w:rPr>
          <w:sz w:val="10"/>
          <w:lang w:val="es-ES_tradnl"/>
        </w:rPr>
      </w:pPr>
    </w:p>
    <w:p w14:paraId="4A30F484" w14:textId="77777777" w:rsidR="00FA3F43" w:rsidRPr="007E0CEF" w:rsidRDefault="00FA3F43" w:rsidP="00BB0090">
      <w:pPr>
        <w:pStyle w:val="SingleTxt"/>
        <w:keepNext/>
        <w:keepLines/>
        <w:numPr>
          <w:ilvl w:val="0"/>
          <w:numId w:val="40"/>
        </w:numPr>
        <w:ind w:left="1267"/>
        <w:rPr>
          <w:iCs/>
          <w:lang w:val="es-ES_tradnl"/>
        </w:rPr>
      </w:pPr>
      <w:r w:rsidRPr="007E0CEF">
        <w:rPr>
          <w:lang w:val="es-ES_tradnl"/>
        </w:rPr>
        <w:t xml:space="preserve">En 2018 entró en vigor la Ley del Departamento de la Mujer y la Igualdad de Género, que transformó el antiguo organismo responsable de la condición de la mujer del Canadá en un departamento federal en toda regla, supervisado por la Ministra de la Mujer y la Igualdad de Género. La mencionada Ley consolida y formaliza las importantes funciones tanto del Departamento en cuestión como de su Ministra. El Departamento de la Mujer y la Igualdad de Género es responsable de promover la igualdad, en particular la igualdad social, económica y política, con respecto al sexo, la orientación sexual y la identidad o expresión de género. Dicho Departamento desempeña las siguientes tareas: </w:t>
      </w:r>
      <w:bookmarkStart w:id="11" w:name="_Hlk102980679"/>
      <w:bookmarkEnd w:id="11"/>
    </w:p>
    <w:p w14:paraId="53214771" w14:textId="312A3513" w:rsidR="00FA3F43" w:rsidRPr="007E0CEF" w:rsidRDefault="006415A2" w:rsidP="006415A2">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Promueve la comprensión de la intersección del sexo y el género con otros factores de identidad, entre los que se incluyen la raza, el origen nacional y étnico, el origen o la identidad indígena, la edad, la orientación sexual, la situación socioeconómica, el lugar de residencia y la discapacidad; </w:t>
      </w:r>
    </w:p>
    <w:p w14:paraId="3EBE8B93" w14:textId="7831093A" w:rsidR="00FA3F43" w:rsidRPr="007E0CEF" w:rsidRDefault="006415A2" w:rsidP="006415A2">
      <w:pPr>
        <w:pStyle w:val="Bullet1G"/>
        <w:tabs>
          <w:tab w:val="num" w:pos="1701"/>
        </w:tabs>
        <w:ind w:left="1701" w:hanging="170"/>
        <w:rPr>
          <w:kern w:val="14"/>
          <w:lang w:val="es-ES_tradnl"/>
        </w:rPr>
      </w:pPr>
      <w:bookmarkStart w:id="12" w:name="_Hlk102980837"/>
      <w:r w:rsidRPr="007E0CEF">
        <w:rPr>
          <w:lang w:val="es-ES_tradnl"/>
        </w:rPr>
        <w:t>•</w:t>
      </w:r>
      <w:r w:rsidRPr="007E0CEF">
        <w:rPr>
          <w:lang w:val="es-ES_tradnl"/>
        </w:rPr>
        <w:tab/>
      </w:r>
      <w:r w:rsidR="00FA3F43" w:rsidRPr="007E0CEF">
        <w:rPr>
          <w:kern w:val="14"/>
          <w:lang w:val="es-ES_tradnl"/>
        </w:rPr>
        <w:t xml:space="preserve">Emprende, recomienda, coordina, aplica y promueve políticas y programas, realiza investigaciones y actividades de recopilación y análisis de datos relacionados con tales políticas y programas y conciencia a la población mediante iniciativas de divulgación;  </w:t>
      </w:r>
    </w:p>
    <w:bookmarkEnd w:id="12"/>
    <w:p w14:paraId="2EFD51DB" w14:textId="0C3BF65A" w:rsidR="00FA3F43" w:rsidRPr="007E0CEF" w:rsidRDefault="006415A2" w:rsidP="006415A2">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Asesora al Gobierno para lograr los resultados y objetivos del Canadá en materia de igualdad de género, lo que incluye promover la elaboración de presupuestos con perspectiva de género, y facilita los avances hacia la igualdad de género entre otros asociados y partes interesadas, a través de su experiencia, su contribución a la investigación y la financiación de iniciativas comunitarias; </w:t>
      </w:r>
    </w:p>
    <w:p w14:paraId="473A1507" w14:textId="73668CF8" w:rsidR="00FA3F43" w:rsidRPr="007E0CEF" w:rsidRDefault="006415A2" w:rsidP="006415A2">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Centraliza el intercambio de conocimientos especializados en todo el territorio del Canadá, así como con los asociados internacionales, y utiliza dichos conocimientos para definir y sustentar las prioridades del país en materia de igualdad de género. </w:t>
      </w:r>
    </w:p>
    <w:p w14:paraId="1A45788C" w14:textId="77777777" w:rsidR="00FA3F43" w:rsidRPr="007E0CEF" w:rsidRDefault="00FA3F43" w:rsidP="00BB0090">
      <w:pPr>
        <w:pStyle w:val="SingleTxt"/>
        <w:numPr>
          <w:ilvl w:val="0"/>
          <w:numId w:val="40"/>
        </w:numPr>
        <w:ind w:left="1267"/>
        <w:rPr>
          <w:iCs/>
          <w:lang w:val="es-ES_tradnl"/>
        </w:rPr>
      </w:pPr>
      <w:r w:rsidRPr="007E0CEF">
        <w:rPr>
          <w:lang w:val="es-ES_tradnl"/>
        </w:rPr>
        <w:t xml:space="preserve">El Gobierno del Canadá ha destinado un volumen considerable de recursos a respaldar el mandato del Departamento desde su creación. Por ejemplo, el gasto total previsto en los ejercicios económicos 2021-2022 y 2022-2023 que se contemplaba en el Plan del Departamento para el período 2021-2022 ascendía a aproximadamente 125 y 130 millones de dólares respectivamente. </w:t>
      </w:r>
    </w:p>
    <w:p w14:paraId="762E65E0" w14:textId="77777777" w:rsidR="00FA3F43" w:rsidRPr="007E0CEF" w:rsidRDefault="00FA3F43" w:rsidP="00BB0090">
      <w:pPr>
        <w:pStyle w:val="SingleTxt"/>
        <w:numPr>
          <w:ilvl w:val="0"/>
          <w:numId w:val="41"/>
        </w:numPr>
        <w:ind w:left="1267"/>
        <w:rPr>
          <w:iCs/>
          <w:lang w:val="es-ES_tradnl"/>
        </w:rPr>
      </w:pPr>
      <w:r w:rsidRPr="007E0CEF">
        <w:rPr>
          <w:lang w:val="es-ES_tradnl"/>
        </w:rPr>
        <w:t xml:space="preserve">En el cumplimiento de su mandato, el Departamento de la Mujer y la Igualdad de Género colabora estrechamente con los gobiernos provinciales y territoriales, así como con otros asociados y partes interesadas, con el fin de promover la igualdad de género en todo el país. </w:t>
      </w:r>
    </w:p>
    <w:p w14:paraId="6D074C77" w14:textId="77777777" w:rsidR="00FA3F43" w:rsidRPr="007E0CEF" w:rsidRDefault="00FA3F43" w:rsidP="00BB0090">
      <w:pPr>
        <w:pStyle w:val="SingleTxt"/>
        <w:numPr>
          <w:ilvl w:val="0"/>
          <w:numId w:val="42"/>
        </w:numPr>
        <w:ind w:left="1267"/>
        <w:rPr>
          <w:iCs/>
          <w:lang w:val="es-ES_tradnl"/>
        </w:rPr>
      </w:pPr>
      <w:r w:rsidRPr="007E0CEF">
        <w:rPr>
          <w:lang w:val="es-ES_tradnl"/>
        </w:rPr>
        <w:t xml:space="preserve">El Gobierno del Canadá está realizando inversiones y adoptando medidas para hacer frente a las persistentes desigualdades de género que afectan a toda la población canadiense. El Departamento de la Mujer y la Igualdad de Género cuenta con tres programas (el Programa para las Mujeres, el Programa contra la Violencia de Género y el Programa de Igualdad con respecto al Sexo, la Orientación Sexual y la Identidad y Expresión de Género) que proporcionan financiación para promover la igualdad en las esferas social, económica y política, crear capacidad en las organizaciones de mujeres y de fomento de la igualdad en todo el país y apoyar tanto a las poblaciones en riesgo como a las víctimas y supervivientes de la violencia de género y sus familias. </w:t>
      </w:r>
    </w:p>
    <w:p w14:paraId="4C0D6871" w14:textId="4F171140" w:rsidR="00FA3F43" w:rsidRPr="007E0CEF" w:rsidRDefault="00FA3F43" w:rsidP="00BB0090">
      <w:pPr>
        <w:pStyle w:val="SingleTxt"/>
        <w:numPr>
          <w:ilvl w:val="0"/>
          <w:numId w:val="43"/>
        </w:numPr>
        <w:ind w:left="1267"/>
        <w:rPr>
          <w:iCs/>
          <w:lang w:val="es-ES_tradnl"/>
        </w:rPr>
      </w:pPr>
      <w:r w:rsidRPr="007E0CEF">
        <w:rPr>
          <w:lang w:val="es-ES_tradnl"/>
        </w:rPr>
        <w:t xml:space="preserve">En particular, el Departamento de la Mujer y la Igualdad de Género brinda ayuda a las poblaciones en riesgo y subatendidas, como las mujeres indígenas, las mujeres </w:t>
      </w:r>
      <w:r w:rsidRPr="007E0CEF">
        <w:rPr>
          <w:lang w:val="es-ES_tradnl"/>
        </w:rPr>
        <w:lastRenderedPageBreak/>
        <w:t xml:space="preserve">con discapacidad, los miembros de las comunidades de personas biespirituales, lesbianas, gais, bisexuales, transgénero, </w:t>
      </w:r>
      <w:r w:rsidRPr="007E0CEF">
        <w:rPr>
          <w:i/>
          <w:iCs/>
          <w:lang w:val="es-ES_tradnl"/>
        </w:rPr>
        <w:t>queer</w:t>
      </w:r>
      <w:r w:rsidRPr="007E0CEF">
        <w:rPr>
          <w:lang w:val="es-ES_tradnl"/>
        </w:rPr>
        <w:t xml:space="preserve">, en proceso de cuestionamiento, intersexuales, asexuales y otras, y las mujeres racializadas, incluidas las recién llegadas, las mujeres de edad y las jóvenes. </w:t>
      </w:r>
    </w:p>
    <w:p w14:paraId="42FDB4F1" w14:textId="1A136296" w:rsidR="006415A2" w:rsidRPr="007E0CEF" w:rsidRDefault="006415A2" w:rsidP="006415A2">
      <w:pPr>
        <w:pStyle w:val="SingleTxt"/>
        <w:spacing w:after="0" w:line="120" w:lineRule="exact"/>
        <w:rPr>
          <w:sz w:val="10"/>
          <w:lang w:val="es-ES_tradnl"/>
        </w:rPr>
      </w:pPr>
    </w:p>
    <w:p w14:paraId="74B9D095" w14:textId="1783D7E5" w:rsidR="006415A2" w:rsidRPr="007E0CEF" w:rsidRDefault="006415A2" w:rsidP="006415A2">
      <w:pPr>
        <w:pStyle w:val="SingleTxt"/>
        <w:spacing w:after="0" w:line="120" w:lineRule="exact"/>
        <w:rPr>
          <w:iCs/>
          <w:sz w:val="10"/>
          <w:lang w:val="es-ES_tradnl"/>
        </w:rPr>
      </w:pPr>
    </w:p>
    <w:p w14:paraId="396C9097" w14:textId="2EBACAA2" w:rsidR="00FA3F43" w:rsidRPr="007E0CEF" w:rsidRDefault="00FA3F43" w:rsidP="0064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Gobiernos provinciales y territoriales</w:t>
      </w:r>
    </w:p>
    <w:p w14:paraId="4EFC817E" w14:textId="4800940B" w:rsidR="006415A2" w:rsidRPr="007E0CEF" w:rsidRDefault="006415A2" w:rsidP="006415A2">
      <w:pPr>
        <w:pStyle w:val="SingleTxt"/>
        <w:spacing w:after="0" w:line="120" w:lineRule="exact"/>
        <w:rPr>
          <w:sz w:val="10"/>
          <w:lang w:val="es-ES_tradnl"/>
        </w:rPr>
      </w:pPr>
    </w:p>
    <w:p w14:paraId="593C3898" w14:textId="76540DCF" w:rsidR="006415A2" w:rsidRPr="007E0CEF" w:rsidRDefault="006415A2" w:rsidP="006415A2">
      <w:pPr>
        <w:pStyle w:val="SingleTxt"/>
        <w:spacing w:after="0" w:line="120" w:lineRule="exact"/>
        <w:rPr>
          <w:sz w:val="10"/>
          <w:lang w:val="es-ES_tradnl"/>
        </w:rPr>
      </w:pPr>
    </w:p>
    <w:p w14:paraId="14F3CD05" w14:textId="77777777" w:rsidR="00FA3F43" w:rsidRPr="007E0CEF" w:rsidRDefault="00FA3F43" w:rsidP="00BB0090">
      <w:pPr>
        <w:pStyle w:val="SingleTxt"/>
        <w:numPr>
          <w:ilvl w:val="0"/>
          <w:numId w:val="44"/>
        </w:numPr>
        <w:ind w:left="1267"/>
        <w:rPr>
          <w:iCs/>
          <w:lang w:val="es-ES_tradnl"/>
        </w:rPr>
      </w:pPr>
      <w:r w:rsidRPr="007E0CEF">
        <w:rPr>
          <w:lang w:val="es-ES_tradnl"/>
        </w:rPr>
        <w:t>Los gobiernos provinciales y territoriales también trabajan activamente para promover la igualdad entre mujeres y hombres. Por ejemplo, el gobierno de Terranova y Labrador creó su primer cargo independiente de Ministro Responsable de la Condición de la Mujer en 2019 y anunció que iba a desarrollar el mandato de la Oficina de la Condición de la Mujer. Entre las prioridades se incluye garantizar la adhesión de “todas las instancias gubernamentales” al análisis basado en el género plus, consolidar el enfoque de prevención de la violencia de género y la promoción específica de las mujeres en puestos de liderazgo.</w:t>
      </w:r>
    </w:p>
    <w:p w14:paraId="680CFC53" w14:textId="77777777" w:rsidR="00FA3F43" w:rsidRPr="007E0CEF" w:rsidRDefault="00FA3F43" w:rsidP="00BB0090">
      <w:pPr>
        <w:pStyle w:val="SingleTxt"/>
        <w:numPr>
          <w:ilvl w:val="0"/>
          <w:numId w:val="44"/>
        </w:numPr>
        <w:ind w:left="1267"/>
        <w:rPr>
          <w:iCs/>
          <w:lang w:val="es-ES_tradnl"/>
        </w:rPr>
      </w:pPr>
      <w:bookmarkStart w:id="13" w:name="lt_pId013"/>
      <w:r w:rsidRPr="007E0CEF">
        <w:rPr>
          <w:lang w:val="es-ES_tradnl"/>
        </w:rPr>
        <w:t>En 2017, Quebec lanzó su Estrategia Gubernamental para la Igualdad de Género de cara a 2021 (Estrategia de Igualdad). En dicha Estrategia se plantean medidas concretas para promover el empoderamiento económico de las mujeres, el acceso de estas a puestos de poder e influencia, la distribución justa de las responsabilidades familiares y un equilibrio más adecuado entre la vida familiar, laboral, escolar, social y política.</w:t>
      </w:r>
      <w:bookmarkStart w:id="14" w:name="lt_pId014"/>
      <w:bookmarkEnd w:id="13"/>
      <w:bookmarkEnd w:id="14"/>
    </w:p>
    <w:p w14:paraId="5538EF3E" w14:textId="09371B2F" w:rsidR="00FA3F43" w:rsidRPr="007E0CEF" w:rsidRDefault="00FA3F43" w:rsidP="00BB0090">
      <w:pPr>
        <w:pStyle w:val="SingleTxt"/>
        <w:numPr>
          <w:ilvl w:val="0"/>
          <w:numId w:val="45"/>
        </w:numPr>
        <w:ind w:left="1267"/>
        <w:rPr>
          <w:iCs/>
          <w:lang w:val="es-ES_tradnl"/>
        </w:rPr>
      </w:pPr>
      <w:r w:rsidRPr="007E0CEF">
        <w:rPr>
          <w:lang w:val="es-ES_tradnl"/>
        </w:rPr>
        <w:t>En 2017 se estableció por ley el Consejo de la Mujer de Nuevo Brunswick como organismo de alcance reglamentario con el mandato de promover la igualdad de las mujeres y niñas, asesorar a las autoridades gubernamentales y poner de relieve las cuestiones de interés y problemáticas para las mujeres.</w:t>
      </w:r>
    </w:p>
    <w:p w14:paraId="221A8EC0" w14:textId="6FE329D3" w:rsidR="006415A2" w:rsidRPr="007E0CEF" w:rsidRDefault="006415A2" w:rsidP="006415A2">
      <w:pPr>
        <w:pStyle w:val="SingleTxt"/>
        <w:spacing w:after="0" w:line="120" w:lineRule="exact"/>
        <w:rPr>
          <w:sz w:val="10"/>
          <w:lang w:val="es-ES_tradnl"/>
        </w:rPr>
      </w:pPr>
    </w:p>
    <w:p w14:paraId="78C867D4" w14:textId="3B442AAD" w:rsidR="006415A2" w:rsidRPr="007E0CEF" w:rsidRDefault="006415A2" w:rsidP="006415A2">
      <w:pPr>
        <w:pStyle w:val="SingleTxt"/>
        <w:spacing w:after="0" w:line="120" w:lineRule="exact"/>
        <w:rPr>
          <w:iCs/>
          <w:sz w:val="10"/>
          <w:lang w:val="es-ES_tradnl"/>
        </w:rPr>
      </w:pPr>
    </w:p>
    <w:p w14:paraId="043EF75E" w14:textId="676804CD" w:rsidR="00FA3F43" w:rsidRPr="007E0CEF" w:rsidRDefault="00FA3F43" w:rsidP="0064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Análisis basado en el género plus y presupuestación con perspectiva de género</w:t>
      </w:r>
    </w:p>
    <w:p w14:paraId="1C8D2795" w14:textId="6E344350" w:rsidR="006415A2" w:rsidRPr="007E0CEF" w:rsidRDefault="006415A2" w:rsidP="006415A2">
      <w:pPr>
        <w:pStyle w:val="SingleTxt"/>
        <w:spacing w:after="0" w:line="120" w:lineRule="exact"/>
        <w:rPr>
          <w:sz w:val="10"/>
          <w:lang w:val="es-ES_tradnl"/>
        </w:rPr>
      </w:pPr>
    </w:p>
    <w:p w14:paraId="66073924" w14:textId="3E27F544" w:rsidR="006415A2" w:rsidRPr="007E0CEF" w:rsidRDefault="006415A2" w:rsidP="006415A2">
      <w:pPr>
        <w:pStyle w:val="SingleTxt"/>
        <w:spacing w:after="0" w:line="120" w:lineRule="exact"/>
        <w:rPr>
          <w:sz w:val="10"/>
          <w:lang w:val="es-ES_tradnl"/>
        </w:rPr>
      </w:pPr>
    </w:p>
    <w:p w14:paraId="7EA47C74" w14:textId="77777777" w:rsidR="00FA3F43" w:rsidRPr="007E0CEF" w:rsidRDefault="00FA3F43" w:rsidP="00BB0090">
      <w:pPr>
        <w:pStyle w:val="SingleTxt"/>
        <w:numPr>
          <w:ilvl w:val="0"/>
          <w:numId w:val="46"/>
        </w:numPr>
        <w:ind w:left="1267"/>
        <w:rPr>
          <w:iCs/>
          <w:lang w:val="es-ES_tradnl"/>
        </w:rPr>
      </w:pPr>
      <w:r w:rsidRPr="007E0CEF">
        <w:rPr>
          <w:lang w:val="es-ES_tradnl"/>
        </w:rPr>
        <w:t>Además de promover el análisis basado en el género plus dentro del Gobierno federal, el Departamento de la Mujer y la Igualdad de Género ha colaborado con diversos asociados provinciales y territoriales en el diseño de un marco de evaluación para dicho análisis, que contribuirá a demostrar su utilidad y sus ventajas potenciales para la población. Esta labor también ayudará a determinar las mejores prácticas en la aplicación del análisis basado en el género plus y posibilitará que otras jurisdicciones puedan emular aquellos enfoques que resulten prometedores.</w:t>
      </w:r>
    </w:p>
    <w:p w14:paraId="07476DE6" w14:textId="77777777" w:rsidR="00FA3F43" w:rsidRPr="007E0CEF" w:rsidRDefault="00FA3F43" w:rsidP="00BB0090">
      <w:pPr>
        <w:pStyle w:val="SingleTxt"/>
        <w:numPr>
          <w:ilvl w:val="0"/>
          <w:numId w:val="46"/>
        </w:numPr>
        <w:ind w:left="1267"/>
        <w:rPr>
          <w:iCs/>
          <w:lang w:val="es-ES_tradnl"/>
        </w:rPr>
      </w:pPr>
      <w:r w:rsidRPr="007E0CEF">
        <w:rPr>
          <w:lang w:val="es-ES_tradnl"/>
        </w:rPr>
        <w:t>En los últimos años, los gobiernos provinciales y territoriales han diseñado una serie de herramientas didácticas y analíticas sobre el análisis basado en el género plus u otros procesos de análisis similares. He aquí algunos ejemplos:</w:t>
      </w:r>
    </w:p>
    <w:p w14:paraId="5A4FB87D" w14:textId="54493176" w:rsidR="00FA3F43" w:rsidRPr="007E0CEF" w:rsidRDefault="006415A2" w:rsidP="006415A2">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2017, la Secretaría de la Condición de la Mujer de Manitoba publicó una serie de recursos en línea sobre análisis de género y diversidad destinados a funcionarios. En 2019, la Secretaría impartió un curso de formación introductorio de tres horas de duración sobre iniciación al análisis basado en el género plus con el fin de fomentar el conocimiento de los conceptos y procesos fundamentales para ayudar a la aplicación de este tipo de análisis en la labor gubernamental; </w:t>
      </w:r>
    </w:p>
    <w:p w14:paraId="3F658C7F" w14:textId="2AD4597C" w:rsidR="00FA3F43" w:rsidRPr="007E0CEF" w:rsidRDefault="006415A2" w:rsidP="006415A2">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Ontario está elaborando un curso en línea sobre análisis de género y diversidad destinado a la Función Pública de dicha provincia, que ayudará a determinar los efectos tanto positivos como potencialmente negativos de las políticas, programas y servicios;</w:t>
      </w:r>
    </w:p>
    <w:p w14:paraId="35CBABFE" w14:textId="3C1A91AC" w:rsidR="00FA3F43" w:rsidRPr="007E0CEF" w:rsidRDefault="006415A2" w:rsidP="006415A2">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El Consejo Consultivo sobre la Condición de la Mujer de Nueva Escocia colabora con la Comisión de Función Pública y la Oficina de Innovación Social en la puesta en marcha </w:t>
      </w:r>
      <w:r w:rsidR="00FA3F43" w:rsidRPr="007E0CEF">
        <w:rPr>
          <w:kern w:val="14"/>
          <w:lang w:val="es-ES_tradnl"/>
        </w:rPr>
        <w:lastRenderedPageBreak/>
        <w:t>de la formación sobre análisis basado en el género plus destinada a los empleados de la Función Pública de la mencionada provincia;</w:t>
      </w:r>
    </w:p>
    <w:p w14:paraId="61921087" w14:textId="6E04DE7A" w:rsidR="00FA3F43" w:rsidRPr="007E0CEF" w:rsidRDefault="006415A2" w:rsidP="006415A2">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El gobierno de Quebec también está revisando y actualizando su enfoque de análisis basado en el género, en particular mediante un comité de trabajo creado en febrero de 2021. Los miembros de dicho comité, seleccionados por su experiencia en análisis basado en el género e interseccionalidad, proceden de ambos niveles gubernamentales (provincial y federal), así como de gobiernos locales y regionales y círculos de investigación y comunitarios. La labor de este comité está orientada a integrar una perspectiva interseccional en el enfoque de análisis basado en el género aplicado por el gobierno de Quebec, así como a fomentar su incorporación en la formulación de políticas públicas.</w:t>
      </w:r>
    </w:p>
    <w:p w14:paraId="3B910268" w14:textId="77777777" w:rsidR="00FA3F43" w:rsidRPr="007E0CEF" w:rsidRDefault="00FA3F43" w:rsidP="00BB0090">
      <w:pPr>
        <w:pStyle w:val="SingleTxt"/>
        <w:numPr>
          <w:ilvl w:val="0"/>
          <w:numId w:val="47"/>
        </w:numPr>
        <w:ind w:left="1267"/>
        <w:rPr>
          <w:iCs/>
          <w:lang w:val="es-ES_tradnl"/>
        </w:rPr>
      </w:pPr>
      <w:r w:rsidRPr="007E0CEF">
        <w:rPr>
          <w:lang w:val="es-ES_tradnl"/>
        </w:rPr>
        <w:t>Además, muchos gobiernos provinciales y territoriales están teniendo en cuenta el género en los procesos de presupuestación y adopción de decisiones. Estos son algunos ejemplos:</w:t>
      </w:r>
    </w:p>
    <w:p w14:paraId="451610D2" w14:textId="0E530D73" w:rsidR="00FA3F43" w:rsidRPr="007E0CEF" w:rsidRDefault="006415A2" w:rsidP="006415A2">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En 2018, Columbia Británica se decidió a promover la equidad de género nombrando a una Secretaria Parlamentaria para la Equidad de Género y creando una Oficina de Equidad de Género. El análisis basado en el género plus constituye un componente obligatorio en todas las propuestas del Gabinete y la Junta del Tesoro y un elemento de referencia en la carta de mandato de todos los ministros y secretarios parlamentarios en el marco del principio fundacional de “equidad y antirracismo”. Dicho tipo de análisis forma parte del proceso presupuestario desde el Presupuesto de 2020;</w:t>
      </w:r>
    </w:p>
    <w:p w14:paraId="7A90153D" w14:textId="338E55BB" w:rsidR="00FA3F43" w:rsidRPr="007E0CEF" w:rsidRDefault="006415A2" w:rsidP="006415A2">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Como parte de la evolución constante orientada a entender mejor la repercusión de las decisiones gubernamentales en los distintos sectores de la población, Nuevo Brunswick publicó por primera vez una declaración de impacto en función del género relativa al Presupuesto 2021-2022. Dicha declaración constituye un punto de partida para la publicación de información acerca de las repercusiones del análisis basado en el género plus correspondientes a medidas presupuestarias específicas, así como un símbolo de la voluntad de ampliar el enfoque de Nueva Brunswick en materia de presupuestación con perspectiva de género;</w:t>
      </w:r>
    </w:p>
    <w:p w14:paraId="048BB3E8" w14:textId="294FDD6C" w:rsidR="00FA3F43" w:rsidRPr="007E0CEF" w:rsidRDefault="006415A2" w:rsidP="006415A2">
      <w:pPr>
        <w:pStyle w:val="Bullet1G"/>
        <w:tabs>
          <w:tab w:val="num" w:pos="1701"/>
        </w:tabs>
        <w:ind w:left="1701" w:hanging="170"/>
        <w:rPr>
          <w:kern w:val="14"/>
          <w:lang w:val="es-ES_tradnl"/>
        </w:rPr>
      </w:pPr>
      <w:bookmarkStart w:id="15" w:name="_Hlk98246399"/>
      <w:r w:rsidRPr="007E0CEF">
        <w:rPr>
          <w:lang w:val="es-ES_tradnl"/>
        </w:rPr>
        <w:t>•</w:t>
      </w:r>
      <w:r w:rsidRPr="007E0CEF">
        <w:rPr>
          <w:lang w:val="es-ES_tradnl"/>
        </w:rPr>
        <w:tab/>
      </w:r>
      <w:r w:rsidR="00FA3F43" w:rsidRPr="007E0CEF">
        <w:rPr>
          <w:kern w:val="14"/>
          <w:lang w:val="es-ES_tradnl"/>
        </w:rPr>
        <w:t>La Oficina de la Mujer y la Igualdad de Género de Terranova y Labrador revisa las solicitudes presupuestarias de los departamentos para garantizar que se realice un análisis basado en el género plus y formula recomendaciones sobre las esferas en las que sería conveniente que los departamentos aplicaran dicho análisis a la hora de elaborar su presupuesto;</w:t>
      </w:r>
    </w:p>
    <w:bookmarkEnd w:id="15"/>
    <w:p w14:paraId="7E8190BC" w14:textId="76244570" w:rsidR="00FA3F43" w:rsidRPr="007E0CEF" w:rsidRDefault="006415A2" w:rsidP="006415A2">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La isla del Príncipe Eduardo ha creado un Equipo de Tareas para la Promoción de la Equidad de Género y la Diversidad cuyo objetivo es velar por que las políticas y los programas resulten lo más equitativos posible, en particular consultando a los grupos de la isla dedicados a la defensa de las mujeres y a otros grupos infrarrepresentados acerca de posibles maneras de aumentar la inclusividad de la consulta previa a la elaboración de presupuestos. Entre los próximos pasos que la provincia tiene previsto dar figura promover la aplicación de una perspectiva de género, diversidad e inclusión en la presentación de las prioridades de gasto de los departamentos durante el proceso presupuestario.</w:t>
      </w:r>
    </w:p>
    <w:p w14:paraId="6888E1FB" w14:textId="6477DCD7" w:rsidR="006415A2" w:rsidRPr="007E0CEF" w:rsidRDefault="006415A2" w:rsidP="006415A2">
      <w:pPr>
        <w:pStyle w:val="Bullet1G"/>
        <w:tabs>
          <w:tab w:val="num" w:pos="1701"/>
        </w:tabs>
        <w:spacing w:after="0" w:line="120" w:lineRule="exact"/>
        <w:ind w:left="1701" w:hanging="170"/>
        <w:rPr>
          <w:kern w:val="14"/>
          <w:sz w:val="10"/>
          <w:lang w:val="es-ES_tradnl"/>
        </w:rPr>
      </w:pPr>
    </w:p>
    <w:p w14:paraId="656019F7" w14:textId="32D10E38" w:rsidR="006415A2" w:rsidRPr="007E0CEF" w:rsidRDefault="006415A2" w:rsidP="006415A2">
      <w:pPr>
        <w:pStyle w:val="Bullet1G"/>
        <w:tabs>
          <w:tab w:val="num" w:pos="1701"/>
        </w:tabs>
        <w:spacing w:after="0" w:line="120" w:lineRule="exact"/>
        <w:ind w:left="1701" w:hanging="170"/>
        <w:rPr>
          <w:kern w:val="14"/>
          <w:sz w:val="10"/>
          <w:lang w:val="es-ES_tradnl"/>
        </w:rPr>
      </w:pPr>
    </w:p>
    <w:p w14:paraId="4B9A8B1C" w14:textId="05C48CB2" w:rsidR="00FA3F43" w:rsidRPr="007E0CEF" w:rsidRDefault="006415A2" w:rsidP="006415A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00FA3F43" w:rsidRPr="007E0CEF">
        <w:rPr>
          <w:lang w:val="es-ES_tradnl"/>
        </w:rPr>
        <w:tab/>
        <w:t>Pregunta 8: Medidas especiales de carácter temporal</w:t>
      </w:r>
    </w:p>
    <w:p w14:paraId="704AA9FC" w14:textId="7B680E85" w:rsidR="008650C7" w:rsidRPr="007E0CEF" w:rsidRDefault="008650C7" w:rsidP="008650C7">
      <w:pPr>
        <w:pStyle w:val="SingleTxt"/>
        <w:spacing w:after="0" w:line="120" w:lineRule="exact"/>
        <w:rPr>
          <w:sz w:val="10"/>
          <w:lang w:val="es-ES_tradnl"/>
        </w:rPr>
      </w:pPr>
    </w:p>
    <w:p w14:paraId="62020CC2" w14:textId="03B065D7" w:rsidR="008650C7" w:rsidRPr="007E0CEF" w:rsidRDefault="008650C7" w:rsidP="008650C7">
      <w:pPr>
        <w:pStyle w:val="SingleTxt"/>
        <w:spacing w:after="0" w:line="120" w:lineRule="exact"/>
        <w:rPr>
          <w:sz w:val="10"/>
          <w:lang w:val="es-ES_tradnl"/>
        </w:rPr>
      </w:pPr>
    </w:p>
    <w:p w14:paraId="02D7931B" w14:textId="77777777" w:rsidR="00FA3F43" w:rsidRPr="007E0CEF" w:rsidRDefault="00FA3F43" w:rsidP="00BB0090">
      <w:pPr>
        <w:pStyle w:val="SingleTxt"/>
        <w:numPr>
          <w:ilvl w:val="0"/>
          <w:numId w:val="48"/>
        </w:numPr>
        <w:ind w:left="1267"/>
        <w:rPr>
          <w:iCs/>
          <w:lang w:val="es-ES_tradnl"/>
        </w:rPr>
      </w:pPr>
      <w:r w:rsidRPr="007E0CEF">
        <w:rPr>
          <w:lang w:val="es-ES_tradnl"/>
        </w:rPr>
        <w:t xml:space="preserve">El Canadá se ha centrado en los últimos años en la adopción de una serie de medidas transformadoras que sientan las bases y siguen dando impulso para lograr la igualdad de género. La aplicación de un enfoque sistémico y holístico a través de la legislación, las políticas y el programa ayudará a garantizar un cambio de comportamiento a largo plazo. Admitiendo que aún quedan cosas por hacer, el Canadá </w:t>
      </w:r>
      <w:r w:rsidRPr="007E0CEF">
        <w:rPr>
          <w:lang w:val="es-ES_tradnl"/>
        </w:rPr>
        <w:lastRenderedPageBreak/>
        <w:t xml:space="preserve">también ha puesto en marcha algunas medidas especiales de carácter temporal para promover y acelerar el logro de la igualdad de género mediante el empleo y la participación de las mujeres en la vida política (véanse los párrafos 122 y 135). </w:t>
      </w:r>
    </w:p>
    <w:p w14:paraId="233335CC" w14:textId="7DC0505D" w:rsidR="00FA3F43" w:rsidRPr="007E0CEF" w:rsidRDefault="00FA3F43" w:rsidP="00BB0090">
      <w:pPr>
        <w:pStyle w:val="SingleTxt"/>
        <w:numPr>
          <w:ilvl w:val="0"/>
          <w:numId w:val="48"/>
        </w:numPr>
        <w:ind w:left="1267"/>
        <w:rPr>
          <w:iCs/>
          <w:lang w:val="es-ES_tradnl"/>
        </w:rPr>
      </w:pPr>
      <w:r w:rsidRPr="007E0CEF">
        <w:rPr>
          <w:lang w:val="es-ES_tradnl"/>
        </w:rPr>
        <w:t>En julio de 2021, el Gobierno del Canadá creó un Equipo de Tareas para llevar a cabo una revisión amplia de la Ley de Igualdad en el Empleo, aplicable en los lugares de trabajo regulados a nivel federal, así como para formular recomendaciones concretas, independientes y con base empírica sobre la modernización y el afianzamiento del marco federal de igualdad en el empleo. El mencionado Equipo de Tareas consultará asimismo a las partes interesadas, las comunidades y la ciudadanía canadiense cuestiones relacionadas con dicha igualdad. La modernización de la Ley de Igualdad en el Empleo contribuirá a promover la equidad en los lugares de trabajo sometidos a regulación federal.</w:t>
      </w:r>
    </w:p>
    <w:p w14:paraId="55D7FF03" w14:textId="5A5F0069" w:rsidR="008650C7" w:rsidRPr="007E0CEF" w:rsidRDefault="008650C7" w:rsidP="008650C7">
      <w:pPr>
        <w:pStyle w:val="SingleTxt"/>
        <w:spacing w:after="0" w:line="120" w:lineRule="exact"/>
        <w:rPr>
          <w:sz w:val="10"/>
          <w:lang w:val="es-ES_tradnl"/>
        </w:rPr>
      </w:pPr>
    </w:p>
    <w:p w14:paraId="099FB2AF" w14:textId="4E96A4B0" w:rsidR="008650C7" w:rsidRPr="007E0CEF" w:rsidRDefault="008650C7" w:rsidP="008650C7">
      <w:pPr>
        <w:pStyle w:val="SingleTxt"/>
        <w:spacing w:after="0" w:line="120" w:lineRule="exact"/>
        <w:rPr>
          <w:iCs/>
          <w:sz w:val="10"/>
          <w:lang w:val="es-ES_tradnl"/>
        </w:rPr>
      </w:pPr>
    </w:p>
    <w:p w14:paraId="7EA3956B" w14:textId="77777777" w:rsidR="00FA3F43" w:rsidRPr="007E0CEF" w:rsidRDefault="00FA3F43" w:rsidP="008650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 xml:space="preserve">Pregunta 9: Obligaciones extraterritoriales </w:t>
      </w:r>
    </w:p>
    <w:p w14:paraId="79185BC1" w14:textId="77777777" w:rsidR="008650C7" w:rsidRPr="007E0CEF" w:rsidRDefault="008650C7" w:rsidP="008650C7">
      <w:pPr>
        <w:pStyle w:val="SingleTxt"/>
        <w:spacing w:after="0" w:line="120" w:lineRule="exact"/>
        <w:rPr>
          <w:b/>
          <w:sz w:val="10"/>
          <w:lang w:val="es-ES_tradnl"/>
        </w:rPr>
      </w:pPr>
    </w:p>
    <w:p w14:paraId="263CE917" w14:textId="77777777" w:rsidR="008650C7" w:rsidRPr="007E0CEF" w:rsidRDefault="008650C7" w:rsidP="008650C7">
      <w:pPr>
        <w:pStyle w:val="SingleTxt"/>
        <w:spacing w:after="0" w:line="120" w:lineRule="exact"/>
        <w:rPr>
          <w:b/>
          <w:sz w:val="10"/>
          <w:lang w:val="es-ES_tradnl"/>
        </w:rPr>
      </w:pPr>
    </w:p>
    <w:p w14:paraId="64A8378F" w14:textId="2BD2EE5F" w:rsidR="00FA3F43" w:rsidRPr="007E0CEF" w:rsidRDefault="00FA3F43" w:rsidP="00865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 xml:space="preserve">Ley de Evaluación del Impacto (anteriormente proyecto de ley </w:t>
      </w:r>
      <w:r w:rsidR="008650C7" w:rsidRPr="007E0CEF">
        <w:rPr>
          <w:lang w:val="es-ES_tradnl"/>
        </w:rPr>
        <w:br/>
      </w:r>
      <w:r w:rsidRPr="007E0CEF">
        <w:rPr>
          <w:lang w:val="es-ES_tradnl"/>
        </w:rPr>
        <w:t>C-69) y proyectos llevados a cabo fuera del Canadá</w:t>
      </w:r>
    </w:p>
    <w:p w14:paraId="560F6B02" w14:textId="288903EB" w:rsidR="008650C7" w:rsidRPr="007E0CEF" w:rsidRDefault="008650C7" w:rsidP="008650C7">
      <w:pPr>
        <w:pStyle w:val="SingleTxt"/>
        <w:spacing w:after="0" w:line="120" w:lineRule="exact"/>
        <w:rPr>
          <w:sz w:val="10"/>
          <w:lang w:val="es-ES_tradnl"/>
        </w:rPr>
      </w:pPr>
    </w:p>
    <w:p w14:paraId="2B682032" w14:textId="54A7DF20" w:rsidR="008650C7" w:rsidRPr="007E0CEF" w:rsidRDefault="008650C7" w:rsidP="008650C7">
      <w:pPr>
        <w:pStyle w:val="SingleTxt"/>
        <w:spacing w:after="0" w:line="120" w:lineRule="exact"/>
        <w:rPr>
          <w:sz w:val="10"/>
          <w:lang w:val="es-ES_tradnl"/>
        </w:rPr>
      </w:pPr>
    </w:p>
    <w:p w14:paraId="2468555F" w14:textId="77777777" w:rsidR="00FA3F43" w:rsidRPr="007E0CEF" w:rsidRDefault="00FA3F43" w:rsidP="00BB0090">
      <w:pPr>
        <w:pStyle w:val="SingleTxt"/>
        <w:numPr>
          <w:ilvl w:val="0"/>
          <w:numId w:val="49"/>
        </w:numPr>
        <w:ind w:left="1267"/>
        <w:rPr>
          <w:lang w:val="es-ES_tradnl"/>
        </w:rPr>
      </w:pPr>
      <w:r w:rsidRPr="007E0CEF">
        <w:rPr>
          <w:lang w:val="es-ES_tradnl"/>
        </w:rPr>
        <w:t>La Ley de Evaluación del Impacto es aplicable a los proyectos ejecutados fuera del Canadá por una autoridad federal (es decir, una entidad del Gobierno federal) o a aquellos en los que una autoridad federal proporciona asistencia financiera a cualquier persona con el fin de posibilitar la ejecución del proyecto en cuestión.</w:t>
      </w:r>
    </w:p>
    <w:p w14:paraId="519FF0FB" w14:textId="77777777" w:rsidR="00FA3F43" w:rsidRPr="007E0CEF" w:rsidRDefault="00FA3F43" w:rsidP="00BB0090">
      <w:pPr>
        <w:pStyle w:val="SingleTxt"/>
        <w:numPr>
          <w:ilvl w:val="0"/>
          <w:numId w:val="49"/>
        </w:numPr>
        <w:ind w:left="1267"/>
        <w:rPr>
          <w:lang w:val="es-ES_tradnl"/>
        </w:rPr>
      </w:pPr>
      <w:bookmarkStart w:id="16" w:name="_Hlk102981850"/>
      <w:r w:rsidRPr="007E0CEF">
        <w:rPr>
          <w:lang w:val="es-ES_tradnl"/>
        </w:rPr>
        <w:t xml:space="preserve">Antes de llevar a cabo el proyecto o de garantizar la asistencia financiera, la autoridad federal debe determinar la probabilidad de que el proyecto provoque efectos ambientales adversos de magnitud considerable, lo que incluye las consecuencias de carácter sanitario, social y económico. En este proceso, la autoridad federal puede tener en cuenta los resultados de un análisis basado en el género plus. El Organismo de Evaluación del Impacto del Canadá ha elaborado unas orientaciones provisionales para ayudar a las autoridades a cumplir sus obligaciones en relación con los proyectos ejecutados fuera del país.  </w:t>
      </w:r>
    </w:p>
    <w:p w14:paraId="7FECB45B" w14:textId="7DE30BEB" w:rsidR="00FA3F43" w:rsidRPr="007E0CEF" w:rsidRDefault="00FA3F43" w:rsidP="00BB0090">
      <w:pPr>
        <w:pStyle w:val="SingleTxt"/>
        <w:numPr>
          <w:ilvl w:val="0"/>
          <w:numId w:val="50"/>
        </w:numPr>
        <w:ind w:left="1267"/>
        <w:rPr>
          <w:lang w:val="es-ES_tradnl"/>
        </w:rPr>
      </w:pPr>
      <w:r w:rsidRPr="007E0CEF">
        <w:rPr>
          <w:lang w:val="es-ES_tradnl"/>
        </w:rPr>
        <w:t xml:space="preserve">Dicho Organismo también ha elaborado unas orientaciones sobre el análisis basado en el género plus para evaluar la repercusión social, económica y ambiental de proyectos concretos. Aunque tales orientaciones están adaptadas a la evaluación de proyectos concretos ejecutados en el Canadá, su contenido también resulta útil para los proyectos llevados a cabo fuera del país. Las orientaciones en cuestión están accesibles públicamente a través del sitio web del Organismo y plantean una serie de preguntas orientativas para ayudar a los proponentes a sopesar los posibles efectos de los proyectos en diversos grupos y, en particular, en aquellos marginados o potencialmente más afectados por los proyectos propuestos. </w:t>
      </w:r>
    </w:p>
    <w:p w14:paraId="0A4D32FB" w14:textId="4356F033" w:rsidR="008650C7" w:rsidRPr="007E0CEF" w:rsidRDefault="008650C7" w:rsidP="008650C7">
      <w:pPr>
        <w:pStyle w:val="SingleTxt"/>
        <w:spacing w:after="0" w:line="120" w:lineRule="exact"/>
        <w:rPr>
          <w:sz w:val="10"/>
          <w:lang w:val="es-ES_tradnl"/>
        </w:rPr>
      </w:pPr>
    </w:p>
    <w:p w14:paraId="7949BAF3" w14:textId="0E6B753F" w:rsidR="008650C7" w:rsidRPr="007E0CEF" w:rsidRDefault="008650C7" w:rsidP="008650C7">
      <w:pPr>
        <w:pStyle w:val="SingleTxt"/>
        <w:spacing w:after="0" w:line="120" w:lineRule="exact"/>
        <w:rPr>
          <w:sz w:val="10"/>
          <w:lang w:val="es-ES_tradnl"/>
        </w:rPr>
      </w:pPr>
    </w:p>
    <w:bookmarkEnd w:id="16"/>
    <w:p w14:paraId="36D00BD5" w14:textId="7787D249" w:rsidR="00FA3F43" w:rsidRPr="007E0CEF" w:rsidRDefault="00FA3F43" w:rsidP="008650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Pregunta 10: Institución nacional de derechos humanos</w:t>
      </w:r>
    </w:p>
    <w:p w14:paraId="309B3E05" w14:textId="4EA71743" w:rsidR="008650C7" w:rsidRPr="007E0CEF" w:rsidRDefault="008650C7" w:rsidP="008650C7">
      <w:pPr>
        <w:pStyle w:val="SingleTxt"/>
        <w:spacing w:after="0" w:line="120" w:lineRule="exact"/>
        <w:rPr>
          <w:sz w:val="10"/>
          <w:lang w:val="es-ES_tradnl"/>
        </w:rPr>
      </w:pPr>
    </w:p>
    <w:p w14:paraId="7B34502F" w14:textId="20F51C07" w:rsidR="008650C7" w:rsidRPr="007E0CEF" w:rsidRDefault="008650C7" w:rsidP="008650C7">
      <w:pPr>
        <w:pStyle w:val="SingleTxt"/>
        <w:spacing w:after="0" w:line="120" w:lineRule="exact"/>
        <w:rPr>
          <w:sz w:val="10"/>
          <w:lang w:val="es-ES_tradnl"/>
        </w:rPr>
      </w:pPr>
    </w:p>
    <w:p w14:paraId="6662BF1F" w14:textId="77777777" w:rsidR="00FA3F43" w:rsidRPr="007E0CEF" w:rsidRDefault="00FA3F43" w:rsidP="00BB0090">
      <w:pPr>
        <w:pStyle w:val="SingleTxt"/>
        <w:numPr>
          <w:ilvl w:val="0"/>
          <w:numId w:val="51"/>
        </w:numPr>
        <w:ind w:left="1267"/>
        <w:rPr>
          <w:lang w:val="es-ES_tradnl"/>
        </w:rPr>
      </w:pPr>
      <w:r w:rsidRPr="007E0CEF">
        <w:rPr>
          <w:lang w:val="es-ES_tradnl"/>
        </w:rPr>
        <w:t>La Comisión Canadiense de Derechos Humanos es la comisión federal de igualdad del Canadá. Su creación, junto con la del Tribunal Canadiense de Derechos Humanos, se llevó a cabo en virtud de la Ley de Derechos Humanos del Canadá, que constituye la ley federal de igualdad del país. El Gobierno federal y los gobiernos provinciales y territoriales del Canadá cuentan, cada uno de ellos, con su propia comisión o tribunal de igualdad.</w:t>
      </w:r>
    </w:p>
    <w:p w14:paraId="754AF2CF" w14:textId="77777777" w:rsidR="00FA3F43" w:rsidRPr="007E0CEF" w:rsidRDefault="00FA3F43" w:rsidP="00BB0090">
      <w:pPr>
        <w:pStyle w:val="SingleTxt"/>
        <w:numPr>
          <w:ilvl w:val="0"/>
          <w:numId w:val="51"/>
        </w:numPr>
        <w:ind w:left="1267"/>
        <w:rPr>
          <w:lang w:val="es-ES_tradnl"/>
        </w:rPr>
      </w:pPr>
      <w:r w:rsidRPr="007E0CEF">
        <w:rPr>
          <w:lang w:val="es-ES_tradnl"/>
        </w:rPr>
        <w:t xml:space="preserve">El cometido primordial de la Comisión Canadiense de Derechos Humanos es atender las denuncias por discriminación en el ámbito del empleo y el suministro de bienes y servicios sometidos a regulación federal. Dicha Comisión no está diseñada </w:t>
      </w:r>
      <w:r w:rsidRPr="007E0CEF">
        <w:rPr>
          <w:lang w:val="es-ES_tradnl"/>
        </w:rPr>
        <w:lastRenderedPageBreak/>
        <w:t xml:space="preserve">ni pensada para atender todo tipo de reclamaciones en materia de derechos humanos, sino que su mandato siempre ha estado centrado en cuestiones de igualdad y no discriminación. El Canadá se sirve de diversas leyes e instituciones para resolver las reclamaciones de derechos humanos; por ejemplo, las partes reclamantes pueden invocar las disposiciones de la Carta de Derechos y Libertades del Canadá (en adelante, la Carta) tanto ante los tribunales como ante las instancias decisorias administrativas, según proceda. </w:t>
      </w:r>
    </w:p>
    <w:p w14:paraId="5751D447" w14:textId="77777777" w:rsidR="00FA3F43" w:rsidRPr="007E0CEF" w:rsidRDefault="00FA3F43" w:rsidP="00BB0090">
      <w:pPr>
        <w:pStyle w:val="SingleTxt"/>
        <w:numPr>
          <w:ilvl w:val="0"/>
          <w:numId w:val="52"/>
        </w:numPr>
        <w:ind w:left="1267"/>
        <w:rPr>
          <w:lang w:val="es-ES_tradnl"/>
        </w:rPr>
      </w:pPr>
      <w:r w:rsidRPr="007E0CEF">
        <w:rPr>
          <w:lang w:val="es-ES_tradnl"/>
        </w:rPr>
        <w:t xml:space="preserve">Para poder presentar una denuncia por discriminación ante la Comisión Canadiense de Derechos Humanos, la víctima de la práctica en cuestión tiene que haber estado “legalmente” en el Canadá en el momento de producirse la presunta discriminación. Este requisito engloba todos los estatutos de inmigración legal, incluidos los de visitante y refugiado. Las personas encarceladas en un centro penitenciario pero carentes de estatuto jurídico también pueden recurrir a la Comisión. El Gobierno del Canadá no tiene previsto ampliar la posibilidad de recurrir a la Comisión a las personas que hayan agotado sus procesos de inmigración y residan en el país de manera ilegal. No obstante, dependiendo de sus circunstancias, las personas que no se encuentren en situación legal en el Canadá pueden acceder a otras vías jurídicas para presentar cualquier denuncia por discriminación, lo que incluye la presentación de una reclamación ante un tribunal en virtud de las disposiciones de la Carta.   </w:t>
      </w:r>
    </w:p>
    <w:p w14:paraId="794982FA" w14:textId="6099C678" w:rsidR="00FA3F43" w:rsidRPr="007E0CEF" w:rsidRDefault="00FA3F43" w:rsidP="00BB0090">
      <w:pPr>
        <w:pStyle w:val="SingleTxt"/>
        <w:numPr>
          <w:ilvl w:val="0"/>
          <w:numId w:val="53"/>
        </w:numPr>
        <w:ind w:left="1267"/>
        <w:rPr>
          <w:lang w:val="es-ES_tradnl"/>
        </w:rPr>
      </w:pPr>
      <w:r w:rsidRPr="007E0CEF">
        <w:rPr>
          <w:lang w:val="es-ES_tradnl"/>
        </w:rPr>
        <w:t>La Comisión Canadiense de Derechos Humanos está facultada para elaborar varios tipos de informes, entre ellos los siguientes: informes anuales sobre sus actividades; informes especiales sobre cualquier asunto situado en el ámbito de sus competencias; informes de investigadores sobre denuncias individuales; y otros informes de diversa índole con un grado de especialización elevado. El informe anual sobre las actividades de la Comisión y los informes especiales se transmiten a la Presidencia del Senado y a la Presidencia de la Cámara de los Comunes para su presentación en dichas cámaras.</w:t>
      </w:r>
    </w:p>
    <w:p w14:paraId="065FDB90" w14:textId="2676E15B" w:rsidR="008650C7" w:rsidRPr="007E0CEF" w:rsidRDefault="008650C7" w:rsidP="008650C7">
      <w:pPr>
        <w:pStyle w:val="SingleTxt"/>
        <w:spacing w:after="0" w:line="120" w:lineRule="exact"/>
        <w:rPr>
          <w:sz w:val="10"/>
          <w:lang w:val="es-ES_tradnl"/>
        </w:rPr>
      </w:pPr>
    </w:p>
    <w:p w14:paraId="39B022D2" w14:textId="3534A60F" w:rsidR="008650C7" w:rsidRPr="007E0CEF" w:rsidRDefault="008650C7" w:rsidP="008650C7">
      <w:pPr>
        <w:pStyle w:val="SingleTxt"/>
        <w:spacing w:after="0" w:line="120" w:lineRule="exact"/>
        <w:rPr>
          <w:sz w:val="10"/>
          <w:lang w:val="es-ES_tradnl"/>
        </w:rPr>
      </w:pPr>
    </w:p>
    <w:p w14:paraId="1432B333" w14:textId="2C9B8EA4" w:rsidR="00FA3F43" w:rsidRPr="007E0CEF" w:rsidRDefault="00FA3F43" w:rsidP="008650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Pregunta 11: Estereotipos discriminatorios y prácticas nocivas</w:t>
      </w:r>
    </w:p>
    <w:p w14:paraId="66BBFFD2" w14:textId="5551F7C0" w:rsidR="008650C7" w:rsidRPr="007E0CEF" w:rsidRDefault="008650C7" w:rsidP="008650C7">
      <w:pPr>
        <w:pStyle w:val="SingleTxt"/>
        <w:spacing w:after="0" w:line="120" w:lineRule="exact"/>
        <w:rPr>
          <w:sz w:val="10"/>
          <w:lang w:val="es-ES_tradnl"/>
        </w:rPr>
      </w:pPr>
    </w:p>
    <w:p w14:paraId="449A6022" w14:textId="7166DAF4" w:rsidR="008650C7" w:rsidRPr="007E0CEF" w:rsidRDefault="008650C7" w:rsidP="008650C7">
      <w:pPr>
        <w:pStyle w:val="SingleTxt"/>
        <w:spacing w:after="0" w:line="120" w:lineRule="exact"/>
        <w:rPr>
          <w:sz w:val="10"/>
          <w:lang w:val="es-ES_tradnl"/>
        </w:rPr>
      </w:pPr>
    </w:p>
    <w:p w14:paraId="78116119" w14:textId="767B27A0" w:rsidR="00FA3F43" w:rsidRPr="007E0CEF" w:rsidRDefault="00FA3F43" w:rsidP="00865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Estereotipos discriminatorios</w:t>
      </w:r>
    </w:p>
    <w:p w14:paraId="6DAC2626" w14:textId="004077EB" w:rsidR="008650C7" w:rsidRPr="007E0CEF" w:rsidRDefault="008650C7" w:rsidP="008650C7">
      <w:pPr>
        <w:pStyle w:val="SingleTxt"/>
        <w:spacing w:after="0" w:line="120" w:lineRule="exact"/>
        <w:rPr>
          <w:sz w:val="10"/>
          <w:lang w:val="es-ES_tradnl"/>
        </w:rPr>
      </w:pPr>
    </w:p>
    <w:p w14:paraId="44452C71" w14:textId="2CC6BC20" w:rsidR="008650C7" w:rsidRPr="007E0CEF" w:rsidRDefault="008650C7" w:rsidP="008650C7">
      <w:pPr>
        <w:pStyle w:val="SingleTxt"/>
        <w:spacing w:after="0" w:line="120" w:lineRule="exact"/>
        <w:rPr>
          <w:sz w:val="10"/>
          <w:lang w:val="es-ES_tradnl"/>
        </w:rPr>
      </w:pPr>
    </w:p>
    <w:p w14:paraId="4DC6F76A" w14:textId="77777777" w:rsidR="00FA3F43" w:rsidRPr="007E0CEF" w:rsidRDefault="00FA3F43" w:rsidP="00BB0090">
      <w:pPr>
        <w:pStyle w:val="SingleTxt"/>
        <w:numPr>
          <w:ilvl w:val="0"/>
          <w:numId w:val="54"/>
        </w:numPr>
        <w:ind w:left="1267"/>
        <w:rPr>
          <w:iCs/>
          <w:lang w:val="es-ES_tradnl"/>
        </w:rPr>
      </w:pPr>
      <w:r w:rsidRPr="007E0CEF">
        <w:rPr>
          <w:lang w:val="es-ES_tradnl"/>
        </w:rPr>
        <w:t xml:space="preserve">El Gobierno federal y los gobiernos provinciales y territoriales están adoptando medidas para eliminar los estereotipos discriminatorios. He aquí algunos ejemplos:  </w:t>
      </w:r>
    </w:p>
    <w:p w14:paraId="650E76BF" w14:textId="021287F6" w:rsidR="00FA3F43" w:rsidRPr="007E0CEF" w:rsidRDefault="008650C7" w:rsidP="008650C7">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El Departamento de la Mujer y la Igualdad de Género invierte en organizaciones de todo el territorio del Canadá para la ejecución de proyectos orientados a eliminar los obstáculos sistémicos que impiden el progreso y la igualdad de las mujeres. Los proyectos financiados a través del Programa para las Mujeres tienen carácter diverso y aplican una amplia gama de enfoques y estrategias para abordar la complejidad de los problemas que afectan a las mujeres, incluidos los estereotipos discriminatorios referentes a las funciones y responsabilidades de mujeres y hombres, ya que estos influyen en la prosperidad y la seguridad económica de las mujeres, la presencia de mujeres en puestos decisorios y de liderazgo o la violencia de género; </w:t>
      </w:r>
    </w:p>
    <w:p w14:paraId="76EE6409" w14:textId="780C2A53" w:rsidR="00FA3F43" w:rsidRPr="007E0CEF" w:rsidRDefault="008650C7" w:rsidP="008650C7">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La finalidad de la estrategia del gobierno de Quebec para la igualdad entre mujeres y hombres de cara a 2021 es fomentar una educación igualitaria libre de estereotipos de género y sexismo. La principal medida diseñada y promovida con este objetivo es el programa SansStéréotypes (Sin Estereotipos). Este proyecto tiene tres componentes: desarrollo de contenidos informativos, comunicación y contribución a la disponibilidad de formación. Su principal aportación ha sido el diseño y la habilitación en línea de un </w:t>
      </w:r>
      <w:r w:rsidR="00FA3F43" w:rsidRPr="007E0CEF">
        <w:rPr>
          <w:kern w:val="14"/>
          <w:lang w:val="es-ES_tradnl"/>
        </w:rPr>
        <w:lastRenderedPageBreak/>
        <w:t>portal web en el que se abordan siete temas concretos: la identidad de niñas y niños, el reparto equitativo de las responsabilidades familiares, las alternativas educativas y profesionales, el éxito académico, la imagen corporal, la sexualización del espacio público y la vida afectiva y amorosa.</w:t>
      </w:r>
    </w:p>
    <w:p w14:paraId="05C0A4CC" w14:textId="4AE0EE75" w:rsidR="008650C7" w:rsidRPr="007E0CEF" w:rsidRDefault="008650C7" w:rsidP="008650C7">
      <w:pPr>
        <w:pStyle w:val="Bullet1G"/>
        <w:tabs>
          <w:tab w:val="num" w:pos="1701"/>
        </w:tabs>
        <w:spacing w:after="0" w:line="120" w:lineRule="exact"/>
        <w:ind w:left="1701" w:hanging="170"/>
        <w:rPr>
          <w:kern w:val="14"/>
          <w:sz w:val="10"/>
          <w:lang w:val="es-ES_tradnl"/>
        </w:rPr>
      </w:pPr>
    </w:p>
    <w:p w14:paraId="3228E2AF" w14:textId="658D27CB" w:rsidR="008650C7" w:rsidRPr="007E0CEF" w:rsidRDefault="008650C7" w:rsidP="008650C7">
      <w:pPr>
        <w:pStyle w:val="Bullet1G"/>
        <w:tabs>
          <w:tab w:val="num" w:pos="1701"/>
        </w:tabs>
        <w:spacing w:after="0" w:line="120" w:lineRule="exact"/>
        <w:ind w:left="1701" w:hanging="170"/>
        <w:rPr>
          <w:kern w:val="14"/>
          <w:sz w:val="10"/>
          <w:lang w:val="es-ES_tradnl"/>
        </w:rPr>
      </w:pPr>
    </w:p>
    <w:p w14:paraId="3280A7A1" w14:textId="0C6C6F9E" w:rsidR="00FA3F43" w:rsidRPr="007E0CEF" w:rsidRDefault="00FA3F43" w:rsidP="00865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Prácticas nocivas</w:t>
      </w:r>
    </w:p>
    <w:p w14:paraId="3702AF61" w14:textId="7D0EF1CE" w:rsidR="008650C7" w:rsidRPr="007E0CEF" w:rsidRDefault="008650C7" w:rsidP="008650C7">
      <w:pPr>
        <w:pStyle w:val="SingleTxt"/>
        <w:spacing w:after="0" w:line="120" w:lineRule="exact"/>
        <w:rPr>
          <w:sz w:val="10"/>
          <w:lang w:val="es-ES_tradnl"/>
        </w:rPr>
      </w:pPr>
    </w:p>
    <w:p w14:paraId="415F564F" w14:textId="017EF2E3" w:rsidR="008650C7" w:rsidRPr="007E0CEF" w:rsidRDefault="008650C7" w:rsidP="008650C7">
      <w:pPr>
        <w:pStyle w:val="SingleTxt"/>
        <w:spacing w:after="0" w:line="120" w:lineRule="exact"/>
        <w:rPr>
          <w:sz w:val="10"/>
          <w:lang w:val="es-ES_tradnl"/>
        </w:rPr>
      </w:pPr>
    </w:p>
    <w:p w14:paraId="0CAB96CB" w14:textId="77777777" w:rsidR="00FA3F43" w:rsidRPr="007E0CEF" w:rsidRDefault="00FA3F43" w:rsidP="00BB0090">
      <w:pPr>
        <w:pStyle w:val="SingleTxt"/>
        <w:numPr>
          <w:ilvl w:val="0"/>
          <w:numId w:val="55"/>
        </w:numPr>
        <w:ind w:left="1267"/>
        <w:rPr>
          <w:lang w:val="es-ES_tradnl"/>
        </w:rPr>
      </w:pPr>
      <w:r w:rsidRPr="007E0CEF">
        <w:rPr>
          <w:lang w:val="es-ES_tradnl"/>
        </w:rPr>
        <w:t>El Gobierno federal y los gobiernos provinciales y territoriales están concienciando sobre las distintas formas de combatir las prácticas nocivas, en particular a través de la educación y la formación. He aquí algunos ejemplos:</w:t>
      </w:r>
    </w:p>
    <w:p w14:paraId="2DC4B247" w14:textId="4F303104" w:rsidR="00FA3F43" w:rsidRPr="007E0CEF" w:rsidRDefault="008650C7" w:rsidP="008650C7">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El enfoque del Departamento de la Mujer y la Igualdad de Género a la hora de abordar el problema de la mutilación o ablación genital femenina en el Canadá contempla la colaboración con asociados tanto gubernamentales como no gubernamentales, entre ellos las víctimas y supervivientes, con el fin de centrar los esfuerzos en la concienciación, la prevención y la garantía a las mujeres que hayan sufrido dicha práctica de acceso a los servicios sanitarios y sociales adecuados;</w:t>
      </w:r>
    </w:p>
    <w:p w14:paraId="6DF82109" w14:textId="2650E0F0" w:rsidR="00FA3F43" w:rsidRPr="007E0CEF" w:rsidRDefault="008650C7" w:rsidP="008650C7">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El gobierno de Quebec ha destinado fondos a la Mesa de Coordinación de Organismos al Servicio de las Personas Refugiadas e Inmigrantes para contribuir al desarrollo de un proyecto dedicado a la creación de herramientas educativas e informativas de ayuda en la actuación de los profesionales de los diferentes sectores llamados a trabajar con niñas, mujeres y comunidades afectadas por la mutilación o ablación genital femenina en Quebec. En el proyecto en cuestión también se prevé la creación de herramientas educativas e informativas orientadas a tales grupos de destinatarias para informarles sobre las leyes canadienses y quebequesas, así como sobre los recursos disponibles para las mujeres y niñas que han sufrido o corren el peligro de sufrir mutilación o ablación genital femenina;</w:t>
      </w:r>
    </w:p>
    <w:p w14:paraId="63184EE7" w14:textId="6FF4B429" w:rsidR="00FA3F43" w:rsidRPr="007E0CEF" w:rsidRDefault="008650C7" w:rsidP="008650C7">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El Organismo Responsable en materia de Cultura y Condición de la Mujer de Alberta se dedica a promover la igualdad de género, fomentar el cambio de discurso y prevenir y eliminar la violencia de género, incluida la mutilación genital femenina. En el marco de la campaña 16 Días de Activismo contra la Violencia de Género de 2019, el gobierno de Alberta organizó la proyección de una película y una mesa redonda para concienciar sobre esta cuestión. El 6 de febrero de 2021, dicho gobierno proclamó el Día Internacional de Tolerancia Cero con la Mutilación Genital Femenina en Alberta;</w:t>
      </w:r>
    </w:p>
    <w:p w14:paraId="3697DED7" w14:textId="4481BD2A" w:rsidR="00FA3F43" w:rsidRPr="007E0CEF" w:rsidRDefault="008650C7" w:rsidP="008650C7">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El gobierno de Manitoba proporciona financiación al Centro de Recursos de Educación Sexual de dicha provincia para el diseño y la ejecución del programa “Our Selves, Our Daughters” (“Nosotras Mismas, Nuestras Hijas”), un programa de participación y educación comunitaria sobre la mutilación genital femenina dirigido a las mujeres refugiadas e inmigrantes africanas de Winnipeg. Esta iniciativa ofrece un espacio y recursos a las mujeres recién llegadas y afectadas por la práctica de la mutilación genital femenina que trabajan para impulsar un cambio en sus comunidades. El proyecto también ofrece formación a los proveedores de servicios sanitarios y sociales para aumentar su capacidad de prestar una atención adecuada desde el punto de vista cultural a las mujeres afectadas por dicha práctica. </w:t>
      </w:r>
    </w:p>
    <w:p w14:paraId="4042DD15" w14:textId="60284CE3" w:rsidR="008650C7" w:rsidRPr="007E0CEF" w:rsidRDefault="008650C7" w:rsidP="008650C7">
      <w:pPr>
        <w:pStyle w:val="Bullet1G"/>
        <w:tabs>
          <w:tab w:val="num" w:pos="1701"/>
        </w:tabs>
        <w:spacing w:after="0" w:line="120" w:lineRule="exact"/>
        <w:ind w:left="1701" w:hanging="170"/>
        <w:rPr>
          <w:kern w:val="14"/>
          <w:sz w:val="10"/>
          <w:lang w:val="es-ES_tradnl"/>
        </w:rPr>
      </w:pPr>
    </w:p>
    <w:p w14:paraId="051A8DA4" w14:textId="66B872A4" w:rsidR="008650C7" w:rsidRPr="007E0CEF" w:rsidRDefault="008650C7" w:rsidP="008650C7">
      <w:pPr>
        <w:pStyle w:val="Bullet1G"/>
        <w:tabs>
          <w:tab w:val="num" w:pos="1701"/>
        </w:tabs>
        <w:spacing w:after="0" w:line="120" w:lineRule="exact"/>
        <w:ind w:left="1701" w:hanging="170"/>
        <w:rPr>
          <w:kern w:val="14"/>
          <w:sz w:val="10"/>
          <w:lang w:val="es-ES_tradnl"/>
        </w:rPr>
      </w:pPr>
    </w:p>
    <w:p w14:paraId="7B4CBFA9" w14:textId="77777777" w:rsidR="00FA3F43" w:rsidRPr="007E0CEF" w:rsidRDefault="00FA3F43" w:rsidP="008650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Pregunta 12: Violencia de género contra la mujer</w:t>
      </w:r>
    </w:p>
    <w:p w14:paraId="61009794" w14:textId="77777777" w:rsidR="008650C7" w:rsidRPr="007E0CEF" w:rsidRDefault="008650C7" w:rsidP="008650C7">
      <w:pPr>
        <w:pStyle w:val="SingleTxt"/>
        <w:spacing w:after="0" w:line="120" w:lineRule="exact"/>
        <w:rPr>
          <w:b/>
          <w:sz w:val="10"/>
          <w:lang w:val="es-ES_tradnl"/>
        </w:rPr>
      </w:pPr>
    </w:p>
    <w:p w14:paraId="6C3801B6" w14:textId="77777777" w:rsidR="008650C7" w:rsidRPr="007E0CEF" w:rsidRDefault="008650C7" w:rsidP="008650C7">
      <w:pPr>
        <w:pStyle w:val="SingleTxt"/>
        <w:spacing w:after="0" w:line="120" w:lineRule="exact"/>
        <w:rPr>
          <w:b/>
          <w:sz w:val="10"/>
          <w:lang w:val="es-ES_tradnl"/>
        </w:rPr>
      </w:pPr>
    </w:p>
    <w:p w14:paraId="4A61A344" w14:textId="3BA68E0A" w:rsidR="00FA3F43" w:rsidRPr="007E0CEF" w:rsidRDefault="00FA3F43" w:rsidP="00865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Nueva legislación</w:t>
      </w:r>
    </w:p>
    <w:p w14:paraId="7FA3F743" w14:textId="5051B92E" w:rsidR="008650C7" w:rsidRPr="007E0CEF" w:rsidRDefault="008650C7" w:rsidP="008650C7">
      <w:pPr>
        <w:pStyle w:val="SingleTxt"/>
        <w:spacing w:after="0" w:line="120" w:lineRule="exact"/>
        <w:rPr>
          <w:sz w:val="10"/>
          <w:lang w:val="es-ES_tradnl"/>
        </w:rPr>
      </w:pPr>
    </w:p>
    <w:p w14:paraId="6A39ECA8" w14:textId="4B38C5CB" w:rsidR="008650C7" w:rsidRPr="007E0CEF" w:rsidRDefault="008650C7" w:rsidP="008650C7">
      <w:pPr>
        <w:pStyle w:val="SingleTxt"/>
        <w:spacing w:after="0" w:line="120" w:lineRule="exact"/>
        <w:rPr>
          <w:sz w:val="10"/>
          <w:lang w:val="es-ES_tradnl"/>
        </w:rPr>
      </w:pPr>
    </w:p>
    <w:p w14:paraId="1EC13EB2" w14:textId="77777777" w:rsidR="00FA3F43" w:rsidRPr="007E0CEF" w:rsidRDefault="00FA3F43" w:rsidP="00BB0090">
      <w:pPr>
        <w:pStyle w:val="SingleTxt"/>
        <w:numPr>
          <w:ilvl w:val="0"/>
          <w:numId w:val="56"/>
        </w:numPr>
        <w:ind w:left="1267"/>
        <w:rPr>
          <w:lang w:val="es-ES_tradnl"/>
        </w:rPr>
      </w:pPr>
      <w:r w:rsidRPr="007E0CEF">
        <w:rPr>
          <w:lang w:val="es-ES_tradnl"/>
        </w:rPr>
        <w:t xml:space="preserve">En los últimos años, el Gobierno federal y los gobiernos provinciales y territoriales han aprobado leyes que ayudan al enjuiciamiento de los autores de agresiones sexuales, a saber: </w:t>
      </w:r>
    </w:p>
    <w:p w14:paraId="768F0814" w14:textId="4411FC9A" w:rsidR="00FA3F43" w:rsidRPr="007E0CEF" w:rsidRDefault="008650C7" w:rsidP="008650C7">
      <w:pPr>
        <w:pStyle w:val="Bullet1G"/>
        <w:tabs>
          <w:tab w:val="num" w:pos="1701"/>
        </w:tabs>
        <w:ind w:left="1701" w:hanging="170"/>
        <w:rPr>
          <w:kern w:val="14"/>
          <w:lang w:val="es-ES_tradnl"/>
        </w:rPr>
      </w:pPr>
      <w:r w:rsidRPr="007E0CEF">
        <w:rPr>
          <w:lang w:val="es-ES_tradnl"/>
        </w:rPr>
        <w:lastRenderedPageBreak/>
        <w:t>•</w:t>
      </w:r>
      <w:r w:rsidRPr="007E0CEF">
        <w:rPr>
          <w:lang w:val="es-ES_tradnl"/>
        </w:rPr>
        <w:tab/>
      </w:r>
      <w:r w:rsidR="00FA3F43" w:rsidRPr="007E0CEF">
        <w:rPr>
          <w:kern w:val="14"/>
          <w:lang w:val="es-ES_tradnl"/>
        </w:rPr>
        <w:t>La Ley por la que se modifica la Ley de Jueces y el Código Penal, que recibió la correspondiente sanción real para su promulgación en mayo de 2021. Dicha Ley exige a todos los jueces recién nombrados de los tribunales superiores provinciales que participen en actividades de formación continua sobre la legislación relativa a las agresiones sexuales y el contexto social;</w:t>
      </w:r>
    </w:p>
    <w:p w14:paraId="6835EA2A" w14:textId="32049B1F" w:rsidR="00FA3F43" w:rsidRPr="007E0CEF" w:rsidRDefault="008650C7" w:rsidP="008650C7">
      <w:pPr>
        <w:pStyle w:val="Bullet1G"/>
        <w:tabs>
          <w:tab w:val="num" w:pos="1701"/>
        </w:tabs>
        <w:ind w:left="1701" w:hanging="170"/>
        <w:rPr>
          <w:kern w:val="14"/>
          <w:lang w:val="es-ES_tradnl"/>
        </w:rPr>
      </w:pPr>
      <w:bookmarkStart w:id="17" w:name="lt_pId025"/>
      <w:r w:rsidRPr="007E0CEF">
        <w:rPr>
          <w:lang w:val="es-ES_tradnl"/>
        </w:rPr>
        <w:t>•</w:t>
      </w:r>
      <w:r w:rsidRPr="007E0CEF">
        <w:rPr>
          <w:lang w:val="es-ES_tradnl"/>
        </w:rPr>
        <w:tab/>
      </w:r>
      <w:r w:rsidR="00FA3F43" w:rsidRPr="007E0CEF">
        <w:rPr>
          <w:kern w:val="14"/>
          <w:lang w:val="es-ES_tradnl"/>
        </w:rPr>
        <w:t xml:space="preserve">La Ley por la que se modifica el Código Civil, en particular para hacer imprescriptibles las acciones judiciales civiles por delitos de agresión sexual, violencia sufrida durante la infancia y violencia conyugal, que entró en vigor en Quebec en 2020. El objetivo principal de la legislación de Quebec es impedir que prescriban las acciones judiciales encaminadas a obtener una indemnización por los daños corporales derivados de actos potencialmente constitutivos de delito penal cuando el daño sea consecuencia de una agresión sexual, de la violencia sufrida durante la infancia o de la violencia ejercida por el cónyuge o excónyuge;   </w:t>
      </w:r>
      <w:bookmarkEnd w:id="17"/>
    </w:p>
    <w:p w14:paraId="776533AF" w14:textId="447FA7A1" w:rsidR="00FA3F43" w:rsidRPr="007E0CEF" w:rsidRDefault="008650C7" w:rsidP="008650C7">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La Ley por la que se modifica el Código Penal y la Ley del Departamento de Justicia y por la que se introducen las consiguientes modificaciones en otra Ley, que recibió la correspondiente sanción real para su promulgación en 2018. Esta Ley modificó el Código Penal para codificar y aclarar determinados aspectos de la legislación sobre agresiones sexuales, con el fin de evitar aplicaciones incorrectas de la ley y hacer que el sistema de justicia penal resulte más compasivo con la parte demandante en las denuncias de casos de agresión sexual. </w:t>
      </w:r>
    </w:p>
    <w:p w14:paraId="7E0C3CF9" w14:textId="368C079B" w:rsidR="008650C7" w:rsidRPr="007E0CEF" w:rsidRDefault="008650C7" w:rsidP="008650C7">
      <w:pPr>
        <w:pStyle w:val="Bullet1G"/>
        <w:tabs>
          <w:tab w:val="num" w:pos="1701"/>
        </w:tabs>
        <w:spacing w:after="0" w:line="120" w:lineRule="exact"/>
        <w:ind w:left="1701" w:hanging="170"/>
        <w:rPr>
          <w:kern w:val="14"/>
          <w:sz w:val="10"/>
          <w:lang w:val="es-ES_tradnl"/>
        </w:rPr>
      </w:pPr>
    </w:p>
    <w:p w14:paraId="350C958F" w14:textId="3ED25708" w:rsidR="008650C7" w:rsidRPr="007E0CEF" w:rsidRDefault="008650C7" w:rsidP="008650C7">
      <w:pPr>
        <w:pStyle w:val="Bullet1G"/>
        <w:tabs>
          <w:tab w:val="num" w:pos="1701"/>
        </w:tabs>
        <w:spacing w:after="0" w:line="120" w:lineRule="exact"/>
        <w:ind w:left="1701" w:hanging="170"/>
        <w:rPr>
          <w:kern w:val="14"/>
          <w:sz w:val="10"/>
          <w:lang w:val="es-ES_tradnl"/>
        </w:rPr>
      </w:pPr>
    </w:p>
    <w:p w14:paraId="007CA608" w14:textId="3B50E51C" w:rsidR="00FA3F43" w:rsidRPr="007E0CEF" w:rsidRDefault="00FA3F43" w:rsidP="00865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 xml:space="preserve">Estrategia del Canadá para Prevenir y Combatir la Violencia </w:t>
      </w:r>
      <w:r w:rsidR="002B389F" w:rsidRPr="007E0CEF">
        <w:rPr>
          <w:lang w:val="es-ES_tradnl"/>
        </w:rPr>
        <w:t>de</w:t>
      </w:r>
      <w:r w:rsidR="002B389F">
        <w:rPr>
          <w:lang w:val="es-ES_tradnl"/>
        </w:rPr>
        <w:t> </w:t>
      </w:r>
      <w:r w:rsidRPr="007E0CEF">
        <w:rPr>
          <w:lang w:val="es-ES_tradnl"/>
        </w:rPr>
        <w:t>Género</w:t>
      </w:r>
    </w:p>
    <w:p w14:paraId="4F025D61" w14:textId="28C522A3" w:rsidR="008650C7" w:rsidRPr="007E0CEF" w:rsidRDefault="008650C7" w:rsidP="008650C7">
      <w:pPr>
        <w:pStyle w:val="SingleTxt"/>
        <w:spacing w:after="0" w:line="120" w:lineRule="exact"/>
        <w:rPr>
          <w:sz w:val="10"/>
          <w:lang w:val="es-ES_tradnl"/>
        </w:rPr>
      </w:pPr>
    </w:p>
    <w:p w14:paraId="2DCE9D3C" w14:textId="6A72CE5A" w:rsidR="008650C7" w:rsidRPr="007E0CEF" w:rsidRDefault="008650C7" w:rsidP="008650C7">
      <w:pPr>
        <w:pStyle w:val="SingleTxt"/>
        <w:spacing w:after="0" w:line="120" w:lineRule="exact"/>
        <w:rPr>
          <w:sz w:val="10"/>
          <w:lang w:val="es-ES_tradnl"/>
        </w:rPr>
      </w:pPr>
    </w:p>
    <w:p w14:paraId="48FA3249" w14:textId="77777777" w:rsidR="00FA3F43" w:rsidRPr="007E0CEF" w:rsidRDefault="00FA3F43" w:rsidP="00BB0090">
      <w:pPr>
        <w:pStyle w:val="SingleTxt"/>
        <w:numPr>
          <w:ilvl w:val="0"/>
          <w:numId w:val="57"/>
        </w:numPr>
        <w:ind w:left="1267"/>
        <w:rPr>
          <w:lang w:val="es-ES_tradnl"/>
        </w:rPr>
      </w:pPr>
      <w:r w:rsidRPr="007E0CEF">
        <w:rPr>
          <w:lang w:val="es-ES_tradnl"/>
        </w:rPr>
        <w:t xml:space="preserve">La Estrategia del Canadá para Prevenir y Combatir la Violencia de Género, publicada en el documento titulado </w:t>
      </w:r>
      <w:r w:rsidRPr="007E0CEF">
        <w:rPr>
          <w:i/>
          <w:iCs/>
          <w:lang w:val="es-ES_tradnl"/>
        </w:rPr>
        <w:t>It’s Time: Canada’s Strategy to Prevent and Address Gender-Based Violence</w:t>
      </w:r>
      <w:r w:rsidRPr="007E0CEF">
        <w:rPr>
          <w:lang w:val="es-ES_tradnl"/>
        </w:rPr>
        <w:t>, constituye la estrategia federal contra dicho tipo de violencia, se basa en las iniciativas federales en marcha, coordina los programas existentes y sienta las bases para el aumento de las medidas contra la violencia de género. En los presupuestos federales se han destinado casi 200 millones de dólares desde el período 2017-2018 hasta el período 2022-2023, así como más de 40 millones de dólares por año en curso, al establecimiento, la puesta en marcha y la ampliación de la Estrategia, lo que incluye la creación del Centro de Conocimientos sobre Violencia de Género. Dicho Centro, albergado por el Departamento de la Mujer y la Igualdad de Género, recopila datos empíricos y recursos de programas e investigaciones para posibilitar una actuación de base empírica en materia de violencia de género.</w:t>
      </w:r>
    </w:p>
    <w:p w14:paraId="4167E8E5" w14:textId="5C30C4DF" w:rsidR="00FA3F43" w:rsidRPr="007E0CEF" w:rsidRDefault="00FA3F43" w:rsidP="00BB0090">
      <w:pPr>
        <w:pStyle w:val="SingleTxt"/>
        <w:numPr>
          <w:ilvl w:val="0"/>
          <w:numId w:val="57"/>
        </w:numPr>
        <w:ind w:left="1267"/>
        <w:rPr>
          <w:lang w:val="es-ES_tradnl"/>
        </w:rPr>
      </w:pPr>
      <w:r w:rsidRPr="007E0CEF">
        <w:rPr>
          <w:lang w:val="es-ES_tradnl"/>
        </w:rPr>
        <w:t>Las iniciativas de la Estrategia se articulan en torno a tres pilares: la prevención de la violencia de género, el apoyo a las supervivientes y sus familias y la promoción de la receptividad de los sistemas jurídicos y judiciales. La Estrategia subsana las deficiencias del apoyo brindado a diversos grupos de población en riesgo.</w:t>
      </w:r>
    </w:p>
    <w:p w14:paraId="55FD9938" w14:textId="7CEBDCFF" w:rsidR="008650C7" w:rsidRPr="007E0CEF" w:rsidRDefault="008650C7" w:rsidP="008650C7">
      <w:pPr>
        <w:pStyle w:val="SingleTxt"/>
        <w:spacing w:after="0" w:line="120" w:lineRule="exact"/>
        <w:rPr>
          <w:sz w:val="10"/>
          <w:lang w:val="es-ES_tradnl"/>
        </w:rPr>
      </w:pPr>
    </w:p>
    <w:p w14:paraId="4A5E7E58" w14:textId="36CB203F" w:rsidR="00FA3F43" w:rsidRPr="007E0CEF" w:rsidRDefault="008650C7" w:rsidP="008650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r>
      <w:r w:rsidR="00FA3F43" w:rsidRPr="007E0CEF">
        <w:rPr>
          <w:lang w:val="es-ES_tradnl"/>
        </w:rPr>
        <w:t>Plan de Acción Nacional para Eliminar la Violencia de Género</w:t>
      </w:r>
    </w:p>
    <w:p w14:paraId="29A0D24D" w14:textId="19B09D68" w:rsidR="008650C7" w:rsidRPr="007E0CEF" w:rsidRDefault="008650C7" w:rsidP="008650C7">
      <w:pPr>
        <w:pStyle w:val="SingleTxt"/>
        <w:spacing w:after="0" w:line="120" w:lineRule="exact"/>
        <w:rPr>
          <w:sz w:val="10"/>
          <w:lang w:val="es-ES_tradnl"/>
        </w:rPr>
      </w:pPr>
    </w:p>
    <w:p w14:paraId="2621D80D" w14:textId="77777777" w:rsidR="00FA3F43" w:rsidRPr="007E0CEF" w:rsidRDefault="00FA3F43" w:rsidP="00BB0090">
      <w:pPr>
        <w:pStyle w:val="SingleTxt"/>
        <w:numPr>
          <w:ilvl w:val="0"/>
          <w:numId w:val="58"/>
        </w:numPr>
        <w:ind w:left="1267"/>
        <w:rPr>
          <w:lang w:val="es-ES_tradnl"/>
        </w:rPr>
      </w:pPr>
      <w:bookmarkStart w:id="18" w:name="_Hlk85023651"/>
      <w:bookmarkStart w:id="19" w:name="_Hlk84576381"/>
      <w:r w:rsidRPr="007E0CEF">
        <w:rPr>
          <w:lang w:val="es-ES_tradnl"/>
        </w:rPr>
        <w:t xml:space="preserve">En 2019, la Ministra de la Mujer y la Igualdad de Género recibió el mandato de avanzar, partiendo de las bases sentadas por la estrategia federal contra la violencia de género, en la elaboración de un Plan de Acción Nacional para Eliminar la Violencia de Género, con el objetivo principal de garantizar que cualquier persona que se enfrente a este tipo de violencia tenga un acceso fiable y oportuno a los correspondientes mecanismos de protección y servicios, independientemente de su lugar de residencia. </w:t>
      </w:r>
    </w:p>
    <w:p w14:paraId="7B6A3BA4" w14:textId="77777777" w:rsidR="00FA3F43" w:rsidRPr="007E0CEF" w:rsidRDefault="00FA3F43" w:rsidP="00BB0090">
      <w:pPr>
        <w:pStyle w:val="SingleTxt"/>
        <w:numPr>
          <w:ilvl w:val="0"/>
          <w:numId w:val="58"/>
        </w:numPr>
        <w:ind w:left="1267"/>
        <w:rPr>
          <w:lang w:val="es-ES_tradnl"/>
        </w:rPr>
      </w:pPr>
      <w:r w:rsidRPr="007E0CEF">
        <w:rPr>
          <w:lang w:val="es-ES_tradnl"/>
        </w:rPr>
        <w:lastRenderedPageBreak/>
        <w:t>En su 38ª reunión anual, celebrada en enero de 2021, las ministras del Gobierno federal y los gobiernos provinciales y territoriales responsables de la condición de la mujer aprobaron la Declaración Conjunta por un Canadá Libre de Violencia de Género</w:t>
      </w:r>
      <w:r w:rsidRPr="007E0CEF">
        <w:rPr>
          <w:vertAlign w:val="superscript"/>
          <w:lang w:val="es-ES_tradnl"/>
        </w:rPr>
        <w:footnoteReference w:id="7"/>
      </w:r>
      <w:r w:rsidRPr="007E0CEF">
        <w:rPr>
          <w:lang w:val="es-ES_tradnl"/>
        </w:rPr>
        <w:t>. A través de dicha Declaración, las autoridades gubernamentales dieron a conocer su visión y sus principios y objetivos comunes con respecto a la elaboración del Plan de Acción Nacional para Eliminar la Violencia de Género</w:t>
      </w:r>
      <w:r w:rsidRPr="007E0CEF">
        <w:rPr>
          <w:iCs/>
          <w:vertAlign w:val="superscript"/>
          <w:lang w:val="es-ES_tradnl"/>
        </w:rPr>
        <w:footnoteReference w:id="8"/>
      </w:r>
      <w:r w:rsidRPr="007E0CEF">
        <w:rPr>
          <w:lang w:val="es-ES_tradnl"/>
        </w:rPr>
        <w:t xml:space="preserve">. </w:t>
      </w:r>
    </w:p>
    <w:p w14:paraId="357F0960" w14:textId="77777777" w:rsidR="00FA3F43" w:rsidRPr="007E0CEF" w:rsidRDefault="00FA3F43" w:rsidP="00BB0090">
      <w:pPr>
        <w:pStyle w:val="SingleTxt"/>
        <w:numPr>
          <w:ilvl w:val="0"/>
          <w:numId w:val="59"/>
        </w:numPr>
        <w:ind w:left="1267"/>
        <w:rPr>
          <w:lang w:val="es-ES_tradnl"/>
        </w:rPr>
      </w:pPr>
      <w:bookmarkStart w:id="20" w:name="_Hlk85023664"/>
      <w:bookmarkEnd w:id="18"/>
      <w:r w:rsidRPr="007E0CEF">
        <w:rPr>
          <w:lang w:val="es-ES_tradnl"/>
        </w:rPr>
        <w:t>Mediante la citada Declaración, las autoridades gubernamentales manifestaron, además, su determinación de seguir colaborando con los asociados federales, las distintas partes interesadas, los expertos, las víctimas y supervivientes, las familias y las personas con experiencia directa para construir un Canadá libre de violencia de género.</w:t>
      </w:r>
    </w:p>
    <w:p w14:paraId="65977905" w14:textId="576D4E8B" w:rsidR="00FA3F43" w:rsidRPr="007E0CEF" w:rsidRDefault="00FA3F43" w:rsidP="00BB0090">
      <w:pPr>
        <w:pStyle w:val="SingleTxt"/>
        <w:numPr>
          <w:ilvl w:val="0"/>
          <w:numId w:val="60"/>
        </w:numPr>
        <w:ind w:left="1267"/>
        <w:rPr>
          <w:lang w:val="es-ES_tradnl"/>
        </w:rPr>
      </w:pPr>
      <w:r w:rsidRPr="007E0CEF">
        <w:rPr>
          <w:lang w:val="es-ES_tradnl"/>
        </w:rPr>
        <w:t xml:space="preserve">El Plan de Acción Nacional para Eliminar la Violencia de Género se armonizaría con otras iniciativas a las que serviría de complemento, como la aplicación de las medidas exigidas por la Comisión de la Verdad y la Reconciliación y la respuesta a las peticiones de justicia de la Comisión Nacional de Investigación sobre las Mujeres y las Niñas Indígenas Desaparecidas o Asesinadas. </w:t>
      </w:r>
      <w:bookmarkEnd w:id="19"/>
    </w:p>
    <w:p w14:paraId="176B1BCA" w14:textId="2BC8338C" w:rsidR="008650C7" w:rsidRPr="007E0CEF" w:rsidRDefault="008650C7" w:rsidP="008650C7">
      <w:pPr>
        <w:pStyle w:val="SingleTxt"/>
        <w:spacing w:after="0" w:line="120" w:lineRule="exact"/>
        <w:rPr>
          <w:sz w:val="10"/>
          <w:lang w:val="es-ES_tradnl"/>
        </w:rPr>
      </w:pPr>
    </w:p>
    <w:p w14:paraId="3A6E3B2E" w14:textId="7AE4B3A5" w:rsidR="008650C7" w:rsidRPr="007E0CEF" w:rsidRDefault="008650C7" w:rsidP="008650C7">
      <w:pPr>
        <w:pStyle w:val="SingleTxt"/>
        <w:spacing w:after="0" w:line="120" w:lineRule="exact"/>
        <w:rPr>
          <w:sz w:val="10"/>
          <w:lang w:val="es-ES_tradnl"/>
        </w:rPr>
      </w:pPr>
    </w:p>
    <w:bookmarkEnd w:id="20"/>
    <w:p w14:paraId="7F0AAA27" w14:textId="29724002" w:rsidR="00FA3F43" w:rsidRPr="007E0CEF" w:rsidRDefault="00FA3F43" w:rsidP="00865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Enjuiciamiento de delitos de violencia familiar</w:t>
      </w:r>
    </w:p>
    <w:p w14:paraId="3F3B3C8D" w14:textId="5E8EC7F6" w:rsidR="008650C7" w:rsidRPr="007E0CEF" w:rsidRDefault="008650C7" w:rsidP="008650C7">
      <w:pPr>
        <w:pStyle w:val="SingleTxt"/>
        <w:spacing w:after="0" w:line="120" w:lineRule="exact"/>
        <w:rPr>
          <w:sz w:val="10"/>
          <w:lang w:val="es-ES_tradnl"/>
        </w:rPr>
      </w:pPr>
    </w:p>
    <w:p w14:paraId="269A00EF" w14:textId="7E865B2F" w:rsidR="008650C7" w:rsidRPr="007E0CEF" w:rsidRDefault="008650C7" w:rsidP="008650C7">
      <w:pPr>
        <w:pStyle w:val="SingleTxt"/>
        <w:spacing w:after="0" w:line="120" w:lineRule="exact"/>
        <w:rPr>
          <w:sz w:val="10"/>
          <w:lang w:val="es-ES_tradnl"/>
        </w:rPr>
      </w:pPr>
    </w:p>
    <w:p w14:paraId="572E853D" w14:textId="77777777" w:rsidR="00FA3F43" w:rsidRPr="007E0CEF" w:rsidRDefault="00FA3F43" w:rsidP="00BB0090">
      <w:pPr>
        <w:pStyle w:val="SingleTxt"/>
        <w:numPr>
          <w:ilvl w:val="0"/>
          <w:numId w:val="61"/>
        </w:numPr>
        <w:ind w:left="1267"/>
        <w:rPr>
          <w:lang w:val="es-ES_tradnl"/>
        </w:rPr>
      </w:pPr>
      <w:bookmarkStart w:id="21" w:name="_Hlk87873905"/>
      <w:r w:rsidRPr="007E0CEF">
        <w:rPr>
          <w:lang w:val="es-ES_tradnl"/>
        </w:rPr>
        <w:t>El Gobierno federal y los gobiernos provinciales y territoriales son responsables conjuntamente del funcionamiento del sistema de justicia penal. El Gobierno del Canadá es responsable de la promulgación de las leyes y los procedimientos penales aplicables en todo el país, mientras que los gobiernos provinciales son responsables de la administración de justicia dentro de sus respectivas jurisdicciones, lo que incluye la investigación y el enjuiciamiento de los delitos contemplados en el Código Penal, así como la asistencia a las víctimas de delitos. El Código Penal contiene sólidas disposiciones sobre la violencia de pareja y otras formas de violencia familiar.</w:t>
      </w:r>
    </w:p>
    <w:bookmarkEnd w:id="21"/>
    <w:p w14:paraId="2EBA64BB" w14:textId="082F1361" w:rsidR="00FA3F43" w:rsidRPr="007E0CEF" w:rsidRDefault="00FA3F43" w:rsidP="00BB0090">
      <w:pPr>
        <w:pStyle w:val="SingleTxt"/>
        <w:numPr>
          <w:ilvl w:val="0"/>
          <w:numId w:val="61"/>
        </w:numPr>
        <w:ind w:left="1267"/>
        <w:rPr>
          <w:lang w:val="es-ES_tradnl"/>
        </w:rPr>
      </w:pPr>
      <w:r w:rsidRPr="007E0CEF">
        <w:rPr>
          <w:lang w:val="es-ES_tradnl"/>
        </w:rPr>
        <w:t xml:space="preserve">La Ley por la que se modifican el Código Penal, la Ley de Justicia Penal Juvenil y otras Leyes y por la que se introducen las consiguientes modificaciones en el resto de Leyes (2019) amplía las medidas para hacer frente con más eficacia a la violencia de pareja mediante la modificación del Código Penal para contemplar una definición de pareja que abarque al cónyuge actual o al excónyuge, a la pareja de hecho y a la pareja de citas. Dicha Ley también exige a los tribunales que tengan en cuenta las condenas previas por violencia de pareja a la hora de decidir si se pone en libertad al acusado o se le impone una fianza. </w:t>
      </w:r>
    </w:p>
    <w:p w14:paraId="11072810" w14:textId="5A98ADA6" w:rsidR="008650C7" w:rsidRPr="007E0CEF" w:rsidRDefault="008650C7" w:rsidP="008650C7">
      <w:pPr>
        <w:pStyle w:val="SingleTxt"/>
        <w:spacing w:after="0" w:line="120" w:lineRule="exact"/>
        <w:rPr>
          <w:sz w:val="10"/>
          <w:lang w:val="es-ES_tradnl"/>
        </w:rPr>
      </w:pPr>
    </w:p>
    <w:p w14:paraId="2E4AB038" w14:textId="025711F0" w:rsidR="008650C7" w:rsidRPr="007E0CEF" w:rsidRDefault="008650C7" w:rsidP="008650C7">
      <w:pPr>
        <w:pStyle w:val="SingleTxt"/>
        <w:spacing w:after="0" w:line="120" w:lineRule="exact"/>
        <w:rPr>
          <w:sz w:val="10"/>
          <w:lang w:val="es-ES_tradnl"/>
        </w:rPr>
      </w:pPr>
    </w:p>
    <w:p w14:paraId="3FB71F2B" w14:textId="03BF9201" w:rsidR="00FA3F43" w:rsidRPr="007E0CEF" w:rsidRDefault="00FA3F43" w:rsidP="00865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Divulgación de imágenes íntimas sin consentimiento</w:t>
      </w:r>
    </w:p>
    <w:p w14:paraId="6750D513" w14:textId="230B3A42" w:rsidR="008650C7" w:rsidRPr="007E0CEF" w:rsidRDefault="008650C7" w:rsidP="008650C7">
      <w:pPr>
        <w:pStyle w:val="SingleTxt"/>
        <w:spacing w:after="0" w:line="120" w:lineRule="exact"/>
        <w:rPr>
          <w:sz w:val="10"/>
          <w:lang w:val="es-ES_tradnl"/>
        </w:rPr>
      </w:pPr>
    </w:p>
    <w:p w14:paraId="00C6AF3A" w14:textId="613CEEDA" w:rsidR="008650C7" w:rsidRPr="007E0CEF" w:rsidRDefault="008650C7" w:rsidP="008650C7">
      <w:pPr>
        <w:pStyle w:val="SingleTxt"/>
        <w:spacing w:after="0" w:line="120" w:lineRule="exact"/>
        <w:rPr>
          <w:sz w:val="10"/>
          <w:lang w:val="es-ES_tradnl"/>
        </w:rPr>
      </w:pPr>
    </w:p>
    <w:p w14:paraId="6F33882A" w14:textId="77777777" w:rsidR="00FA3F43" w:rsidRPr="007E0CEF" w:rsidRDefault="00FA3F43" w:rsidP="00BB0090">
      <w:pPr>
        <w:pStyle w:val="SingleTxt"/>
        <w:numPr>
          <w:ilvl w:val="0"/>
          <w:numId w:val="62"/>
        </w:numPr>
        <w:ind w:left="1267"/>
        <w:rPr>
          <w:iCs/>
          <w:lang w:val="es-ES_tradnl"/>
        </w:rPr>
      </w:pPr>
      <w:r w:rsidRPr="007E0CEF">
        <w:rPr>
          <w:lang w:val="es-ES_tradnl"/>
        </w:rPr>
        <w:t xml:space="preserve">En 2015 entró en vigor la Ley de Protección de la Población Canadiense contra la Ciberdelincuencia, en la que se contemplaba por primera vez como delito la divulgación de imágenes íntimas sin consentimiento. En dicha Ley se aclara asimismo que los delitos contemplados en el Código Penal relativos a la difusión de mensajes </w:t>
      </w:r>
      <w:r w:rsidRPr="007E0CEF">
        <w:rPr>
          <w:lang w:val="es-ES_tradnl"/>
        </w:rPr>
        <w:lastRenderedPageBreak/>
        <w:t xml:space="preserve">hostigadores o que atenten contra el pudor pueden ser cometidos por cualquier medio de telecomunicación. </w:t>
      </w:r>
    </w:p>
    <w:p w14:paraId="26FBA167" w14:textId="77777777" w:rsidR="00FA3F43" w:rsidRPr="007E0CEF" w:rsidRDefault="00FA3F43" w:rsidP="00BB0090">
      <w:pPr>
        <w:pStyle w:val="SingleTxt"/>
        <w:numPr>
          <w:ilvl w:val="0"/>
          <w:numId w:val="62"/>
        </w:numPr>
        <w:ind w:left="1267"/>
        <w:rPr>
          <w:lang w:val="es-ES_tradnl"/>
        </w:rPr>
      </w:pPr>
      <w:r w:rsidRPr="007E0CEF">
        <w:rPr>
          <w:lang w:val="es-ES_tradnl"/>
        </w:rPr>
        <w:t xml:space="preserve">El número de denuncias a la policía por divulgación de imágenes íntimas sin consentimiento ascendió a 1.988 en 2019 y a 2.217 en 2020 (los años más recientes de los que se dispone de datos). </w:t>
      </w:r>
    </w:p>
    <w:p w14:paraId="1E6BC6DC" w14:textId="43C169FF" w:rsidR="00FA3F43" w:rsidRPr="007E0CEF" w:rsidRDefault="00FA3F43" w:rsidP="00BB0090">
      <w:pPr>
        <w:pStyle w:val="SingleTxt"/>
        <w:numPr>
          <w:ilvl w:val="0"/>
          <w:numId w:val="63"/>
        </w:numPr>
        <w:ind w:left="1267"/>
        <w:rPr>
          <w:lang w:val="es-ES_tradnl"/>
        </w:rPr>
      </w:pPr>
      <w:r w:rsidRPr="007E0CEF">
        <w:rPr>
          <w:lang w:val="es-ES_tradnl"/>
        </w:rPr>
        <w:t xml:space="preserve">Aun cuando los hechos lleguen a ponerse en conocimiento de la policía, es posible que al final no se presenten cargos por diversos motivos, como la remisión previa a la acusación y la insuficiencia de pruebas para seguir adelante con el proceso. La Encuesta Integrada de Tribunales Penales ofrece datos sobre los resultados de los casos llevados ante los tribunales penales tanto de menores como de adultos. Tales datos indican que el porcentaje del total de casos que se saldan con una condena se aproxima al 50 % o supera esta cifra en ambos tipos de tribunales. Por ejemplo, de los 355 casos de adultos que entrañaban acusaciones de divulgación de imágenes íntimas sin consentimiento registrados en el período 2019-2020, 257 culminaron en un veredicto de culpabilidad. De los 144 casos de jóvenes registrados durante el período en cuestión, 83 dieron lugar a un veredicto de culpabilidad. Las sentencias correspondientes a los casos de adultos abarcan la imposición de penas tanto privativas como no privativas de libertad, siendo la libertad condicional y las englobadas en la categoría “otras” las impuestas con más frecuencia. En los casos de jóvenes, las sentencias más frecuentes son la libertad condicional y las órdenes de prestación de servicios a la comunidad. </w:t>
      </w:r>
    </w:p>
    <w:p w14:paraId="6E0C3207" w14:textId="64E820F0" w:rsidR="008650C7" w:rsidRPr="007E0CEF" w:rsidRDefault="008650C7" w:rsidP="008650C7">
      <w:pPr>
        <w:pStyle w:val="SingleTxt"/>
        <w:spacing w:after="0" w:line="120" w:lineRule="exact"/>
        <w:rPr>
          <w:sz w:val="10"/>
          <w:lang w:val="es-ES_tradnl"/>
        </w:rPr>
      </w:pPr>
    </w:p>
    <w:p w14:paraId="384494B1" w14:textId="3A092DA8" w:rsidR="008650C7" w:rsidRPr="007E0CEF" w:rsidRDefault="008650C7" w:rsidP="008650C7">
      <w:pPr>
        <w:pStyle w:val="SingleTxt"/>
        <w:spacing w:after="0" w:line="120" w:lineRule="exact"/>
        <w:rPr>
          <w:sz w:val="10"/>
          <w:lang w:val="es-ES_tradnl"/>
        </w:rPr>
      </w:pPr>
    </w:p>
    <w:p w14:paraId="27B8A29E" w14:textId="391EDA0E" w:rsidR="00FA3F43" w:rsidRPr="007E0CEF" w:rsidRDefault="00FA3F43" w:rsidP="008650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Pregunta 13: Mujeres y niñas indígenas desaparecidas o asesinadas</w:t>
      </w:r>
    </w:p>
    <w:p w14:paraId="6FA023F3" w14:textId="6D900B73" w:rsidR="008650C7" w:rsidRPr="007E0CEF" w:rsidRDefault="008650C7" w:rsidP="008650C7">
      <w:pPr>
        <w:pStyle w:val="SingleTxt"/>
        <w:spacing w:after="0" w:line="120" w:lineRule="exact"/>
        <w:rPr>
          <w:sz w:val="10"/>
          <w:lang w:val="es-ES_tradnl"/>
        </w:rPr>
      </w:pPr>
    </w:p>
    <w:p w14:paraId="4A142374" w14:textId="01A0E98B" w:rsidR="008650C7" w:rsidRPr="007E0CEF" w:rsidRDefault="008650C7" w:rsidP="008650C7">
      <w:pPr>
        <w:pStyle w:val="SingleTxt"/>
        <w:spacing w:after="0" w:line="120" w:lineRule="exact"/>
        <w:rPr>
          <w:sz w:val="10"/>
          <w:lang w:val="es-ES_tradnl"/>
        </w:rPr>
      </w:pPr>
    </w:p>
    <w:p w14:paraId="71433FD1" w14:textId="77777777" w:rsidR="00FA3F43" w:rsidRPr="007E0CEF" w:rsidRDefault="00FA3F43" w:rsidP="00BB0090">
      <w:pPr>
        <w:pStyle w:val="SingleTxt"/>
        <w:numPr>
          <w:ilvl w:val="0"/>
          <w:numId w:val="64"/>
        </w:numPr>
        <w:ind w:left="1267"/>
        <w:rPr>
          <w:iCs/>
          <w:lang w:val="es-ES_tradnl"/>
        </w:rPr>
      </w:pPr>
      <w:r w:rsidRPr="007E0CEF">
        <w:rPr>
          <w:lang w:val="es-ES_tradnl"/>
        </w:rPr>
        <w:t xml:space="preserve">En agosto de 2016, el Gobierno del Canadá, en colaboración con todos los gobiernos provinciales y territoriales, creó la Comisión Nacional de Investigación sobre las Mujeres y las Niñas Indígenas Desaparecidas o Asesinadas, cuyo cometido es investigar e informar sobre las causas subyacentes y los problemas sistémicos que contribuyen al elevado número de casos de violencia contra las mujeres y niñas indígenas. En junio de 2019, la Comisión de Investigación publicó su informe final, en el que figuran 231 peticiones de justicia. </w:t>
      </w:r>
    </w:p>
    <w:p w14:paraId="3BF42C83" w14:textId="5DF9A433" w:rsidR="00FA3F43" w:rsidRPr="007E0CEF" w:rsidRDefault="00FA3F43" w:rsidP="00BB0090">
      <w:pPr>
        <w:pStyle w:val="SingleTxt"/>
        <w:numPr>
          <w:ilvl w:val="0"/>
          <w:numId w:val="64"/>
        </w:numPr>
        <w:ind w:left="1267"/>
        <w:rPr>
          <w:lang w:val="es-ES_tradnl"/>
        </w:rPr>
      </w:pPr>
      <w:r w:rsidRPr="007E0CEF">
        <w:rPr>
          <w:lang w:val="es-ES_tradnl"/>
        </w:rPr>
        <w:t xml:space="preserve">Más adelante se citan ejemplos de las medidas adoptadas por el Gobierno del Canadá para aplicar las recomendaciones que figuran en el informe de la Comisión Nacional de Investigación sobre las Mujeres y las Niñas Indígenas Desaparecidas o Asesinadas. Entre ellas, cabe incluir las inversiones contempladas en la Declaración Económica de Otoño de 2020 y el Presupuesto de 2021, en los que el Canadá destinó 2.200 millones de dólares a abordar las causas fundamentales de los casos relativos a mujeres y niñas indígenas desaparecidas o asesinadas y de la violencia cometida contra personas biespirituales, lesbianas, gais, bisexuales, transgénero, </w:t>
      </w:r>
      <w:r w:rsidRPr="007E0CEF">
        <w:rPr>
          <w:i/>
          <w:iCs/>
          <w:lang w:val="es-ES_tradnl"/>
        </w:rPr>
        <w:t>queer</w:t>
      </w:r>
      <w:r w:rsidRPr="007E0CEF">
        <w:rPr>
          <w:lang w:val="es-ES_tradnl"/>
        </w:rPr>
        <w:t>, en proceso de cuestionamiento, intersexuales, asexuales y otras.</w:t>
      </w:r>
    </w:p>
    <w:p w14:paraId="4D1D2FD0" w14:textId="73C01EFE" w:rsidR="008650C7" w:rsidRPr="007E0CEF" w:rsidRDefault="008650C7" w:rsidP="008650C7">
      <w:pPr>
        <w:pStyle w:val="SingleTxt"/>
        <w:spacing w:after="0" w:line="120" w:lineRule="exact"/>
        <w:rPr>
          <w:sz w:val="10"/>
          <w:lang w:val="es-ES_tradnl"/>
        </w:rPr>
      </w:pPr>
    </w:p>
    <w:p w14:paraId="2C71EDB6" w14:textId="29B92746" w:rsidR="008650C7" w:rsidRPr="007E0CEF" w:rsidRDefault="008650C7" w:rsidP="008650C7">
      <w:pPr>
        <w:pStyle w:val="SingleTxt"/>
        <w:spacing w:after="0" w:line="120" w:lineRule="exact"/>
        <w:rPr>
          <w:sz w:val="10"/>
          <w:lang w:val="es-ES_tradnl"/>
        </w:rPr>
      </w:pPr>
    </w:p>
    <w:p w14:paraId="215C7389" w14:textId="7630880A" w:rsidR="00FA3F43" w:rsidRPr="007E0CEF" w:rsidRDefault="00FA3F43" w:rsidP="00865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Servicios y mecanismos de apoyo</w:t>
      </w:r>
    </w:p>
    <w:p w14:paraId="3EDFD088" w14:textId="2B4FD6A3" w:rsidR="008650C7" w:rsidRPr="007E0CEF" w:rsidRDefault="008650C7" w:rsidP="008650C7">
      <w:pPr>
        <w:pStyle w:val="SingleTxt"/>
        <w:spacing w:after="0" w:line="120" w:lineRule="exact"/>
        <w:rPr>
          <w:sz w:val="10"/>
          <w:lang w:val="es-ES_tradnl"/>
        </w:rPr>
      </w:pPr>
    </w:p>
    <w:p w14:paraId="30E9EDE7" w14:textId="195883B9" w:rsidR="008650C7" w:rsidRPr="007E0CEF" w:rsidRDefault="008650C7" w:rsidP="008650C7">
      <w:pPr>
        <w:pStyle w:val="SingleTxt"/>
        <w:spacing w:after="0" w:line="120" w:lineRule="exact"/>
        <w:rPr>
          <w:sz w:val="10"/>
          <w:lang w:val="es-ES_tradnl"/>
        </w:rPr>
      </w:pPr>
    </w:p>
    <w:p w14:paraId="72C90F5B" w14:textId="77777777" w:rsidR="00FA3F43" w:rsidRPr="007E0CEF" w:rsidRDefault="00FA3F43" w:rsidP="00BB0090">
      <w:pPr>
        <w:pStyle w:val="SingleTxt"/>
        <w:numPr>
          <w:ilvl w:val="0"/>
          <w:numId w:val="65"/>
        </w:numPr>
        <w:ind w:left="1267"/>
        <w:rPr>
          <w:lang w:val="es-ES_tradnl"/>
        </w:rPr>
      </w:pPr>
      <w:r w:rsidRPr="007E0CEF">
        <w:rPr>
          <w:lang w:val="es-ES_tradnl"/>
        </w:rPr>
        <w:t>En 2020, el Gobierno del Canadá anunció la financiación, a lo largo de cinco años, de la construcción de 10 nuevos centros de acogida para los miembros de las comunidades de las Primeras Naciones y otros 2 en los territorios. Con ello, el número total de centros de acogida de gestión gubernamental ascenderá a 58.</w:t>
      </w:r>
    </w:p>
    <w:p w14:paraId="265F05EE" w14:textId="77777777" w:rsidR="00FA3F43" w:rsidRPr="007E0CEF" w:rsidRDefault="00FA3F43" w:rsidP="00BB0090">
      <w:pPr>
        <w:pStyle w:val="SingleTxt"/>
        <w:numPr>
          <w:ilvl w:val="0"/>
          <w:numId w:val="65"/>
        </w:numPr>
        <w:ind w:left="1267"/>
        <w:rPr>
          <w:lang w:val="es-ES_tradnl"/>
        </w:rPr>
      </w:pPr>
      <w:r w:rsidRPr="007E0CEF">
        <w:rPr>
          <w:lang w:val="es-ES_tradnl"/>
        </w:rPr>
        <w:t xml:space="preserve">Asimismo, el Gobierno del Canadá ha anunciado que se está destinando financiación actualmente a fomentar la colaboración de los líderes de la comunidad métis y los proveedores de servicios en la evaluación de las necesidades de centros </w:t>
      </w:r>
      <w:r w:rsidRPr="007E0CEF">
        <w:rPr>
          <w:lang w:val="es-ES_tradnl"/>
        </w:rPr>
        <w:lastRenderedPageBreak/>
        <w:t xml:space="preserve">de acogida y en los proyectos de prevención de la violencia gestionados por la comunidad en beneficio de las mujeres y niñas métis y las personas biespirituales, lesbianas, gais, bisexuales, transgénero, </w:t>
      </w:r>
      <w:r w:rsidRPr="007E0CEF">
        <w:rPr>
          <w:i/>
          <w:iCs/>
          <w:lang w:val="es-ES_tradnl"/>
        </w:rPr>
        <w:t>queer</w:t>
      </w:r>
      <w:r w:rsidRPr="007E0CEF">
        <w:rPr>
          <w:lang w:val="es-ES_tradnl"/>
        </w:rPr>
        <w:t xml:space="preserve">, en proceso de cuestionamiento, intersexuales, asexuales y otras.  </w:t>
      </w:r>
    </w:p>
    <w:p w14:paraId="26733648" w14:textId="77777777" w:rsidR="00FA3F43" w:rsidRPr="007E0CEF" w:rsidRDefault="00FA3F43" w:rsidP="00BB0090">
      <w:pPr>
        <w:pStyle w:val="SingleTxt"/>
        <w:numPr>
          <w:ilvl w:val="0"/>
          <w:numId w:val="66"/>
        </w:numPr>
        <w:ind w:left="1267"/>
        <w:rPr>
          <w:lang w:val="es-ES_tradnl"/>
        </w:rPr>
      </w:pPr>
      <w:r w:rsidRPr="007E0CEF">
        <w:rPr>
          <w:lang w:val="es-ES_tradnl"/>
        </w:rPr>
        <w:t>Además, se destinará financiación a la Sociedad para el Desarrollo de la Campaña de la Piel de Alce con el fin de apoyar la ejecución de su Plan Estratégico Quinquenal; dicha campaña promueve la participación de hombres y niños en la lucha contra la violencia contra las mujeres y las niñas.</w:t>
      </w:r>
    </w:p>
    <w:p w14:paraId="2CF63230" w14:textId="77777777" w:rsidR="00FA3F43" w:rsidRPr="007E0CEF" w:rsidRDefault="00FA3F43" w:rsidP="00BB0090">
      <w:pPr>
        <w:pStyle w:val="SingleTxt"/>
        <w:numPr>
          <w:ilvl w:val="0"/>
          <w:numId w:val="67"/>
        </w:numPr>
        <w:ind w:left="1267"/>
        <w:rPr>
          <w:lang w:val="es-ES_tradnl"/>
        </w:rPr>
      </w:pPr>
      <w:r w:rsidRPr="007E0CEF">
        <w:rPr>
          <w:lang w:val="es-ES_tradnl"/>
        </w:rPr>
        <w:t>El Gobierno del Canadá destina financiación a fomentar el acceso de supervivientes, familiares y otras personas afectadas por casos relativos a mujeres y niñas indígenas desaparecidas o asesinadas a servicios de orientación cultural, emocional y de salud mental. Existe una línea de ayuda gratuita a nivel nacional de la Comisión Nacional de Investigación sobre las Mujeres y las Niñas Indígenas Desaparecidas o Asesinadas disponible las 24 horas del día, los 7 días de la semana, para cualquiera que necesite apoyo emocional inmediato. En 2021, el Gobierno anunció un aumento de la financiación destinada a garantizar el acceso a estos importantes servicios de bienestar mental hasta el 31 de marzo de 2024.</w:t>
      </w:r>
    </w:p>
    <w:p w14:paraId="7BF02098" w14:textId="71E1C18E" w:rsidR="00FA3F43" w:rsidRPr="007E0CEF" w:rsidRDefault="00FA3F43" w:rsidP="00BB0090">
      <w:pPr>
        <w:pStyle w:val="SingleTxt"/>
        <w:numPr>
          <w:ilvl w:val="0"/>
          <w:numId w:val="68"/>
        </w:numPr>
        <w:ind w:left="1267"/>
        <w:rPr>
          <w:lang w:val="es-ES_tradnl"/>
        </w:rPr>
      </w:pPr>
      <w:r w:rsidRPr="007E0CEF">
        <w:rPr>
          <w:lang w:val="es-ES_tradnl"/>
        </w:rPr>
        <w:t>El Gobierno del Canadá ha ampliado hasta 2023 los servicios prestados por las Unidades de Comunicación de Información Familiar a personas en busca de información sobre seres queridos desaparecidos y otras organizaciones comunitarias de apoyo a las familias indígenas.</w:t>
      </w:r>
    </w:p>
    <w:p w14:paraId="7CCB6C0E" w14:textId="22FD5597" w:rsidR="008650C7" w:rsidRPr="007E0CEF" w:rsidRDefault="008650C7" w:rsidP="008650C7">
      <w:pPr>
        <w:pStyle w:val="SingleTxt"/>
        <w:spacing w:after="0" w:line="120" w:lineRule="exact"/>
        <w:rPr>
          <w:sz w:val="10"/>
          <w:lang w:val="es-ES_tradnl"/>
        </w:rPr>
      </w:pPr>
    </w:p>
    <w:p w14:paraId="6BC9491C" w14:textId="2406AD69" w:rsidR="008650C7" w:rsidRPr="007E0CEF" w:rsidRDefault="008650C7" w:rsidP="008650C7">
      <w:pPr>
        <w:pStyle w:val="SingleTxt"/>
        <w:spacing w:after="0" w:line="120" w:lineRule="exact"/>
        <w:rPr>
          <w:sz w:val="10"/>
          <w:lang w:val="es-ES_tradnl"/>
        </w:rPr>
      </w:pPr>
    </w:p>
    <w:p w14:paraId="461F5A29" w14:textId="1398F94B" w:rsidR="00FA3F43" w:rsidRPr="007E0CEF" w:rsidRDefault="00FA3F43" w:rsidP="00865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Justicia, labor policial y seguridad</w:t>
      </w:r>
    </w:p>
    <w:p w14:paraId="6EA06079" w14:textId="19A204EF" w:rsidR="008650C7" w:rsidRPr="007E0CEF" w:rsidRDefault="008650C7" w:rsidP="008650C7">
      <w:pPr>
        <w:pStyle w:val="SingleTxt"/>
        <w:spacing w:after="0" w:line="120" w:lineRule="exact"/>
        <w:rPr>
          <w:sz w:val="10"/>
          <w:lang w:val="es-ES_tradnl"/>
        </w:rPr>
      </w:pPr>
    </w:p>
    <w:p w14:paraId="77A40BC7" w14:textId="6B64D204" w:rsidR="008650C7" w:rsidRPr="007E0CEF" w:rsidRDefault="008650C7" w:rsidP="008650C7">
      <w:pPr>
        <w:pStyle w:val="SingleTxt"/>
        <w:spacing w:after="0" w:line="120" w:lineRule="exact"/>
        <w:rPr>
          <w:sz w:val="10"/>
          <w:lang w:val="es-ES_tradnl"/>
        </w:rPr>
      </w:pPr>
    </w:p>
    <w:p w14:paraId="3BD2A2F3" w14:textId="77777777" w:rsidR="00FA3F43" w:rsidRPr="007E0CEF" w:rsidRDefault="00FA3F43" w:rsidP="00BB0090">
      <w:pPr>
        <w:pStyle w:val="SingleTxt"/>
        <w:numPr>
          <w:ilvl w:val="0"/>
          <w:numId w:val="69"/>
        </w:numPr>
        <w:ind w:left="1267"/>
        <w:rPr>
          <w:lang w:val="es-ES_tradnl"/>
        </w:rPr>
      </w:pPr>
      <w:r w:rsidRPr="007E0CEF">
        <w:rPr>
          <w:lang w:val="es-ES_tradnl"/>
        </w:rPr>
        <w:t xml:space="preserve">En 2019 se aprobó legislación encaminada a modificar el Código Penal con el fin de reducir demoras, disminuir la sobrerrepresentación de los pueblos indígenas en el sistema judicial e introducir cambios que mejorasen la protección de las mujeres indígenas víctimas de la violencia de pareja. </w:t>
      </w:r>
    </w:p>
    <w:p w14:paraId="1AC205C4" w14:textId="77777777" w:rsidR="00FA3F43" w:rsidRPr="007E0CEF" w:rsidRDefault="00FA3F43" w:rsidP="00BB0090">
      <w:pPr>
        <w:pStyle w:val="SingleTxt"/>
        <w:numPr>
          <w:ilvl w:val="0"/>
          <w:numId w:val="69"/>
        </w:numPr>
        <w:ind w:left="1267"/>
        <w:rPr>
          <w:lang w:val="es-ES_tradnl"/>
        </w:rPr>
      </w:pPr>
      <w:r w:rsidRPr="007E0CEF">
        <w:rPr>
          <w:lang w:val="es-ES_tradnl"/>
        </w:rPr>
        <w:t>El Gobierno del Canadá sigue trabajando en su Estrategia Federal en favor de las Víctimas, en el Informe y Panel de Información sobre la Situación del Sistema de Justicia Penal, en el Programa de Justicia Indígena, en el Programa de Asistencia Parajudicial a la Población Indígena, en la Estrategia Pancanadiense para Solucionar el Problema de la Sobrerrepresentación de los Pueblos Indígenas en el Sistema de Justicia Penal y en su respuesta a las peticiones de medidas de la Comisión de la Verdad y la Reconciliación. Todos estos esfuerzos contribuyen a atender las cuestiones señaladas en el Informe Final de la Comisión Nacional de Investigación sobre las Mujeres y las Niñas Indígenas Desaparecidas o Asesinadas y sus peticiones de justicia.</w:t>
      </w:r>
    </w:p>
    <w:p w14:paraId="2064009A" w14:textId="77777777" w:rsidR="00FA3F43" w:rsidRPr="007E0CEF" w:rsidRDefault="00FA3F43" w:rsidP="00BB0090">
      <w:pPr>
        <w:pStyle w:val="SingleTxt"/>
        <w:numPr>
          <w:ilvl w:val="0"/>
          <w:numId w:val="70"/>
        </w:numPr>
        <w:ind w:left="1267"/>
        <w:rPr>
          <w:bCs/>
          <w:lang w:val="es-ES_tradnl"/>
        </w:rPr>
      </w:pPr>
      <w:r w:rsidRPr="007E0CEF">
        <w:rPr>
          <w:lang w:val="es-ES_tradnl"/>
        </w:rPr>
        <w:t xml:space="preserve">En respuesta a lo planteado en el Informe Provisional de la Comisión Nacional de Investigación sobre las Mujeres y las Niñas Indígenas Desaparecidas o Asesinadas, la Real Policía Montada del Canadá (RPMC) anunció la creación de la Oficina Nacional de Normas y Prácticas de Investigación. Esta nueva unidad actúa como centro interno de especialización y supervisión nacional de la RPMC en la investigación de casos importantes o de gran repercusión que aumenta las posibilidades de éxito de las investigaciones y los procesos de enjuiciamiento penal en las jurisdicciones de la RPMC. Dicha unidad no se hará cargo de las investigaciones en curso, sino que constituye una herramienta integral de gobernanza, supervisión, coordinación y aplicación de principios sólidos de gestión de casos importantes en las investigaciones de alto riesgo, como las relativas a desapariciones de personas, homicidios, agresiones sexuales o posibles investigaciones en serie o de carácter multijurisdiccional. Al establecer unas normas nacionales y proporcionar </w:t>
      </w:r>
      <w:r w:rsidRPr="007E0CEF">
        <w:rPr>
          <w:lang w:val="es-ES_tradnl"/>
        </w:rPr>
        <w:lastRenderedPageBreak/>
        <w:t xml:space="preserve">formación avanzada en materia de investigación, la unidad beneficiará a todas las investigaciones de casos importantes, incluidos los relativos a mujeres y niñas indígenas desaparecidas o asesinadas. </w:t>
      </w:r>
    </w:p>
    <w:p w14:paraId="3777E9F7" w14:textId="77777777" w:rsidR="00FA3F43" w:rsidRPr="007E0CEF" w:rsidRDefault="00FA3F43" w:rsidP="00BB0090">
      <w:pPr>
        <w:pStyle w:val="SingleTxt"/>
        <w:numPr>
          <w:ilvl w:val="0"/>
          <w:numId w:val="71"/>
        </w:numPr>
        <w:ind w:left="1267"/>
        <w:rPr>
          <w:lang w:val="es-ES_tradnl"/>
        </w:rPr>
      </w:pPr>
      <w:r w:rsidRPr="007E0CEF">
        <w:rPr>
          <w:lang w:val="es-ES_tradnl"/>
        </w:rPr>
        <w:t>El Gobierno del Canadá ha sufragado una revisión de las políticas y prácticas policiales para detectar posibles deficiencias y problemas en la prestación de servicios policiales adecuados desde el punto de vista cultural. La Alianza de Conocimientos sobre Seguridad Comunitaria, la ONG Pauktuutit Inuit Women of Canada, la Universidad de San Francisco Javier y la Universidad Laval recibieron financiación para revisar, recomendar y determinar una serie de prácticas y recursos prometedores capaces de ayudar a fomentar la confianza en la relación con la policía y en los servicios policiales. Los correspondientes informes están a disposición de las organizaciones de todo el país encargadas de aplicar la ley para contribuir a la creación de futuros recursos que aumenten la sensibilidad cultural de la policía y faciliten el establecimiento de relaciones fructíferas con los pueblos indígenas de todo el territorio del Canadá.</w:t>
      </w:r>
    </w:p>
    <w:p w14:paraId="0E57704A" w14:textId="77777777" w:rsidR="00FA3F43" w:rsidRPr="007E0CEF" w:rsidRDefault="00FA3F43" w:rsidP="00BB0090">
      <w:pPr>
        <w:pStyle w:val="SingleTxt"/>
        <w:numPr>
          <w:ilvl w:val="0"/>
          <w:numId w:val="72"/>
        </w:numPr>
        <w:ind w:left="1267"/>
        <w:rPr>
          <w:lang w:val="es-ES_tradnl"/>
        </w:rPr>
      </w:pPr>
      <w:r w:rsidRPr="007E0CEF">
        <w:rPr>
          <w:lang w:val="es-ES_tradnl"/>
        </w:rPr>
        <w:t>El Gobierno seguirá ejecutando la Iniciativa de Planificación de la Seguridad de la Comunidad Aborigen, cuya finalidad es hacer frente a la violencia contra las mujeres indígenas mediante el apoyo a una planificación liderada por la comunidad que cree capacidad entre sus miembros para colaborar en las cuestiones de seguridad que les preocupan.</w:t>
      </w:r>
    </w:p>
    <w:p w14:paraId="4B7B8C44" w14:textId="416BBAA2" w:rsidR="00FA3F43" w:rsidRPr="007E0CEF" w:rsidRDefault="00FA3F43" w:rsidP="00BB0090">
      <w:pPr>
        <w:pStyle w:val="SingleTxt"/>
        <w:numPr>
          <w:ilvl w:val="0"/>
          <w:numId w:val="73"/>
        </w:numPr>
        <w:ind w:left="1267"/>
        <w:rPr>
          <w:lang w:val="es-ES_tradnl"/>
        </w:rPr>
      </w:pPr>
      <w:r w:rsidRPr="007E0CEF">
        <w:rPr>
          <w:lang w:val="es-ES_tradnl"/>
        </w:rPr>
        <w:t>El Gobierno del Canadá mantiene su colaboración con las comunidades y organizaciones indígenas, así como con las provincias y territorios, para contribuir con más eficacia a la existencia de servicios policiales especializados que tengan en cuenta las cuestiones culturales y alternativas de seguridad comunitaria en beneficio de las comunidades indígenas de todo el territorio del Canadá.</w:t>
      </w:r>
    </w:p>
    <w:p w14:paraId="5CE3AECB" w14:textId="25B588B3" w:rsidR="008650C7" w:rsidRPr="007E0CEF" w:rsidRDefault="008650C7" w:rsidP="008650C7">
      <w:pPr>
        <w:pStyle w:val="SingleTxt"/>
        <w:spacing w:after="0" w:line="120" w:lineRule="exact"/>
        <w:rPr>
          <w:sz w:val="10"/>
          <w:lang w:val="es-ES_tradnl"/>
        </w:rPr>
      </w:pPr>
    </w:p>
    <w:p w14:paraId="404A0488" w14:textId="729CB683" w:rsidR="008650C7" w:rsidRPr="007E0CEF" w:rsidRDefault="008650C7" w:rsidP="008650C7">
      <w:pPr>
        <w:pStyle w:val="SingleTxt"/>
        <w:spacing w:after="0" w:line="120" w:lineRule="exact"/>
        <w:rPr>
          <w:sz w:val="10"/>
          <w:lang w:val="es-ES_tradnl"/>
        </w:rPr>
      </w:pPr>
    </w:p>
    <w:p w14:paraId="5DC0EE2F" w14:textId="43EAC7CF" w:rsidR="00FA3F43" w:rsidRPr="007E0CEF" w:rsidRDefault="00FA3F43" w:rsidP="00865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Situación socioeconómica de las mujeres indígenas</w:t>
      </w:r>
    </w:p>
    <w:p w14:paraId="2100235F" w14:textId="1D59CA48" w:rsidR="008650C7" w:rsidRPr="007E0CEF" w:rsidRDefault="008650C7" w:rsidP="008650C7">
      <w:pPr>
        <w:pStyle w:val="SingleTxt"/>
        <w:spacing w:after="0" w:line="120" w:lineRule="exact"/>
        <w:rPr>
          <w:sz w:val="10"/>
          <w:lang w:val="es-ES_tradnl"/>
        </w:rPr>
      </w:pPr>
    </w:p>
    <w:p w14:paraId="18B1ECAC" w14:textId="7CD14504" w:rsidR="008650C7" w:rsidRPr="007E0CEF" w:rsidRDefault="008650C7" w:rsidP="008650C7">
      <w:pPr>
        <w:pStyle w:val="SingleTxt"/>
        <w:spacing w:after="0" w:line="120" w:lineRule="exact"/>
        <w:rPr>
          <w:sz w:val="10"/>
          <w:lang w:val="es-ES_tradnl"/>
        </w:rPr>
      </w:pPr>
    </w:p>
    <w:p w14:paraId="4D7E66FA" w14:textId="77777777" w:rsidR="00FA3F43" w:rsidRPr="007E0CEF" w:rsidRDefault="00FA3F43" w:rsidP="00BB0090">
      <w:pPr>
        <w:pStyle w:val="SingleTxt"/>
        <w:numPr>
          <w:ilvl w:val="0"/>
          <w:numId w:val="74"/>
        </w:numPr>
        <w:ind w:left="1267"/>
        <w:rPr>
          <w:lang w:val="es-ES_tradnl"/>
        </w:rPr>
      </w:pPr>
      <w:r w:rsidRPr="007E0CEF">
        <w:rPr>
          <w:lang w:val="es-ES_tradnl"/>
        </w:rPr>
        <w:t>El Programa de Formación Práctica y en materia de Empleo para la Población Indígena del Gobierno del Canadá, puesto en marcha en 2019, ayuda a subsanar la brecha de educación, competencias e ingresos entre la población indígena y no indígena, prestando especial atención a la formación y la adquisición de competencias para el empleo a fin de poder optar a puestos de trabajo de más calidad. A raíz de la colaboración con sus asociados indígenas, el Programa ha centrado más sus esfuerzos en los resultados y los progresos generales de los clientes.</w:t>
      </w:r>
    </w:p>
    <w:p w14:paraId="05415FDD" w14:textId="77777777" w:rsidR="00FA3F43" w:rsidRPr="007E0CEF" w:rsidRDefault="00FA3F43" w:rsidP="00BB0090">
      <w:pPr>
        <w:pStyle w:val="SingleTxt"/>
        <w:numPr>
          <w:ilvl w:val="0"/>
          <w:numId w:val="74"/>
        </w:numPr>
        <w:ind w:left="1267"/>
        <w:rPr>
          <w:lang w:val="es-ES_tradnl"/>
        </w:rPr>
      </w:pPr>
      <w:r w:rsidRPr="007E0CEF">
        <w:rPr>
          <w:lang w:val="es-ES_tradnl"/>
        </w:rPr>
        <w:t xml:space="preserve">En 2018, el Gobierno del Canadá, la Asamblea de las Primeras Naciones, la ONG Inuit Tapiriit Kanatami y el Consejo Nacional Métis publicaron el Marco de Aprendizaje Temprano y Cuidado Infantil Aplicable a la Población Indígena que habían elaborado conjuntamente. En dicho Marco se establece una visión y una serie de principios y vías comunes para garantizar el aprendizaje temprano y el cuidado de la población infantil indígena, de modo que la totalidad de dicha población pueda optar a los beneficios de programas de aprendizaje temprano y cuidado infantil de gran calidad y con arraigo cultural. El aumento de la disponibilidad de servicios de cuidado infantil asequibles, accesibles y adecuados desde el punto de vista cultural también ayuda a hacer frente a los obstáculos que dificultan el empleo, el emprendimiento, la economía tradicional, la formación práctica en el lugar de trabajo y la educación de los pueblos indígenas, especialmente las mujeres. </w:t>
      </w:r>
    </w:p>
    <w:p w14:paraId="380748FF" w14:textId="5A63D0FC" w:rsidR="00FA3F43" w:rsidRPr="007E0CEF" w:rsidRDefault="00FA3F43" w:rsidP="00BB0090">
      <w:pPr>
        <w:pStyle w:val="SingleTxt"/>
        <w:numPr>
          <w:ilvl w:val="0"/>
          <w:numId w:val="75"/>
        </w:numPr>
        <w:ind w:left="1267"/>
        <w:rPr>
          <w:lang w:val="es-ES_tradnl"/>
        </w:rPr>
      </w:pPr>
      <w:r w:rsidRPr="007E0CEF">
        <w:rPr>
          <w:lang w:val="es-ES_tradnl"/>
        </w:rPr>
        <w:t xml:space="preserve">La Estrategia de Reducción de la Pobreza del Gobierno del Canadá, publicada en 2018, se diseñó con la colaboración fructífera de las comunidades indígenas e incluye un capítulo dedicado a las cuestiones que les afectan. En dicha Estrategia se contempla asimismo la determinación de colaborar con las organizaciones indígenas </w:t>
      </w:r>
      <w:r w:rsidRPr="007E0CEF">
        <w:rPr>
          <w:lang w:val="es-ES_tradnl"/>
        </w:rPr>
        <w:lastRenderedPageBreak/>
        <w:t>nacionales y otras entidades en la definición y el diseño conjunto de una serie de indicadores de pobreza y bienestar basados en características diferenciales, lo que incluye medidas de la pobreza no basadas en los ingresos, capaces de reflejar la multidimensionalidad de la pobreza y el bienestar experimentados por la población de las Primeras Naciones, inuit y métis</w:t>
      </w:r>
      <w:r w:rsidRPr="007E0CEF">
        <w:rPr>
          <w:vertAlign w:val="superscript"/>
          <w:lang w:val="es-ES_tradnl"/>
        </w:rPr>
        <w:footnoteReference w:id="9"/>
      </w:r>
      <w:r w:rsidRPr="007E0CEF">
        <w:rPr>
          <w:lang w:val="es-ES_tradnl"/>
        </w:rPr>
        <w:t xml:space="preserve">. </w:t>
      </w:r>
    </w:p>
    <w:p w14:paraId="425532DB" w14:textId="598CD732" w:rsidR="008650C7" w:rsidRPr="007E0CEF" w:rsidRDefault="008650C7" w:rsidP="008650C7">
      <w:pPr>
        <w:pStyle w:val="SingleTxt"/>
        <w:spacing w:after="0" w:line="120" w:lineRule="exact"/>
        <w:rPr>
          <w:sz w:val="10"/>
          <w:lang w:val="es-ES_tradnl"/>
        </w:rPr>
      </w:pPr>
    </w:p>
    <w:p w14:paraId="0B2878A0" w14:textId="2AA85556" w:rsidR="008650C7" w:rsidRPr="007E0CEF" w:rsidRDefault="008650C7" w:rsidP="008650C7">
      <w:pPr>
        <w:pStyle w:val="SingleTxt"/>
        <w:spacing w:after="0" w:line="120" w:lineRule="exact"/>
        <w:rPr>
          <w:sz w:val="10"/>
          <w:lang w:val="es-ES_tradnl"/>
        </w:rPr>
      </w:pPr>
    </w:p>
    <w:p w14:paraId="0A8842D2" w14:textId="07E6C311" w:rsidR="00FA3F43" w:rsidRPr="007E0CEF" w:rsidRDefault="008650C7" w:rsidP="00865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00FA3F43" w:rsidRPr="007E0CEF">
        <w:rPr>
          <w:lang w:val="es-ES_tradnl"/>
        </w:rPr>
        <w:tab/>
        <w:t>Iniciativas relacionadas con la cultura</w:t>
      </w:r>
    </w:p>
    <w:p w14:paraId="3AD61EBF" w14:textId="4366485F" w:rsidR="008650C7" w:rsidRPr="007E0CEF" w:rsidRDefault="008650C7" w:rsidP="008650C7">
      <w:pPr>
        <w:pStyle w:val="SingleTxt"/>
        <w:spacing w:after="0" w:line="120" w:lineRule="exact"/>
        <w:rPr>
          <w:sz w:val="10"/>
          <w:lang w:val="es-ES_tradnl"/>
        </w:rPr>
      </w:pPr>
    </w:p>
    <w:p w14:paraId="45F34D30" w14:textId="21E4FAC3" w:rsidR="008650C7" w:rsidRPr="007E0CEF" w:rsidRDefault="008650C7" w:rsidP="008650C7">
      <w:pPr>
        <w:pStyle w:val="SingleTxt"/>
        <w:spacing w:after="0" w:line="120" w:lineRule="exact"/>
        <w:rPr>
          <w:sz w:val="10"/>
          <w:lang w:val="es-ES_tradnl"/>
        </w:rPr>
      </w:pPr>
    </w:p>
    <w:p w14:paraId="28782026" w14:textId="77777777" w:rsidR="00FA3F43" w:rsidRPr="007E0CEF" w:rsidRDefault="00FA3F43" w:rsidP="00BB0090">
      <w:pPr>
        <w:pStyle w:val="SingleTxt"/>
        <w:numPr>
          <w:ilvl w:val="0"/>
          <w:numId w:val="76"/>
        </w:numPr>
        <w:ind w:left="1267"/>
        <w:rPr>
          <w:lang w:val="es-ES_tradnl"/>
        </w:rPr>
      </w:pPr>
      <w:r w:rsidRPr="007E0CEF">
        <w:rPr>
          <w:lang w:val="es-ES_tradnl"/>
        </w:rPr>
        <w:t xml:space="preserve">Entre las iniciativas relacionadas con la cultura para abordar el problema de las mujeres y niñas indígenas desaparecidas o asesinadas y los problemas que afectan a las personas biespirituales, lesbianas, gais, bisexuales, transgénero, </w:t>
      </w:r>
      <w:r w:rsidRPr="007E0CEF">
        <w:rPr>
          <w:i/>
          <w:iCs/>
          <w:lang w:val="es-ES_tradnl"/>
        </w:rPr>
        <w:t>queer</w:t>
      </w:r>
      <w:r w:rsidRPr="007E0CEF">
        <w:rPr>
          <w:lang w:val="es-ES_tradnl"/>
        </w:rPr>
        <w:t xml:space="preserve">, en proceso de cuestionamiento, intersexuales, asexuales y otras cabe señalar las siguientes: </w:t>
      </w:r>
    </w:p>
    <w:p w14:paraId="23760B94" w14:textId="0D796025" w:rsidR="00FA3F43" w:rsidRPr="007E0CEF" w:rsidRDefault="008650C7" w:rsidP="008650C7">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El apoyo a las iniciativas de los pueblos indígenas para reclamar, preservar, revitalizar, mantener y fortalecer las lenguas indígenas, como parte de la aplicación de la Ley relativa a las Lenguas Indígenas; </w:t>
      </w:r>
    </w:p>
    <w:p w14:paraId="74E09E2C" w14:textId="77777777" w:rsidR="00C67D7B" w:rsidRPr="007E0CEF" w:rsidRDefault="00C67D7B" w:rsidP="00C67D7B">
      <w:pPr>
        <w:pStyle w:val="Bullet1G"/>
        <w:numPr>
          <w:ilvl w:val="0"/>
          <w:numId w:val="79"/>
        </w:numPr>
        <w:rPr>
          <w:lang w:val="es-ES_tradnl"/>
        </w:rPr>
      </w:pPr>
      <w:r w:rsidRPr="007E0CEF">
        <w:rPr>
          <w:lang w:val="es-ES_tradnl"/>
        </w:rPr>
        <w:t>La financiación de la digitalización y conservación del patrimonio documental indígena;</w:t>
      </w:r>
    </w:p>
    <w:p w14:paraId="57379938" w14:textId="406DFCC2" w:rsidR="00FA3F43" w:rsidRPr="007E0CEF" w:rsidRDefault="008650C7" w:rsidP="008650C7">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El fomento del acceso de las mujeres y las niñas indígenas a actividades deportivas; </w:t>
      </w:r>
    </w:p>
    <w:p w14:paraId="0AFDE70B" w14:textId="18850698" w:rsidR="00FA3F43" w:rsidRPr="007E0CEF" w:rsidRDefault="008650C7" w:rsidP="008650C7">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El respaldo de la labor de la Oficina de Creación Cinematográfica Indígena, organización independiente de gestión indígena en apoyo del sector dedicado a este tipo de creación y de la soberanía narrativa.</w:t>
      </w:r>
    </w:p>
    <w:p w14:paraId="425AB32F" w14:textId="2C98F43B" w:rsidR="008650C7" w:rsidRPr="007E0CEF" w:rsidRDefault="008650C7" w:rsidP="008650C7">
      <w:pPr>
        <w:pStyle w:val="Bullet1G"/>
        <w:tabs>
          <w:tab w:val="num" w:pos="1701"/>
        </w:tabs>
        <w:spacing w:after="0" w:line="120" w:lineRule="exact"/>
        <w:ind w:left="1701" w:hanging="170"/>
        <w:rPr>
          <w:kern w:val="14"/>
          <w:sz w:val="10"/>
          <w:lang w:val="es-ES_tradnl"/>
        </w:rPr>
      </w:pPr>
    </w:p>
    <w:p w14:paraId="02DE5354" w14:textId="262F7377" w:rsidR="008650C7" w:rsidRPr="007E0CEF" w:rsidRDefault="008650C7" w:rsidP="008650C7">
      <w:pPr>
        <w:pStyle w:val="Bullet1G"/>
        <w:tabs>
          <w:tab w:val="num" w:pos="1701"/>
        </w:tabs>
        <w:spacing w:after="0" w:line="120" w:lineRule="exact"/>
        <w:ind w:left="1701" w:hanging="170"/>
        <w:rPr>
          <w:kern w:val="14"/>
          <w:sz w:val="10"/>
          <w:lang w:val="es-ES_tradnl"/>
        </w:rPr>
      </w:pPr>
    </w:p>
    <w:p w14:paraId="4995587A" w14:textId="1F03AF8D" w:rsidR="00FA3F43" w:rsidRPr="007E0CEF" w:rsidRDefault="00FA3F43" w:rsidP="00865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 xml:space="preserve">Plan de Acción Nacional de 2021 relativo a las mujeres y las niñas indígenas desaparecidas o asesinadas y a las personas biespirituales, lesbianas, gais, bisexuales, transgénero, </w:t>
      </w:r>
      <w:r w:rsidRPr="007E0CEF">
        <w:rPr>
          <w:i/>
          <w:iCs/>
          <w:lang w:val="es-ES_tradnl"/>
        </w:rPr>
        <w:t>queer</w:t>
      </w:r>
      <w:r w:rsidRPr="007E0CEF">
        <w:rPr>
          <w:lang w:val="es-ES_tradnl"/>
        </w:rPr>
        <w:t>, en proceso de cuestionamiento, intersexuales, asexuales y otras</w:t>
      </w:r>
    </w:p>
    <w:p w14:paraId="6B727FAC" w14:textId="2298E651" w:rsidR="008650C7" w:rsidRPr="007E0CEF" w:rsidRDefault="008650C7" w:rsidP="008650C7">
      <w:pPr>
        <w:pStyle w:val="SingleTxt"/>
        <w:spacing w:after="0" w:line="120" w:lineRule="exact"/>
        <w:rPr>
          <w:sz w:val="10"/>
          <w:lang w:val="es-ES_tradnl"/>
        </w:rPr>
      </w:pPr>
    </w:p>
    <w:p w14:paraId="5EC87C94" w14:textId="4F83AC2F" w:rsidR="008650C7" w:rsidRPr="007E0CEF" w:rsidRDefault="008650C7" w:rsidP="008650C7">
      <w:pPr>
        <w:pStyle w:val="SingleTxt"/>
        <w:spacing w:after="0" w:line="120" w:lineRule="exact"/>
        <w:rPr>
          <w:sz w:val="10"/>
          <w:lang w:val="es-ES_tradnl"/>
        </w:rPr>
      </w:pPr>
    </w:p>
    <w:p w14:paraId="0170251A" w14:textId="77777777" w:rsidR="00FA3F43" w:rsidRPr="007E0CEF" w:rsidRDefault="00FA3F43" w:rsidP="00BB0090">
      <w:pPr>
        <w:pStyle w:val="SingleTxt"/>
        <w:numPr>
          <w:ilvl w:val="0"/>
          <w:numId w:val="77"/>
        </w:numPr>
        <w:ind w:left="1267"/>
        <w:rPr>
          <w:lang w:val="es-ES_tradnl"/>
        </w:rPr>
      </w:pPr>
      <w:bookmarkStart w:id="22" w:name="_Hlk102982867"/>
      <w:bookmarkStart w:id="23" w:name="_Hlk85030291"/>
      <w:r w:rsidRPr="007E0CEF">
        <w:rPr>
          <w:lang w:val="es-ES_tradnl"/>
        </w:rPr>
        <w:t xml:space="preserve">El 3 de junio de 2021 se puso en marcha el Plan de Acción Nacional para abordar el problema de las mujeres y niñas indígenas desaparecidas o asesinadas y los problemas que afectan a las personas biespirituales, lesbianas, gais, bisexuales, transgénero, </w:t>
      </w:r>
      <w:r w:rsidRPr="007E0CEF">
        <w:rPr>
          <w:i/>
          <w:iCs/>
          <w:lang w:val="es-ES_tradnl"/>
        </w:rPr>
        <w:t>queer</w:t>
      </w:r>
      <w:r w:rsidRPr="007E0CEF">
        <w:rPr>
          <w:lang w:val="es-ES_tradnl"/>
        </w:rPr>
        <w:t xml:space="preserve">, en proceso de cuestionamiento, intersexuales, asexuales y otras. Dicho plan se diseñó a lo largo de un proceso liderado por la población indígena que contó con las aportaciones de las siguientes instancias: el Círculo Nacional de Familias y Supervivientes; diversos grupos de trabajo de las comunidades de las Primeras Naciones, inuit, métis, urbanas y de personas biespirituales, lesbianas, gais, bisexuales, transgénero, </w:t>
      </w:r>
      <w:r w:rsidRPr="007E0CEF">
        <w:rPr>
          <w:i/>
          <w:iCs/>
          <w:lang w:val="es-ES_tradnl"/>
        </w:rPr>
        <w:t>queer</w:t>
      </w:r>
      <w:r w:rsidRPr="007E0CEF">
        <w:rPr>
          <w:lang w:val="es-ES_tradnl"/>
        </w:rPr>
        <w:t xml:space="preserve">, en proceso de cuestionamiento, intersexuales, asexuales y otras; diversos expertos en datos; y el Gobierno federal y los gobiernos provinciales y territoriales. Cada grupo estableció una serie de prioridades concretas. El Plan Federal para abordar el problema de las mujeres y niñas indígenas desaparecidas o asesinadas y los problemas que afectan a las personas biespirituales, lesbianas, gais, bisexuales, transgénero, </w:t>
      </w:r>
      <w:r w:rsidRPr="007E0CEF">
        <w:rPr>
          <w:i/>
          <w:iCs/>
          <w:lang w:val="es-ES_tradnl"/>
        </w:rPr>
        <w:t>queer</w:t>
      </w:r>
      <w:r w:rsidRPr="007E0CEF">
        <w:rPr>
          <w:lang w:val="es-ES_tradnl"/>
        </w:rPr>
        <w:t>, en proceso de cuestionamiento, intersexuales, asexuales y otras representa la contribución del Gobierno del Canadá al Plan de Acción Nacional e incluye el establecimiento de una serie de responsabilidades en el afrontamiento de las causas fundamentales de tales problemas.</w:t>
      </w:r>
      <w:bookmarkEnd w:id="22"/>
      <w:bookmarkEnd w:id="23"/>
    </w:p>
    <w:p w14:paraId="464C15AF" w14:textId="77777777" w:rsidR="00FA3F43" w:rsidRPr="007E0CEF" w:rsidRDefault="00FA3F43" w:rsidP="00BB0090">
      <w:pPr>
        <w:pStyle w:val="SingleTxt"/>
        <w:numPr>
          <w:ilvl w:val="0"/>
          <w:numId w:val="77"/>
        </w:numPr>
        <w:ind w:left="1267"/>
        <w:rPr>
          <w:iCs/>
          <w:lang w:val="es-ES_tradnl"/>
        </w:rPr>
      </w:pPr>
      <w:r w:rsidRPr="007E0CEF">
        <w:rPr>
          <w:lang w:val="es-ES_tradnl"/>
        </w:rPr>
        <w:t xml:space="preserve">Desde 2019, el Gobierno del Canadá ha brindado ayuda a los asociados indígenas (en particular a las organizaciones de mujeres indígenas, las familias y los supervivientes y los grupos de personas biespirituales, lesbianas, gais, bisexuales, </w:t>
      </w:r>
      <w:r w:rsidRPr="007E0CEF">
        <w:rPr>
          <w:lang w:val="es-ES_tradnl"/>
        </w:rPr>
        <w:lastRenderedPageBreak/>
        <w:t xml:space="preserve">transgénero, </w:t>
      </w:r>
      <w:r w:rsidRPr="007E0CEF">
        <w:rPr>
          <w:i/>
          <w:iCs/>
          <w:lang w:val="es-ES_tradnl"/>
        </w:rPr>
        <w:t>queer</w:t>
      </w:r>
      <w:r w:rsidRPr="007E0CEF">
        <w:rPr>
          <w:lang w:val="es-ES_tradnl"/>
        </w:rPr>
        <w:t xml:space="preserve">, en proceso de cuestionamiento, intersexuales, asexuales y otras) a fin de dialogar con los integrantes de estos colectivos acerca del modo deseado de participación de los pueblos y las organizaciones indígenas en el diseño del Plan de Acción Nacional, así como para establecer una serie de prioridades de actuación temprana dentro de lo planteado en las peticiones de justicia. </w:t>
      </w:r>
    </w:p>
    <w:p w14:paraId="6FE8C01A" w14:textId="77777777" w:rsidR="00FA3F43" w:rsidRPr="007E0CEF" w:rsidRDefault="00FA3F43" w:rsidP="00BB0090">
      <w:pPr>
        <w:pStyle w:val="SingleTxt"/>
        <w:numPr>
          <w:ilvl w:val="0"/>
          <w:numId w:val="78"/>
        </w:numPr>
        <w:ind w:left="1267"/>
        <w:rPr>
          <w:iCs/>
          <w:lang w:val="es-ES_tradnl"/>
        </w:rPr>
      </w:pPr>
      <w:r w:rsidRPr="007E0CEF">
        <w:rPr>
          <w:lang w:val="es-ES_tradnl"/>
        </w:rPr>
        <w:t>La aplicación de un enfoque pancanadiense seguirá constituyendo un elemento fundamental para la renovación de las relaciones entre naciones, entre el pueblo inuit y la Corona y entre los distintos gobiernos con los pueblos indígenas.</w:t>
      </w:r>
    </w:p>
    <w:p w14:paraId="4F1E8F78" w14:textId="5BC6EBBD" w:rsidR="00FA3F43" w:rsidRPr="007E0CEF" w:rsidRDefault="00FA3F43" w:rsidP="00BB0090">
      <w:pPr>
        <w:pStyle w:val="SingleTxt"/>
        <w:numPr>
          <w:ilvl w:val="0"/>
          <w:numId w:val="80"/>
        </w:numPr>
        <w:ind w:left="1267"/>
        <w:rPr>
          <w:iCs/>
          <w:lang w:val="es-ES_tradnl"/>
        </w:rPr>
      </w:pPr>
      <w:r w:rsidRPr="007E0CEF">
        <w:rPr>
          <w:lang w:val="es-ES_tradnl"/>
        </w:rPr>
        <w:t xml:space="preserve">El Gobierno del Canadá seguirá promoviendo las negociaciones de tratados y otros acuerdos constructivos, ya que contribuyen a lograr el objetivo a largo plazo de que las comunidades indígenas avancen en la aplicación de sus proyectos de libre determinación y gobernanza, incluido el restablecimiento del papel de las mujeres en las estructuras de gobierno, y de que plasmen sus tradiciones culturales en sus constituciones y leyes. </w:t>
      </w:r>
    </w:p>
    <w:p w14:paraId="794E8C3F" w14:textId="55673DE1" w:rsidR="008650C7" w:rsidRPr="007E0CEF" w:rsidRDefault="008650C7" w:rsidP="008650C7">
      <w:pPr>
        <w:pStyle w:val="SingleTxt"/>
        <w:spacing w:after="0" w:line="120" w:lineRule="exact"/>
        <w:rPr>
          <w:sz w:val="10"/>
          <w:lang w:val="es-ES_tradnl"/>
        </w:rPr>
      </w:pPr>
    </w:p>
    <w:p w14:paraId="74BDB747" w14:textId="2D2D1721" w:rsidR="008650C7" w:rsidRPr="007E0CEF" w:rsidRDefault="008650C7" w:rsidP="008650C7">
      <w:pPr>
        <w:pStyle w:val="SingleTxt"/>
        <w:spacing w:after="0" w:line="120" w:lineRule="exact"/>
        <w:rPr>
          <w:iCs/>
          <w:sz w:val="10"/>
          <w:lang w:val="es-ES_tradnl"/>
        </w:rPr>
      </w:pPr>
    </w:p>
    <w:p w14:paraId="6272C955" w14:textId="7E89774F" w:rsidR="00FA3F43" w:rsidRPr="007E0CEF" w:rsidRDefault="00FA3F43" w:rsidP="00865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Gobiernos provinciales y territoriales</w:t>
      </w:r>
    </w:p>
    <w:p w14:paraId="7AB2FD11" w14:textId="3FA3809E" w:rsidR="008650C7" w:rsidRPr="007E0CEF" w:rsidRDefault="008650C7" w:rsidP="008650C7">
      <w:pPr>
        <w:pStyle w:val="SingleTxt"/>
        <w:spacing w:after="0" w:line="120" w:lineRule="exact"/>
        <w:rPr>
          <w:sz w:val="10"/>
          <w:lang w:val="es-ES_tradnl"/>
        </w:rPr>
      </w:pPr>
    </w:p>
    <w:p w14:paraId="7E8A0895" w14:textId="10783E82" w:rsidR="008650C7" w:rsidRPr="007E0CEF" w:rsidRDefault="008650C7" w:rsidP="008650C7">
      <w:pPr>
        <w:pStyle w:val="SingleTxt"/>
        <w:spacing w:after="0" w:line="120" w:lineRule="exact"/>
        <w:rPr>
          <w:sz w:val="10"/>
          <w:lang w:val="es-ES_tradnl"/>
        </w:rPr>
      </w:pPr>
    </w:p>
    <w:p w14:paraId="68A29A71" w14:textId="77777777" w:rsidR="00FA3F43" w:rsidRPr="007E0CEF" w:rsidRDefault="00FA3F43" w:rsidP="00BB0090">
      <w:pPr>
        <w:pStyle w:val="SingleTxt"/>
        <w:numPr>
          <w:ilvl w:val="0"/>
          <w:numId w:val="81"/>
        </w:numPr>
        <w:ind w:left="1267"/>
        <w:rPr>
          <w:iCs/>
          <w:lang w:val="es-ES_tradnl"/>
        </w:rPr>
      </w:pPr>
      <w:r w:rsidRPr="007E0CEF">
        <w:rPr>
          <w:lang w:val="es-ES_tradnl"/>
        </w:rPr>
        <w:t xml:space="preserve">Los gobiernos provinciales y territoriales también están preparando una serie de medidas futuras para atender las cuestiones señaladas en el informe final de la Comisión Nacional de Investigación sobre las Mujeres y las Niñas Indígenas Desaparecidas o Asesinadas y las peticiones de justicia. Por ejemplo, el 3 de junio de 2021, Columbia Británica publicó el documento </w:t>
      </w:r>
      <w:r w:rsidRPr="007E0CEF">
        <w:rPr>
          <w:i/>
          <w:iCs/>
          <w:lang w:val="es-ES_tradnl"/>
        </w:rPr>
        <w:t>A Path Forward: Priorities and Early Strategies</w:t>
      </w:r>
      <w:r w:rsidRPr="007E0CEF">
        <w:rPr>
          <w:lang w:val="es-ES_tradnl"/>
        </w:rPr>
        <w:t xml:space="preserve">, en el que se reflejan las prioridades comunitarias determinadas a través de diálogos comunitarios liderados por los pueblos indígenas y se establece una base sólida y una serie de estrategias iniciales para avanzar hacia la erradicación de la violencia. Columbia Británica invertirá directamente en la creación de un fondo comunitario ─accesible a las comunidades de las Primeras Naciones, las comunidades urbanas o externas a las reservas, la ciudadanía métis y las comunidades de personas biespirituales, lesbianas, gais, bisexuales, transgénero, </w:t>
      </w:r>
      <w:r w:rsidRPr="007E0CEF">
        <w:rPr>
          <w:i/>
          <w:iCs/>
          <w:lang w:val="es-ES_tradnl"/>
        </w:rPr>
        <w:t>queer</w:t>
      </w:r>
      <w:r w:rsidRPr="007E0CEF">
        <w:rPr>
          <w:lang w:val="es-ES_tradnl"/>
        </w:rPr>
        <w:t>, en proceso de cuestionamiento, intersexuales, asexuales y otras─ con el fin de aumentar la capacidad de elaborar planes de seguridad.</w:t>
      </w:r>
    </w:p>
    <w:p w14:paraId="410BD5B7" w14:textId="77777777" w:rsidR="00FA3F43" w:rsidRPr="007E0CEF" w:rsidRDefault="00FA3F43" w:rsidP="00BB0090">
      <w:pPr>
        <w:pStyle w:val="SingleTxt"/>
        <w:numPr>
          <w:ilvl w:val="0"/>
          <w:numId w:val="81"/>
        </w:numPr>
        <w:ind w:left="1267"/>
        <w:rPr>
          <w:iCs/>
          <w:lang w:val="es-ES_tradnl"/>
        </w:rPr>
      </w:pPr>
      <w:r w:rsidRPr="007E0CEF">
        <w:rPr>
          <w:lang w:val="es-ES_tradnl"/>
        </w:rPr>
        <w:t xml:space="preserve">En 2021, Ontario dio a conocer una estrategia diseñada en colaboración con los asociados indígenas que refuerza su determinación de adoptar medidas para atender las peticiones de justicia que figuran en el informe final de la Comisión Nacional de Investigación sobre las Mujeres y las Niñas Indígenas Desaparecidas o Asesinadas. El plan en cuestión aborda una serie de deficiencias graves de los mecanismos de apoyo a las mujeres, la población infantil y las personas biespirituales, lesbianas, gais, bisexuales, transgénero, </w:t>
      </w:r>
      <w:r w:rsidRPr="007E0CEF">
        <w:rPr>
          <w:i/>
          <w:iCs/>
          <w:lang w:val="es-ES_tradnl"/>
        </w:rPr>
        <w:t>queer</w:t>
      </w:r>
      <w:r w:rsidRPr="007E0CEF">
        <w:rPr>
          <w:lang w:val="es-ES_tradnl"/>
        </w:rPr>
        <w:t>, en proceso de cuestionamiento, intersexuales, asexuales y otras de las comunidades indígenas, incluida la necesidad de ampliar el acceso a una vivienda estable, a la atención sanitaria, a la educación y al empleo.</w:t>
      </w:r>
    </w:p>
    <w:p w14:paraId="7E12A033" w14:textId="77777777" w:rsidR="00FA3F43" w:rsidRPr="007E0CEF" w:rsidRDefault="00FA3F43" w:rsidP="00BB0090">
      <w:pPr>
        <w:pStyle w:val="SingleTxt"/>
        <w:numPr>
          <w:ilvl w:val="0"/>
          <w:numId w:val="82"/>
        </w:numPr>
        <w:ind w:left="1267"/>
        <w:rPr>
          <w:iCs/>
          <w:lang w:val="es-ES_tradnl"/>
        </w:rPr>
      </w:pPr>
      <w:r w:rsidRPr="007E0CEF">
        <w:rPr>
          <w:lang w:val="es-ES_tradnl"/>
        </w:rPr>
        <w:t xml:space="preserve">En diciembre de 2021, el Gobierno de los Territorios del Noroeste publicó un proyecto de Plan de Acción en respuesta a las peticiones de justicia relativas a la desaparición o el asesinato de mujeres, niñas y personas biespirituales, lesbianas, gais, bisexuales, transgénero, </w:t>
      </w:r>
      <w:r w:rsidRPr="007E0CEF">
        <w:rPr>
          <w:i/>
          <w:iCs/>
          <w:lang w:val="es-ES_tradnl"/>
        </w:rPr>
        <w:t>queer</w:t>
      </w:r>
      <w:r w:rsidRPr="007E0CEF">
        <w:rPr>
          <w:lang w:val="es-ES_tradnl"/>
        </w:rPr>
        <w:t xml:space="preserve">, en proceso de cuestionamiento, intersexuales, asexuales y otras de las comunidades indígenas. </w:t>
      </w:r>
    </w:p>
    <w:p w14:paraId="2B98B2C0" w14:textId="77777777" w:rsidR="00FA3F43" w:rsidRPr="007E0CEF" w:rsidRDefault="00FA3F43" w:rsidP="00BB0090">
      <w:pPr>
        <w:pStyle w:val="SingleTxt"/>
        <w:numPr>
          <w:ilvl w:val="0"/>
          <w:numId w:val="83"/>
        </w:numPr>
        <w:ind w:left="1267"/>
        <w:rPr>
          <w:iCs/>
          <w:lang w:val="es-ES_tradnl"/>
        </w:rPr>
      </w:pPr>
      <w:r w:rsidRPr="007E0CEF">
        <w:rPr>
          <w:lang w:val="es-ES_tradnl"/>
        </w:rPr>
        <w:t>El Gobierno de Nueva Escocia está colaborando con los asociados indígenas para determinar la mejor manera de establecer prioridades y aplicar las conclusiones de la mencionada Comisión de Investigación Nacional. Dicha provincia sigue buscando distintas posibilidades de aplicar las conclusiones del informe e integrar la cuestión de las mujeres y las niñas indígenas desaparecidas o asesinadas en las iniciativas estratégicas de todo el gobierno.</w:t>
      </w:r>
    </w:p>
    <w:p w14:paraId="1C0E2AB9" w14:textId="77777777" w:rsidR="00FA3F43" w:rsidRPr="007E0CEF" w:rsidRDefault="00FA3F43" w:rsidP="00BB0090">
      <w:pPr>
        <w:pStyle w:val="SingleTxt"/>
        <w:numPr>
          <w:ilvl w:val="0"/>
          <w:numId w:val="84"/>
        </w:numPr>
        <w:ind w:left="1267"/>
        <w:rPr>
          <w:iCs/>
          <w:lang w:val="es-ES_tradnl"/>
        </w:rPr>
      </w:pPr>
      <w:r w:rsidRPr="007E0CEF">
        <w:rPr>
          <w:lang w:val="es-ES_tradnl"/>
        </w:rPr>
        <w:lastRenderedPageBreak/>
        <w:t>Quebec también se ha comprometido a dar seguimiento, en colaboración con las comunidades indígenas, a las peticiones de medidas que figuran en los informes de la Comisión de Investigación sobre las Relaciones entre los Pueblos Indígenas y Determinados Servicios Públicos en Quebec y de la Comisión Nacional de Investigación sobre las Mujeres y las Niñas Indígenas Desaparecidas o Asesinadas. Desde el pasado mes de octubre ya se han hecho públicas 24 medidas que abarcan, entre otros aspectos, la seguridad cultural en la red de servicios sanitarios y sociales, la mejora de la formación y las prácticas policiales de las fuerzas policiales indígenas y la concienciación del personal de la función pública sobre las distintas realidades de los pueblos indígenas.</w:t>
      </w:r>
    </w:p>
    <w:p w14:paraId="6689ACCF" w14:textId="77777777" w:rsidR="00FA3F43" w:rsidRPr="007E0CEF" w:rsidRDefault="00FA3F43" w:rsidP="00BB0090">
      <w:pPr>
        <w:pStyle w:val="SingleTxt"/>
        <w:numPr>
          <w:ilvl w:val="0"/>
          <w:numId w:val="85"/>
        </w:numPr>
        <w:ind w:left="1267"/>
        <w:rPr>
          <w:iCs/>
          <w:lang w:val="es-ES_tradnl"/>
        </w:rPr>
      </w:pPr>
      <w:r w:rsidRPr="007E0CEF">
        <w:rPr>
          <w:lang w:val="es-ES_tradnl"/>
        </w:rPr>
        <w:t xml:space="preserve">Multitud de provincias y territorios han constituido comités para determinar el camino que debe seguirse. Por ejemplo, el Comité Consultivo de Yukón sobre la Desaparición o el Asesinato de Mujeres, Niñas y Personas Biespirituales y Otras de Comunidades Indígenas publicó en 2020 el documento titulado </w:t>
      </w:r>
      <w:r w:rsidRPr="007E0CEF">
        <w:rPr>
          <w:i/>
          <w:iCs/>
          <w:lang w:val="es-ES_tradnl"/>
        </w:rPr>
        <w:t>Changing the Story to Upholding Dignity and Justice: Yukon Strategy on MMIWG2S+</w:t>
      </w:r>
      <w:r w:rsidRPr="007E0CEF">
        <w:rPr>
          <w:lang w:val="es-ES_tradnl"/>
        </w:rPr>
        <w:t xml:space="preserve">, en el que se expone la estrategia del territorio de Yukón frente a tales desapariciones o asesinatos. Dicha estrategia engloba 31 medidas prioritarias referentes a cuatro vías, a saber: el refuerzo de vínculos y apoyos; la seguridad y la justicia comunitarias; la educación y la independencia económica; y la acción comunitaria y la rendición de cuentas. </w:t>
      </w:r>
    </w:p>
    <w:p w14:paraId="4AB7647B" w14:textId="77777777" w:rsidR="00FA3F43" w:rsidRPr="007E0CEF" w:rsidRDefault="00FA3F43" w:rsidP="00BB0090">
      <w:pPr>
        <w:pStyle w:val="SingleTxt"/>
        <w:numPr>
          <w:ilvl w:val="0"/>
          <w:numId w:val="86"/>
        </w:numPr>
        <w:ind w:left="1267"/>
        <w:rPr>
          <w:iCs/>
          <w:lang w:val="es-ES_tradnl"/>
        </w:rPr>
      </w:pPr>
      <w:r w:rsidRPr="007E0CEF">
        <w:rPr>
          <w:lang w:val="es-ES_tradnl"/>
        </w:rPr>
        <w:t>En 2020 se creó el Grupo de Trabajo Conjunto de Alberta sobre las Mujeres y las Niñas Indígenas Desaparecidas o Asesinadas para asesorar y hacer recomendaciones al gobierno de dicha provincia acerca de posibles medidas para combatir la violencia contra las mujeres y las niñas indígenas y atender las peticiones de justicia.</w:t>
      </w:r>
    </w:p>
    <w:p w14:paraId="78969002" w14:textId="129647CD" w:rsidR="00FA3F43" w:rsidRPr="007E0CEF" w:rsidRDefault="00FA3F43" w:rsidP="00BB0090">
      <w:pPr>
        <w:pStyle w:val="SingleTxt"/>
        <w:numPr>
          <w:ilvl w:val="0"/>
          <w:numId w:val="87"/>
        </w:numPr>
        <w:ind w:left="1267"/>
        <w:rPr>
          <w:iCs/>
          <w:lang w:val="es-ES_tradnl"/>
        </w:rPr>
      </w:pPr>
      <w:r w:rsidRPr="007E0CEF">
        <w:rPr>
          <w:lang w:val="es-ES_tradnl"/>
        </w:rPr>
        <w:t xml:space="preserve">La isla del Príncipe Eduardo constituyó el Grupo de Trabajo Interdepartamental sobre las Mujeres y las Niñas Indígenas Desaparecidas o Asesinadas, formado por representantes de los departamentos del gobierno provincial y encargado de revisar las peticiones de justicia que figuran en el Informe Final de la Comisión Nacional de Investigación sobre las Mujeres y las Niñas Indígenas Desaparecidas o Asesinadas para determinar y coordinar las prioridades, los próximos pasos y las futuras medidas dentro de la jurisdicción provincial. En dicha isla se constituyó asimismo el Grupo de Trabajo Indígena formado por representantes de las Primeras Naciones de la provincia y de las organizaciones indígenas locales a fin de cooperar con el Grupo de Trabajo Interdepartamental en la determinación de prioridades y garantizar que la labor se lleve a cabo con las aportaciones y el liderazgo de las comunidades indígenas. </w:t>
      </w:r>
    </w:p>
    <w:p w14:paraId="2A4D3DD8" w14:textId="704A4E0C" w:rsidR="008650C7" w:rsidRPr="007E0CEF" w:rsidRDefault="008650C7" w:rsidP="008650C7">
      <w:pPr>
        <w:pStyle w:val="SingleTxt"/>
        <w:spacing w:after="0" w:line="120" w:lineRule="exact"/>
        <w:rPr>
          <w:sz w:val="10"/>
          <w:lang w:val="es-ES_tradnl"/>
        </w:rPr>
      </w:pPr>
    </w:p>
    <w:p w14:paraId="6DA1269B" w14:textId="5A52F913" w:rsidR="008650C7" w:rsidRPr="007E0CEF" w:rsidRDefault="008650C7" w:rsidP="008650C7">
      <w:pPr>
        <w:pStyle w:val="SingleTxt"/>
        <w:spacing w:after="0" w:line="120" w:lineRule="exact"/>
        <w:rPr>
          <w:iCs/>
          <w:sz w:val="10"/>
          <w:lang w:val="es-ES_tradnl"/>
        </w:rPr>
      </w:pPr>
    </w:p>
    <w:p w14:paraId="431F87F3" w14:textId="3A659D20" w:rsidR="00FA3F43" w:rsidRPr="007E0CEF" w:rsidRDefault="00FA3F43" w:rsidP="008650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Preguntas 14 y 15: Trata y explotación de la prostitución</w:t>
      </w:r>
    </w:p>
    <w:p w14:paraId="67499E47" w14:textId="0E49F8D7" w:rsidR="008650C7" w:rsidRPr="007E0CEF" w:rsidRDefault="008650C7" w:rsidP="008650C7">
      <w:pPr>
        <w:pStyle w:val="SingleTxt"/>
        <w:spacing w:after="0" w:line="120" w:lineRule="exact"/>
        <w:rPr>
          <w:sz w:val="10"/>
          <w:lang w:val="es-ES_tradnl"/>
        </w:rPr>
      </w:pPr>
    </w:p>
    <w:p w14:paraId="46DC0AED" w14:textId="029BF022" w:rsidR="008650C7" w:rsidRPr="007E0CEF" w:rsidRDefault="008650C7" w:rsidP="008650C7">
      <w:pPr>
        <w:pStyle w:val="SingleTxt"/>
        <w:spacing w:after="0" w:line="120" w:lineRule="exact"/>
        <w:rPr>
          <w:sz w:val="10"/>
          <w:lang w:val="es-ES_tradnl"/>
        </w:rPr>
      </w:pPr>
    </w:p>
    <w:p w14:paraId="2BAF4C6C" w14:textId="088AC714" w:rsidR="00FA3F43" w:rsidRPr="007E0CEF" w:rsidRDefault="00FA3F43" w:rsidP="00865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Investigaciones, enjuiciamientos y condenas</w:t>
      </w:r>
    </w:p>
    <w:p w14:paraId="4F03FD5E" w14:textId="671BD457" w:rsidR="004A3E16" w:rsidRPr="007E0CEF" w:rsidRDefault="004A3E16" w:rsidP="004A3E16">
      <w:pPr>
        <w:pStyle w:val="SingleTxt"/>
        <w:spacing w:after="0" w:line="120" w:lineRule="exact"/>
        <w:rPr>
          <w:sz w:val="10"/>
          <w:lang w:val="es-ES_tradnl"/>
        </w:rPr>
      </w:pPr>
    </w:p>
    <w:p w14:paraId="31ADFB9A" w14:textId="7A9A0F4B" w:rsidR="004A3E16" w:rsidRPr="007E0CEF" w:rsidRDefault="004A3E16" w:rsidP="004A3E16">
      <w:pPr>
        <w:pStyle w:val="SingleTxt"/>
        <w:spacing w:after="0" w:line="120" w:lineRule="exact"/>
        <w:rPr>
          <w:sz w:val="10"/>
          <w:lang w:val="es-ES_tradnl"/>
        </w:rPr>
      </w:pPr>
    </w:p>
    <w:p w14:paraId="7F138839" w14:textId="77777777" w:rsidR="00FA3F43" w:rsidRPr="007E0CEF" w:rsidRDefault="00FA3F43" w:rsidP="00BB0090">
      <w:pPr>
        <w:pStyle w:val="SingleTxt"/>
        <w:numPr>
          <w:ilvl w:val="0"/>
          <w:numId w:val="88"/>
        </w:numPr>
        <w:ind w:left="1267"/>
        <w:rPr>
          <w:iCs/>
          <w:lang w:val="es-ES_tradnl"/>
        </w:rPr>
      </w:pPr>
      <w:r w:rsidRPr="007E0CEF">
        <w:rPr>
          <w:lang w:val="es-ES_tradnl"/>
        </w:rPr>
        <w:t xml:space="preserve">Entre 2009 y 2018, los servicios policiales del Canadá registraron la denuncia de 1.708 casos de trata de personas, lo que suponía una tasa media anual de 0,5 casos por cada 100.000 habitantes. Casi todas las víctimas (un 97 %) de los casos de trata de personas denunciados a la policía eran mujeres y niñas. Aproximadamente tres cuartas partes (un 74 %) de las víctimas eran menores de 25 años. Desde el período 2008-2009 hasta el período 2017-2018, se cerraron 582 casos en los que se presentó al menos un cargo por delito de trata de personas ante los tribunales penales de adultos. Por término medio y en comparación con otras causas penales, tales casos conllevaban la presentación de cargos adicionales, tardaban más en cerrarse y tenían menos probabilidades de saldarse con un veredicto de culpabilidad. No obstante, el </w:t>
      </w:r>
      <w:r w:rsidRPr="007E0CEF">
        <w:rPr>
          <w:lang w:val="es-ES_tradnl"/>
        </w:rPr>
        <w:lastRenderedPageBreak/>
        <w:t>76 % de los casos en que se concluyó la existencia de culpabilidad se saldó con una sentencia de prisión preventiva</w:t>
      </w:r>
      <w:r w:rsidRPr="007E0CEF">
        <w:rPr>
          <w:iCs/>
          <w:lang w:val="es-ES_tradnl"/>
        </w:rPr>
        <w:footnoteReference w:id="10"/>
      </w:r>
      <w:r w:rsidRPr="007E0CEF">
        <w:rPr>
          <w:lang w:val="es-ES_tradnl"/>
        </w:rPr>
        <w:t>.</w:t>
      </w:r>
    </w:p>
    <w:p w14:paraId="2B5DED5E" w14:textId="622161E0" w:rsidR="00FA3F43" w:rsidRPr="007E0CEF" w:rsidRDefault="00FA3F43" w:rsidP="00BB0090">
      <w:pPr>
        <w:pStyle w:val="SingleTxt"/>
        <w:numPr>
          <w:ilvl w:val="0"/>
          <w:numId w:val="88"/>
        </w:numPr>
        <w:ind w:left="1267"/>
        <w:rPr>
          <w:iCs/>
          <w:lang w:val="es-ES_tradnl"/>
        </w:rPr>
      </w:pPr>
      <w:r w:rsidRPr="007E0CEF">
        <w:rPr>
          <w:lang w:val="es-ES_tradnl"/>
        </w:rPr>
        <w:t xml:space="preserve">Aunque las estadísticas relativas a la trata de personas aportan información relevante sobre las características de este delito en el Canadá, es importante señalar la posibilidad de que muchos casos de dicha práctica no se denuncien ni queden registrados por el miedo de las víctimas a alzar la voz y por la imputación de otros delitos del Código Penal a las personas acusadas de trata. </w:t>
      </w:r>
    </w:p>
    <w:p w14:paraId="35B4B554" w14:textId="709D2105" w:rsidR="004A3E16" w:rsidRPr="007E0CEF" w:rsidRDefault="004A3E16" w:rsidP="004A3E16">
      <w:pPr>
        <w:pStyle w:val="SingleTxt"/>
        <w:spacing w:after="0" w:line="120" w:lineRule="exact"/>
        <w:rPr>
          <w:sz w:val="10"/>
          <w:lang w:val="es-ES_tradnl"/>
        </w:rPr>
      </w:pPr>
    </w:p>
    <w:p w14:paraId="57089DEC" w14:textId="009F502A" w:rsidR="004A3E16" w:rsidRPr="007E0CEF" w:rsidRDefault="004A3E16" w:rsidP="004A3E16">
      <w:pPr>
        <w:pStyle w:val="SingleTxt"/>
        <w:spacing w:after="0" w:line="120" w:lineRule="exact"/>
        <w:rPr>
          <w:iCs/>
          <w:sz w:val="10"/>
          <w:lang w:val="es-ES_tradnl"/>
        </w:rPr>
      </w:pPr>
    </w:p>
    <w:p w14:paraId="4D67EFF6" w14:textId="0B6DD08E" w:rsidR="00FA3F43" w:rsidRPr="007E0CEF" w:rsidRDefault="00FA3F43" w:rsidP="004A3E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Servicios específicamente destinados a víctimas y supervivientes de la trata de personas</w:t>
      </w:r>
    </w:p>
    <w:p w14:paraId="0EE68C44" w14:textId="3D9FB46A" w:rsidR="004A3E16" w:rsidRPr="007E0CEF" w:rsidRDefault="004A3E16" w:rsidP="004A3E16">
      <w:pPr>
        <w:pStyle w:val="SingleTxt"/>
        <w:spacing w:after="0" w:line="120" w:lineRule="exact"/>
        <w:rPr>
          <w:sz w:val="10"/>
          <w:lang w:val="es-ES_tradnl"/>
        </w:rPr>
      </w:pPr>
    </w:p>
    <w:p w14:paraId="32D92AB0" w14:textId="50477628" w:rsidR="004A3E16" w:rsidRPr="007E0CEF" w:rsidRDefault="004A3E16" w:rsidP="004A3E16">
      <w:pPr>
        <w:pStyle w:val="SingleTxt"/>
        <w:spacing w:after="0" w:line="120" w:lineRule="exact"/>
        <w:rPr>
          <w:sz w:val="10"/>
          <w:lang w:val="es-ES_tradnl"/>
        </w:rPr>
      </w:pPr>
    </w:p>
    <w:p w14:paraId="276D8EC7" w14:textId="77777777" w:rsidR="00FA3F43" w:rsidRPr="007E0CEF" w:rsidRDefault="00FA3F43" w:rsidP="00BB0090">
      <w:pPr>
        <w:pStyle w:val="SingleTxt"/>
        <w:numPr>
          <w:ilvl w:val="0"/>
          <w:numId w:val="89"/>
        </w:numPr>
        <w:ind w:left="1267"/>
        <w:rPr>
          <w:iCs/>
          <w:lang w:val="es-ES_tradnl"/>
        </w:rPr>
      </w:pPr>
      <w:r w:rsidRPr="007E0CEF">
        <w:rPr>
          <w:lang w:val="es-ES_tradnl"/>
        </w:rPr>
        <w:t xml:space="preserve">En el Canadá, la protección de las víctimas y supervivientes de la trata de personas es responsabilidad común del Gobierno federal y los gobiernos provinciales y territoriales, siendo estos últimos quienes prestan la mayoría de los servicios (por ejemplo, servicios sanitarios y sociales, alojamiento de emergencia y asistencia jurídica) a tales víctimas y supervivientes. He aquí algunos ejemplos: </w:t>
      </w:r>
    </w:p>
    <w:p w14:paraId="310B3D0A" w14:textId="2DA7F740"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2019, el Gobierno canadiense puso en marcha la Línea Directa de Denuncia de Casos de Trata de Personas del Canadá, que constituye un servicio centralizado de atención y derivación de casos. Este servicio está disponible las 24 horas, los 7 días de la semana, y ofrece atención multilingüe en un espacio seguro y confidencial para pedir ayuda, contactar con servicios y mecanismos de apoyo de emergencia, de transición y a largo plazo y permitir que la ciudadanía colabore aportando información; </w:t>
      </w:r>
    </w:p>
    <w:p w14:paraId="17316CD2" w14:textId="1FC5129E" w:rsidR="00FA3F43" w:rsidRPr="007E0CEF" w:rsidRDefault="004A3E16" w:rsidP="004A3E16">
      <w:pPr>
        <w:pStyle w:val="Bullet1G"/>
        <w:tabs>
          <w:tab w:val="num" w:pos="1701"/>
        </w:tabs>
        <w:ind w:left="1701" w:hanging="170"/>
        <w:rPr>
          <w:bCs/>
          <w:kern w:val="14"/>
          <w:lang w:val="es-ES_tradnl"/>
        </w:rPr>
      </w:pPr>
      <w:r w:rsidRPr="007E0CEF">
        <w:rPr>
          <w:lang w:val="es-ES_tradnl"/>
        </w:rPr>
        <w:t>•</w:t>
      </w:r>
      <w:r w:rsidRPr="007E0CEF">
        <w:rPr>
          <w:lang w:val="es-ES_tradnl"/>
        </w:rPr>
        <w:tab/>
      </w:r>
      <w:r w:rsidR="00FA3F43" w:rsidRPr="007E0CEF">
        <w:rPr>
          <w:kern w:val="14"/>
          <w:lang w:val="es-ES_tradnl"/>
        </w:rPr>
        <w:t xml:space="preserve">El gobierno de Ontario proporciona acceso multisectorial a servicios de apoyo para evitar que las personas en riesgo se conviertan en víctimas de la trata y ayudar a los supervivientes de esta práctica a superar el trauma y reconstruir sus vidas. Entre tales servicios cabe incluir los siguientes: </w:t>
      </w:r>
    </w:p>
    <w:p w14:paraId="5E287301" w14:textId="6667EBFF" w:rsidR="00FA3F43" w:rsidRPr="007E0CEF" w:rsidRDefault="004A3E16" w:rsidP="004A3E16">
      <w:pPr>
        <w:pStyle w:val="Bullet2G"/>
        <w:tabs>
          <w:tab w:val="num" w:pos="2268"/>
        </w:tabs>
        <w:ind w:left="2268" w:hanging="170"/>
        <w:rPr>
          <w:kern w:val="14"/>
          <w:lang w:val="es-ES_tradnl"/>
        </w:rPr>
      </w:pPr>
      <w:r w:rsidRPr="007E0CEF">
        <w:rPr>
          <w:lang w:val="es-ES_tradnl"/>
        </w:rPr>
        <w:t>•</w:t>
      </w:r>
      <w:r w:rsidRPr="007E0CEF">
        <w:rPr>
          <w:lang w:val="es-ES_tradnl"/>
        </w:rPr>
        <w:tab/>
      </w:r>
      <w:r w:rsidR="00FA3F43" w:rsidRPr="007E0CEF">
        <w:rPr>
          <w:kern w:val="14"/>
          <w:lang w:val="es-ES_tradnl"/>
        </w:rPr>
        <w:t>El Fondo de Apoyo Comunitario contra la Trata de Personas, que contribuye a la aportación de soluciones comunitarias que ayuden a los supervivientes de dicha práctica y aumenten la protección de las personas expuestas a convertirse en víctimas de este delito</w:t>
      </w:r>
      <w:r w:rsidR="00FA3F43" w:rsidRPr="007E0CEF">
        <w:rPr>
          <w:kern w:val="14"/>
          <w:vertAlign w:val="superscript"/>
          <w:lang w:val="es-ES_tradnl"/>
        </w:rPr>
        <w:footnoteReference w:id="11"/>
      </w:r>
      <w:r w:rsidR="00FA3F43" w:rsidRPr="007E0CEF">
        <w:rPr>
          <w:kern w:val="14"/>
          <w:lang w:val="es-ES_tradnl"/>
        </w:rPr>
        <w:t xml:space="preserve">;  </w:t>
      </w:r>
    </w:p>
    <w:p w14:paraId="50D0C87A" w14:textId="3BD5831C" w:rsidR="00FA3F43" w:rsidRPr="007E0CEF" w:rsidRDefault="004A3E16" w:rsidP="004A3E16">
      <w:pPr>
        <w:pStyle w:val="Bullet2G"/>
        <w:tabs>
          <w:tab w:val="num" w:pos="2268"/>
        </w:tabs>
        <w:ind w:left="2268" w:hanging="170"/>
        <w:rPr>
          <w:kern w:val="14"/>
          <w:lang w:val="es-ES_tradnl"/>
        </w:rPr>
      </w:pPr>
      <w:r w:rsidRPr="007E0CEF">
        <w:rPr>
          <w:lang w:val="es-ES_tradnl"/>
        </w:rPr>
        <w:t>•</w:t>
      </w:r>
      <w:r w:rsidRPr="007E0CEF">
        <w:rPr>
          <w:lang w:val="es-ES_tradnl"/>
        </w:rPr>
        <w:tab/>
      </w:r>
      <w:r w:rsidR="00FA3F43" w:rsidRPr="007E0CEF">
        <w:rPr>
          <w:kern w:val="14"/>
          <w:lang w:val="es-ES_tradnl"/>
        </w:rPr>
        <w:t>El Fondo de Iniciativas Lideradas por la Comunidad Indígena contra la Trata de Personas, que brinda servicios y mecanismos de apoyo contra la trata de personas centrados en la comunidad y diseñados por y para la población indígena</w:t>
      </w:r>
      <w:r w:rsidR="00FA3F43" w:rsidRPr="007E0CEF">
        <w:rPr>
          <w:kern w:val="14"/>
          <w:vertAlign w:val="superscript"/>
          <w:lang w:val="es-ES_tradnl"/>
        </w:rPr>
        <w:footnoteReference w:id="12"/>
      </w:r>
      <w:r w:rsidR="00FA3F43" w:rsidRPr="007E0CEF">
        <w:rPr>
          <w:kern w:val="14"/>
          <w:lang w:val="es-ES_tradnl"/>
        </w:rPr>
        <w:t xml:space="preserve">. Se calcula que los organismos de los mencionados Fondos han prestado servicios a más de 2.000 víctimas y supervivientes de la trata de personas; </w:t>
      </w:r>
    </w:p>
    <w:p w14:paraId="74A7C55C" w14:textId="57663A70" w:rsidR="00FA3F43" w:rsidRPr="007E0CEF" w:rsidRDefault="004A3E16" w:rsidP="004A3E16">
      <w:pPr>
        <w:pStyle w:val="Bullet1G"/>
        <w:tabs>
          <w:tab w:val="num" w:pos="1701"/>
        </w:tabs>
        <w:ind w:left="1701" w:hanging="170"/>
        <w:rPr>
          <w:kern w:val="14"/>
          <w:lang w:val="es-ES_tradnl"/>
        </w:rPr>
      </w:pPr>
      <w:r w:rsidRPr="007E0CEF">
        <w:rPr>
          <w:lang w:val="es-ES_tradnl"/>
        </w:rPr>
        <w:lastRenderedPageBreak/>
        <w:t>•</w:t>
      </w:r>
      <w:r w:rsidRPr="007E0CEF">
        <w:rPr>
          <w:lang w:val="es-ES_tradnl"/>
        </w:rPr>
        <w:tab/>
      </w:r>
      <w:r w:rsidR="00FA3F43" w:rsidRPr="007E0CEF">
        <w:rPr>
          <w:kern w:val="14"/>
          <w:lang w:val="es-ES_tradnl"/>
        </w:rPr>
        <w:t>La Guía de Nuevo Brunswick sobre la Trata de Personas de 2017 ofrece información sobre la manera de detectar, apoyar, proteger y ayudar a víctimas potenciales de la trata y constituye una guía de los servicios provinciales, entre los que figuran los hogares de tránsito, las líneas de atención en crisis, el asesoramiento en casos de agresión sexual y los centros de acogida de emergencia;</w:t>
      </w:r>
    </w:p>
    <w:p w14:paraId="634B60D7" w14:textId="38E3F244"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En 2021, el gobierno de Quebec anunció una serie de inversiones para apoyar e intensificar los esfuerzos de las fuerzas policiales quebequesas por detectar y reprimir los delitos de explotación sexual de menores y llevar a sus autores ante la justicia, especialmente con miras a aumentar la capacidad del equipo integrado de lucha contra el proxenetismo para combatir las redes de proxenetas, la trata de personas y la prostitución infantil.</w:t>
      </w:r>
    </w:p>
    <w:p w14:paraId="1BD1FF2F" w14:textId="623777CD" w:rsidR="004A3E16" w:rsidRPr="007E0CEF" w:rsidRDefault="004A3E16" w:rsidP="004A3E16">
      <w:pPr>
        <w:pStyle w:val="Bullet1G"/>
        <w:tabs>
          <w:tab w:val="num" w:pos="1701"/>
        </w:tabs>
        <w:spacing w:after="0" w:line="120" w:lineRule="exact"/>
        <w:ind w:left="1701" w:hanging="170"/>
        <w:rPr>
          <w:kern w:val="14"/>
          <w:sz w:val="10"/>
          <w:lang w:val="es-ES_tradnl"/>
        </w:rPr>
      </w:pPr>
    </w:p>
    <w:p w14:paraId="04FBE97D" w14:textId="4F39171B" w:rsidR="004A3E16" w:rsidRPr="007E0CEF" w:rsidRDefault="004A3E16" w:rsidP="004A3E16">
      <w:pPr>
        <w:pStyle w:val="Bullet1G"/>
        <w:tabs>
          <w:tab w:val="num" w:pos="1701"/>
        </w:tabs>
        <w:spacing w:after="0" w:line="120" w:lineRule="exact"/>
        <w:ind w:left="1701" w:hanging="170"/>
        <w:rPr>
          <w:kern w:val="14"/>
          <w:sz w:val="10"/>
          <w:lang w:val="es-ES_tradnl"/>
        </w:rPr>
      </w:pPr>
    </w:p>
    <w:p w14:paraId="5DCF1336" w14:textId="78848A66" w:rsidR="00FA3F43" w:rsidRPr="007E0CEF" w:rsidRDefault="00FA3F43" w:rsidP="004A3E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Plan de Acción Nacional contra la Trata de Personas</w:t>
      </w:r>
    </w:p>
    <w:p w14:paraId="0FBE6FC2" w14:textId="17D20CF7" w:rsidR="004A3E16" w:rsidRPr="007E0CEF" w:rsidRDefault="004A3E16" w:rsidP="004A3E16">
      <w:pPr>
        <w:pStyle w:val="SingleTxt"/>
        <w:spacing w:after="0" w:line="120" w:lineRule="exact"/>
        <w:rPr>
          <w:sz w:val="10"/>
          <w:lang w:val="es-ES_tradnl"/>
        </w:rPr>
      </w:pPr>
    </w:p>
    <w:p w14:paraId="70482F01" w14:textId="6EE11EBB" w:rsidR="004A3E16" w:rsidRPr="007E0CEF" w:rsidRDefault="004A3E16" w:rsidP="004A3E16">
      <w:pPr>
        <w:pStyle w:val="SingleTxt"/>
        <w:spacing w:after="0" w:line="120" w:lineRule="exact"/>
        <w:rPr>
          <w:sz w:val="10"/>
          <w:lang w:val="es-ES_tradnl"/>
        </w:rPr>
      </w:pPr>
    </w:p>
    <w:p w14:paraId="6C20E92A" w14:textId="77777777" w:rsidR="00FA3F43" w:rsidRPr="007E0CEF" w:rsidRDefault="00FA3F43" w:rsidP="00BB0090">
      <w:pPr>
        <w:pStyle w:val="SingleTxt"/>
        <w:numPr>
          <w:ilvl w:val="0"/>
          <w:numId w:val="90"/>
        </w:numPr>
        <w:ind w:left="1267"/>
        <w:rPr>
          <w:iCs/>
          <w:lang w:val="es-ES_tradnl"/>
        </w:rPr>
      </w:pPr>
      <w:bookmarkStart w:id="24" w:name="_Hlk85032313"/>
      <w:r w:rsidRPr="007E0CEF">
        <w:rPr>
          <w:lang w:val="es-ES_tradnl"/>
        </w:rPr>
        <w:t xml:space="preserve">En 2019, el Gobierno del Canadá dio a conocer su Estrategia Nacional contra la Trata de Personas, un marco estratégico que aúna los distintos esfuerzos federales en esta materia. La Estrategia Nacional se basa en los pilares reconocidos internacionalmente de prevención, protección, enjuiciamiento y establecimiento de alianzas e incorpora un nuevo pilar de “empoderamiento”. Este último pilar está más centrado en mejorar los servicios de apoyo a las víctimas y supervivientes de la trata de personas, ayudar a las víctimas y supervivientes a recuperar el control y la autonomía y garantizar su reintegración en la comunidad durante el proceso de sanación y recuperación. El pilar de empoderamiento también abarca la aportación de financiación a las principales organizaciones canadienses encargadas de prestar a las víctimas y supervivientes de la trata de personas una amplia gama de servicios y mecanismos de apoyo integrales a largo plazo y basados en el trauma sufrido. </w:t>
      </w:r>
      <w:bookmarkEnd w:id="24"/>
    </w:p>
    <w:p w14:paraId="459DD556" w14:textId="77777777" w:rsidR="00FA3F43" w:rsidRPr="007E0CEF" w:rsidRDefault="00FA3F43" w:rsidP="00BB0090">
      <w:pPr>
        <w:pStyle w:val="SingleTxt"/>
        <w:numPr>
          <w:ilvl w:val="0"/>
          <w:numId w:val="90"/>
        </w:numPr>
        <w:ind w:left="1267"/>
        <w:rPr>
          <w:iCs/>
          <w:lang w:val="es-ES_tradnl"/>
        </w:rPr>
      </w:pPr>
      <w:r w:rsidRPr="007E0CEF">
        <w:rPr>
          <w:lang w:val="es-ES_tradnl"/>
        </w:rPr>
        <w:t xml:space="preserve">Las inversiones realizadas en el marco de la Estrategia Nacional respaldan diversas iniciativas contra la trata de personas, entre las que figura una campaña nacional de concienciación pública; la mejora de los servicios de apoyo a las víctimas, los supervivientes y los jóvenes en riesgo de convertirse en víctimas de la trata; las herramientas de formación destinadas a sectores clave; y la elaboración de directrices para los proveedores de servicios comunitarios. </w:t>
      </w:r>
    </w:p>
    <w:p w14:paraId="530E1F6E" w14:textId="545438FD" w:rsidR="00FA3F43" w:rsidRPr="007E0CEF" w:rsidRDefault="00FA3F43" w:rsidP="00BB0090">
      <w:pPr>
        <w:pStyle w:val="SingleTxt"/>
        <w:numPr>
          <w:ilvl w:val="0"/>
          <w:numId w:val="91"/>
        </w:numPr>
        <w:ind w:left="1267"/>
        <w:rPr>
          <w:iCs/>
          <w:lang w:val="es-ES_tradnl"/>
        </w:rPr>
      </w:pPr>
      <w:r w:rsidRPr="007E0CEF">
        <w:rPr>
          <w:lang w:val="es-ES_tradnl"/>
        </w:rPr>
        <w:t xml:space="preserve">La Estrategia Nacional sigue tratando de mitigar los factores de vulnerabilidad de los grupos de población en riesgo, en particular las mujeres y niñas indígenas, las personas biespirituales, lesbianas, gais, bisexuales, transgénero, </w:t>
      </w:r>
      <w:r w:rsidRPr="007E0CEF">
        <w:rPr>
          <w:i/>
          <w:iCs/>
          <w:lang w:val="es-ES_tradnl"/>
        </w:rPr>
        <w:t>queer</w:t>
      </w:r>
      <w:r w:rsidRPr="007E0CEF">
        <w:rPr>
          <w:lang w:val="es-ES_tradnl"/>
        </w:rPr>
        <w:t>, en proceso de cuestionamiento, intersexuales, asexuales y otras, los migrantes y nuevos inmigrantes, los jóvenes en riesgo y otras personas social o económicamente desfavorecidas.</w:t>
      </w:r>
    </w:p>
    <w:p w14:paraId="3E1B1741" w14:textId="3057EE2F" w:rsidR="004A3E16" w:rsidRPr="007E0CEF" w:rsidRDefault="004A3E16" w:rsidP="004A3E16">
      <w:pPr>
        <w:pStyle w:val="SingleTxt"/>
        <w:spacing w:after="0" w:line="120" w:lineRule="exact"/>
        <w:rPr>
          <w:sz w:val="10"/>
          <w:lang w:val="es-ES_tradnl"/>
        </w:rPr>
      </w:pPr>
    </w:p>
    <w:p w14:paraId="3859452F" w14:textId="53BFFA2F" w:rsidR="004A3E16" w:rsidRPr="007E0CEF" w:rsidRDefault="004A3E16" w:rsidP="004A3E16">
      <w:pPr>
        <w:pStyle w:val="SingleTxt"/>
        <w:spacing w:after="0" w:line="120" w:lineRule="exact"/>
        <w:rPr>
          <w:iCs/>
          <w:sz w:val="10"/>
          <w:lang w:val="es-ES_tradnl"/>
        </w:rPr>
      </w:pPr>
    </w:p>
    <w:p w14:paraId="5FD89AF9" w14:textId="695DF75E" w:rsidR="00FA3F43" w:rsidRPr="007E0CEF" w:rsidRDefault="00FA3F43" w:rsidP="004A3E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Mujeres en la industria del sexo</w:t>
      </w:r>
    </w:p>
    <w:p w14:paraId="54E7B4BA" w14:textId="580D2CC5" w:rsidR="004A3E16" w:rsidRPr="007E0CEF" w:rsidRDefault="004A3E16" w:rsidP="004A3E16">
      <w:pPr>
        <w:pStyle w:val="SingleTxt"/>
        <w:spacing w:after="0" w:line="120" w:lineRule="exact"/>
        <w:rPr>
          <w:sz w:val="10"/>
          <w:lang w:val="es-ES_tradnl"/>
        </w:rPr>
      </w:pPr>
    </w:p>
    <w:p w14:paraId="0C7B5C4F" w14:textId="7390F4E6" w:rsidR="004A3E16" w:rsidRPr="007E0CEF" w:rsidRDefault="004A3E16" w:rsidP="004A3E16">
      <w:pPr>
        <w:pStyle w:val="SingleTxt"/>
        <w:spacing w:after="0" w:line="120" w:lineRule="exact"/>
        <w:rPr>
          <w:sz w:val="10"/>
          <w:lang w:val="es-ES_tradnl"/>
        </w:rPr>
      </w:pPr>
    </w:p>
    <w:p w14:paraId="13BE1E66" w14:textId="77777777" w:rsidR="00FA3F43" w:rsidRPr="007E0CEF" w:rsidRDefault="00FA3F43" w:rsidP="00BB0090">
      <w:pPr>
        <w:pStyle w:val="SingleTxt"/>
        <w:numPr>
          <w:ilvl w:val="0"/>
          <w:numId w:val="92"/>
        </w:numPr>
        <w:ind w:left="1267"/>
        <w:rPr>
          <w:iCs/>
          <w:lang w:val="es-ES_tradnl"/>
        </w:rPr>
      </w:pPr>
      <w:r w:rsidRPr="007E0CEF">
        <w:rPr>
          <w:lang w:val="es-ES_tradnl"/>
        </w:rPr>
        <w:t xml:space="preserve">En 2014, el antiguo proyecto de ley C-36 (la Ley de Protección de Comunidades y Personas Explotadas), tipificó como delito la compra de servicios sexuales, la obtención de beneficios de los servicios sexuales de otras personas, el ejercicio del proxenetismo para que otras personas presten servicios sexuales y la publicidad de los servicios sexuales de otras personas (artículos 286.1 a 286.4 del Código Penal). Dicha legislación protege expresamente a las personas que comercializan sus servicios sexuales de la responsabilidad penal por su participación en estos delitos de comercio sexual (artículo 286.5). El Gobierno continúa realizando un seguimiento de la repercusión del antiguo proyecto de ley C-36. </w:t>
      </w:r>
    </w:p>
    <w:p w14:paraId="7FA0DDA8" w14:textId="77777777" w:rsidR="00FA3F43" w:rsidRPr="007E0CEF" w:rsidRDefault="00FA3F43" w:rsidP="00BB0090">
      <w:pPr>
        <w:pStyle w:val="SingleTxt"/>
        <w:numPr>
          <w:ilvl w:val="0"/>
          <w:numId w:val="92"/>
        </w:numPr>
        <w:ind w:left="1267"/>
        <w:rPr>
          <w:iCs/>
          <w:lang w:val="es-ES_tradnl"/>
        </w:rPr>
      </w:pPr>
      <w:r w:rsidRPr="007E0CEF">
        <w:rPr>
          <w:lang w:val="es-ES_tradnl"/>
        </w:rPr>
        <w:lastRenderedPageBreak/>
        <w:t xml:space="preserve">En 2021, la Oficina de Estadística del Canadá publicó el artículo titulado “Crimes related to the sex trade: Before and after legislative changes in Canada”, en el que se analizan los cambios en la situación de la delincuencia vinculada a la industria del sexo registrados antes y después de la promulgación del antiguo proyecto de ley C-36. </w:t>
      </w:r>
    </w:p>
    <w:p w14:paraId="5964757C" w14:textId="77777777" w:rsidR="00FA3F43" w:rsidRPr="007E0CEF" w:rsidRDefault="00FA3F43" w:rsidP="00BB0090">
      <w:pPr>
        <w:pStyle w:val="SingleTxt"/>
        <w:numPr>
          <w:ilvl w:val="0"/>
          <w:numId w:val="93"/>
        </w:numPr>
        <w:ind w:left="1267"/>
        <w:rPr>
          <w:iCs/>
          <w:lang w:val="es-ES_tradnl"/>
        </w:rPr>
      </w:pPr>
      <w:r w:rsidRPr="007E0CEF">
        <w:rPr>
          <w:lang w:val="es-ES_tradnl"/>
        </w:rPr>
        <w:t xml:space="preserve">Numerosos gobiernos provinciales y territoriales están emprendiendo iniciativas para garantizar la seguridad de las mujeres que trabajan en la industria del sexo. Estos son algunos ejemplos:  </w:t>
      </w:r>
    </w:p>
    <w:p w14:paraId="7DFBEED5" w14:textId="5DF081E5"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En Quebec, la Estrategia Gubernamental para Prevenir y Combatir la Violencia Sexual 2016-2021 establece una serie de actuaciones y medidas para garantizar la seguridad de las mujeres que trabajan en la industria del sexo. Por ejemplo, el gobierno se ha ocupado de lo siguiente:</w:t>
      </w:r>
    </w:p>
    <w:p w14:paraId="45066AF2" w14:textId="42CB9E01" w:rsidR="00FA3F43" w:rsidRPr="007E0CEF" w:rsidRDefault="004A3E16" w:rsidP="004A3E16">
      <w:pPr>
        <w:pStyle w:val="Bullet2G"/>
        <w:tabs>
          <w:tab w:val="num" w:pos="2268"/>
        </w:tabs>
        <w:ind w:left="2268" w:hanging="170"/>
        <w:rPr>
          <w:kern w:val="14"/>
          <w:lang w:val="es-ES_tradnl"/>
        </w:rPr>
      </w:pPr>
      <w:r w:rsidRPr="007E0CEF">
        <w:rPr>
          <w:lang w:val="es-ES_tradnl"/>
        </w:rPr>
        <w:t>•</w:t>
      </w:r>
      <w:r w:rsidRPr="007E0CEF">
        <w:rPr>
          <w:lang w:val="es-ES_tradnl"/>
        </w:rPr>
        <w:tab/>
      </w:r>
      <w:r w:rsidR="00FA3F43" w:rsidRPr="007E0CEF">
        <w:rPr>
          <w:lang w:val="es-ES_tradnl"/>
        </w:rPr>
        <w:t>Fomentar</w:t>
      </w:r>
      <w:r w:rsidR="00FA3F43" w:rsidRPr="007E0CEF">
        <w:rPr>
          <w:kern w:val="14"/>
          <w:lang w:val="es-ES_tradnl"/>
        </w:rPr>
        <w:t xml:space="preserve"> la disponibilidad de especialistas en algunas ciudades de Quebec para informar y ayudar a las personas que deseen abandonar la prostitución;</w:t>
      </w:r>
    </w:p>
    <w:p w14:paraId="2241B2A3" w14:textId="5F03EFBE" w:rsidR="00FA3F43" w:rsidRPr="007E0CEF" w:rsidRDefault="004A3E16" w:rsidP="004A3E16">
      <w:pPr>
        <w:pStyle w:val="Bullet2G"/>
        <w:tabs>
          <w:tab w:val="num" w:pos="2268"/>
        </w:tabs>
        <w:ind w:left="2268"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Ayudar a la realización de un estudio para documentar las consecuencias físicas, psicológicas, </w:t>
      </w:r>
      <w:r w:rsidR="00FA3F43" w:rsidRPr="007E0CEF">
        <w:rPr>
          <w:lang w:val="es-ES_tradnl"/>
        </w:rPr>
        <w:t>relacionales</w:t>
      </w:r>
      <w:r w:rsidR="00FA3F43" w:rsidRPr="007E0CEF">
        <w:rPr>
          <w:kern w:val="14"/>
          <w:lang w:val="es-ES_tradnl"/>
        </w:rPr>
        <w:t xml:space="preserve"> y sociales de la prostitución en las niñas y mujeres de Quebec y difundir las correspondientes conclusiones; </w:t>
      </w:r>
    </w:p>
    <w:p w14:paraId="4D6EE032" w14:textId="0B478DE8"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Columbia Británica proporciona financiación anual para apoyar la labor de la furgoneta del Proyecto de Unidad Móvil de Acceso de la Sociedad del Centro de Información y Acogida en Espacio Seguro de la Mujer. La furgoneta de dicho proyecto se encarga de formar y emplear a antiguas trabajadoras de la industria del sexo para que presten servicios a las mujeres que comercializan sus servicios sexuales en la calle. La furgoneta realiza una labor única porque funciona en turno tanto de día como de noche (de las 23.00 a las 5.00 horas) en toda la ciudad de Vancouver, proporcionando un espacio seguro de desahogo que ofrece a las mujeres vulnerables a la violencia y la explotación sexual la posibilidad de realizar consultas y acceder a servicios de apoyo y suministros;</w:t>
      </w:r>
    </w:p>
    <w:p w14:paraId="319BB4DB" w14:textId="6266C270"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La provincia de Terranova y Labrador financia anualmente el Proyecto de Divulgación en Espacio Seguro para prestar servicios básicos a las mujeres dedicadas a la industria del sexo en San Juan de Terranova, la capital provincial. Las actividades principales del Proyecto abarcan los siguientes aspectos: brindar apoyo entre iguales; garantizar la seguridad y elaborar planes de salida; proporcionar apoyo en situaciones de crisis; facilitar orientación para lidiar con los servicios públicos; proporcionar ayuda para el alojamiento; remitir casos para tratar problemas de salud y adicción; ofrecer asesoramiento individual; ofrecer asesoramiento jurídico; y fomentar la adquisición de competencias para la vida;</w:t>
      </w:r>
    </w:p>
    <w:p w14:paraId="3D761578" w14:textId="412CA204"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Tracia’s Trust es el nombre de la estrategia interdepartamental de Manitoba para prevenir la explotación sexual y la trata de personas entre la población infantil, juvenil y adulta. Dicha estrategia se guía por las aportaciones de los supervivientes y los asociados comunitarios, se centra en la concienciación en materia de prevención de la explotación sexual e impulsa una serie de actuaciones para la prestación de servicios directos de apoyo a personas jóvenes y adultas. El Comité Interdepartamental de Violencia de Género del Gabinete desempeña un papel importante en el examen de la labor de la estrategia Tracia’s Trust. Este enfoque pangubernamental, junto a la colaboración constante con los asociados comunitarios, será lo que guíe las futuras medidas e inversiones en relación con la estrategia.</w:t>
      </w:r>
    </w:p>
    <w:p w14:paraId="68503FBA" w14:textId="69A9BF53" w:rsidR="004A3E16" w:rsidRPr="007E0CEF" w:rsidRDefault="004A3E16" w:rsidP="004A3E16">
      <w:pPr>
        <w:pStyle w:val="Bullet1G"/>
        <w:tabs>
          <w:tab w:val="num" w:pos="1701"/>
        </w:tabs>
        <w:spacing w:after="0" w:line="120" w:lineRule="exact"/>
        <w:ind w:left="1701" w:hanging="170"/>
        <w:rPr>
          <w:kern w:val="14"/>
          <w:sz w:val="10"/>
          <w:lang w:val="es-ES_tradnl"/>
        </w:rPr>
      </w:pPr>
    </w:p>
    <w:p w14:paraId="301DBD8D" w14:textId="7FFDA15C" w:rsidR="004A3E16" w:rsidRPr="007E0CEF" w:rsidRDefault="004A3E16" w:rsidP="004A3E16">
      <w:pPr>
        <w:pStyle w:val="Bullet1G"/>
        <w:tabs>
          <w:tab w:val="num" w:pos="1701"/>
        </w:tabs>
        <w:spacing w:after="0" w:line="120" w:lineRule="exact"/>
        <w:ind w:left="1701" w:hanging="170"/>
        <w:rPr>
          <w:kern w:val="14"/>
          <w:sz w:val="10"/>
          <w:lang w:val="es-ES_tradnl"/>
        </w:rPr>
      </w:pPr>
    </w:p>
    <w:p w14:paraId="76226340" w14:textId="4C234986" w:rsidR="00FA3F43" w:rsidRPr="007E0CEF" w:rsidRDefault="00FA3F43" w:rsidP="004A3E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Datos sobre mujeres migrantes en la industria del sexo</w:t>
      </w:r>
    </w:p>
    <w:p w14:paraId="00C8685C" w14:textId="23583A43" w:rsidR="004A3E16" w:rsidRPr="007E0CEF" w:rsidRDefault="004A3E16" w:rsidP="004A3E16">
      <w:pPr>
        <w:pStyle w:val="SingleTxt"/>
        <w:spacing w:after="0" w:line="120" w:lineRule="exact"/>
        <w:rPr>
          <w:sz w:val="10"/>
          <w:lang w:val="es-ES_tradnl"/>
        </w:rPr>
      </w:pPr>
    </w:p>
    <w:p w14:paraId="0ABFCF98" w14:textId="7B8BC27C" w:rsidR="004A3E16" w:rsidRPr="007E0CEF" w:rsidRDefault="004A3E16" w:rsidP="004A3E16">
      <w:pPr>
        <w:pStyle w:val="SingleTxt"/>
        <w:spacing w:after="0" w:line="120" w:lineRule="exact"/>
        <w:rPr>
          <w:sz w:val="10"/>
          <w:lang w:val="es-ES_tradnl"/>
        </w:rPr>
      </w:pPr>
    </w:p>
    <w:p w14:paraId="2046731B" w14:textId="7F088CA1" w:rsidR="00FA3F43" w:rsidRPr="007E0CEF" w:rsidRDefault="00FA3F43" w:rsidP="00BB0090">
      <w:pPr>
        <w:pStyle w:val="SingleTxt"/>
        <w:numPr>
          <w:ilvl w:val="0"/>
          <w:numId w:val="94"/>
        </w:numPr>
        <w:ind w:left="1267"/>
        <w:rPr>
          <w:iCs/>
          <w:lang w:val="es-ES_tradnl"/>
        </w:rPr>
      </w:pPr>
      <w:r w:rsidRPr="007E0CEF">
        <w:rPr>
          <w:lang w:val="es-ES_tradnl"/>
        </w:rPr>
        <w:t xml:space="preserve">La Oficina de Estadística del Canadá observa detenidamente la evolución de la prevalencia y las características de la trata de personas y la prostitución a partir de los </w:t>
      </w:r>
      <w:r w:rsidRPr="007E0CEF">
        <w:rPr>
          <w:lang w:val="es-ES_tradnl"/>
        </w:rPr>
        <w:lastRenderedPageBreak/>
        <w:t>informes elaborados por los servicios policiales canadienses y los tribunales penales de adultos. Sin embargo, en el Canadá no se recopilan datos sobre detenciones, internamientos en prisión o expulsiones de mujeres migrantes dedicadas a la industria del sexo.</w:t>
      </w:r>
    </w:p>
    <w:p w14:paraId="0608083C" w14:textId="7D309021" w:rsidR="004A3E16" w:rsidRPr="007E0CEF" w:rsidRDefault="004A3E16" w:rsidP="004A3E16">
      <w:pPr>
        <w:pStyle w:val="SingleTxt"/>
        <w:spacing w:after="0" w:line="120" w:lineRule="exact"/>
        <w:rPr>
          <w:sz w:val="10"/>
          <w:lang w:val="es-ES_tradnl"/>
        </w:rPr>
      </w:pPr>
    </w:p>
    <w:p w14:paraId="4B1633E1" w14:textId="2DD11C2D" w:rsidR="004A3E16" w:rsidRPr="007E0CEF" w:rsidRDefault="004A3E16" w:rsidP="004A3E16">
      <w:pPr>
        <w:pStyle w:val="SingleTxt"/>
        <w:spacing w:after="0" w:line="120" w:lineRule="exact"/>
        <w:rPr>
          <w:iCs/>
          <w:sz w:val="10"/>
          <w:lang w:val="es-ES_tradnl"/>
        </w:rPr>
      </w:pPr>
    </w:p>
    <w:p w14:paraId="49BA992A" w14:textId="77777777" w:rsidR="00FA3F43" w:rsidRPr="007E0CEF" w:rsidRDefault="00FA3F43" w:rsidP="004A3E1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Pregunta 16: Participación en la vida política y pública</w:t>
      </w:r>
    </w:p>
    <w:p w14:paraId="66C16039" w14:textId="77777777" w:rsidR="004A3E16" w:rsidRPr="007E0CEF" w:rsidRDefault="004A3E16" w:rsidP="004A3E16">
      <w:pPr>
        <w:pStyle w:val="SingleTxt"/>
        <w:spacing w:after="0" w:line="120" w:lineRule="exact"/>
        <w:rPr>
          <w:b/>
          <w:sz w:val="10"/>
          <w:lang w:val="es-ES_tradnl"/>
        </w:rPr>
      </w:pPr>
    </w:p>
    <w:p w14:paraId="31C0F188" w14:textId="77777777" w:rsidR="004A3E16" w:rsidRPr="007E0CEF" w:rsidRDefault="004A3E16" w:rsidP="004A3E16">
      <w:pPr>
        <w:pStyle w:val="SingleTxt"/>
        <w:spacing w:after="0" w:line="120" w:lineRule="exact"/>
        <w:rPr>
          <w:b/>
          <w:sz w:val="10"/>
          <w:lang w:val="es-ES_tradnl"/>
        </w:rPr>
      </w:pPr>
    </w:p>
    <w:p w14:paraId="1692CF9B" w14:textId="339D49DB" w:rsidR="00FA3F43" w:rsidRPr="007E0CEF" w:rsidRDefault="00FA3F43" w:rsidP="004A3E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Mujeres en los puestos de adopción de decisiones</w:t>
      </w:r>
    </w:p>
    <w:p w14:paraId="34272FCD" w14:textId="5E618BC2" w:rsidR="004A3E16" w:rsidRPr="007E0CEF" w:rsidRDefault="004A3E16" w:rsidP="004A3E16">
      <w:pPr>
        <w:pStyle w:val="SingleTxt"/>
        <w:spacing w:after="0" w:line="120" w:lineRule="exact"/>
        <w:rPr>
          <w:sz w:val="10"/>
          <w:lang w:val="es-ES_tradnl"/>
        </w:rPr>
      </w:pPr>
    </w:p>
    <w:p w14:paraId="5F3B8BD5" w14:textId="0A705BF9" w:rsidR="004A3E16" w:rsidRPr="007E0CEF" w:rsidRDefault="004A3E16" w:rsidP="004A3E16">
      <w:pPr>
        <w:pStyle w:val="SingleTxt"/>
        <w:spacing w:after="0" w:line="120" w:lineRule="exact"/>
        <w:rPr>
          <w:sz w:val="10"/>
          <w:lang w:val="es-ES_tradnl"/>
        </w:rPr>
      </w:pPr>
    </w:p>
    <w:p w14:paraId="19331DA4" w14:textId="77777777" w:rsidR="00FA3F43" w:rsidRPr="007E0CEF" w:rsidRDefault="00FA3F43" w:rsidP="00BB0090">
      <w:pPr>
        <w:pStyle w:val="SingleTxt"/>
        <w:numPr>
          <w:ilvl w:val="0"/>
          <w:numId w:val="95"/>
        </w:numPr>
        <w:ind w:left="1267"/>
        <w:rPr>
          <w:lang w:val="es-ES_tradnl"/>
        </w:rPr>
      </w:pPr>
      <w:r w:rsidRPr="007E0CEF">
        <w:rPr>
          <w:lang w:val="es-ES_tradnl"/>
        </w:rPr>
        <w:t xml:space="preserve">El Gobierno federal y los gobiernos provinciales y territoriales han tomado medidas para aumentar el número de mujeres en los puestos de adopción de decisiones de los organismos tanto designados como electos. He aquí algunos ejemplos: </w:t>
      </w:r>
    </w:p>
    <w:p w14:paraId="5904D61F" w14:textId="1030FA57"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En 2016, el Gobierno del Canadá estableció un proceso abierto y transparente para la selección de las personas nombradas en el cargo de Gobernador en Consejo. La población actual de Gobernadores en Consejo está compuesta aproximadamente por un 51 % de mujeres, un 6 % de miembros de pueblos indígenas, un 4 % de personas con discapacidad y un 11 % de personas que se identifican como pertenecientes a una minoría visible;</w:t>
      </w:r>
    </w:p>
    <w:p w14:paraId="29975049" w14:textId="295C5AD4" w:rsidR="00FA3F43" w:rsidRPr="007E0CEF" w:rsidRDefault="004A3E16" w:rsidP="004A3E16">
      <w:pPr>
        <w:pStyle w:val="Bullet1G"/>
        <w:tabs>
          <w:tab w:val="num" w:pos="1701"/>
        </w:tabs>
        <w:ind w:left="1701" w:hanging="170"/>
        <w:rPr>
          <w:bCs/>
          <w:iCs/>
          <w:kern w:val="14"/>
          <w:lang w:val="es-ES_tradnl"/>
        </w:rPr>
      </w:pPr>
      <w:r w:rsidRPr="007E0CEF">
        <w:rPr>
          <w:lang w:val="es-ES_tradnl"/>
        </w:rPr>
        <w:t>•</w:t>
      </w:r>
      <w:r w:rsidRPr="007E0CEF">
        <w:rPr>
          <w:lang w:val="es-ES_tradnl"/>
        </w:rPr>
        <w:tab/>
      </w:r>
      <w:r w:rsidR="00FA3F43" w:rsidRPr="007E0CEF">
        <w:rPr>
          <w:kern w:val="14"/>
          <w:lang w:val="es-ES_tradnl"/>
        </w:rPr>
        <w:t xml:space="preserve">En la isla del Príncipe Eduardo, muchas mujeres ocupan actualmente cargos superiores de los tribunales y de la Comisión de Función Pública, a saber: la Presidencia del Tribunal Supremo; tres de los cinco puestos de magistrado del Tribunal Supremo; dos de los tres puestos de juez del Tribunal Provincial; la Protonotaría del Tribunal Supremo; y la Dirección General de la Comisión de Función Pública; </w:t>
      </w:r>
    </w:p>
    <w:p w14:paraId="2CEFBF03" w14:textId="467C0E07"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2021, tras las elecciones federales, se nombró un tercer Gabinete federal con equilibrio de género. La paridad de género fue uno de los aspectos clave que se tuvieron en cuenta en el nombramiento de tales Gabinetes; </w:t>
      </w:r>
    </w:p>
    <w:p w14:paraId="047F9C4D" w14:textId="0921C1DE"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2020, el nuevo Gabinete electo de Columbia Británica mantuvo la paridad de género durante un segundo mandato; </w:t>
      </w:r>
    </w:p>
    <w:p w14:paraId="2E9BF104" w14:textId="13BBE859"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2017, el gobierno de Nuevo Brunswick modificó los criterios de subvención de los partidos políticos para animarles a incrementar el número de mujeres seleccionadas como candidatas a las elecciones provinciales. La financiación por voto que reciben los partidos en función de su último resultado electoral es ahora 1,5 veces mayor por los votos emitidos a favor de sus candidatas. En 2020, Nuevo Brunswick registró un número histórico de mujeres electas en sus elecciones provinciales. De los 49 diputados de la Asamblea Legislativa provincial, 20 eran mujeres, frente a las 8 electas en 2017;  </w:t>
      </w:r>
    </w:p>
    <w:p w14:paraId="2F7A0563" w14:textId="504B97F1"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2018, el Gobierno del Canadá proporcionó una financiación trienal a la iniciativa Daughters of the Vote (Hijas del Voto), con el fin de empoderar a la futura generación de mujeres líderes y aumentar la participación de las mujeres en la política para crear gobiernos con más equilibrio de género. Dicha financiación constituye una ayuda para que las mujeres jóvenes de todo el territorio del Canadá, con edades entre 18 y 23 años, tengan la posibilidad de ocupar un escaño en el Parlamento canadiense (uno por cada una de las 338 circunscripciones electorales federales del país). Las participantes desarrollan iniciativas piloto comunitarias en sus respectivas circunscripciones con la tutoría de antiguos parlamentarios, senadores y funcionarios electos; </w:t>
      </w:r>
    </w:p>
    <w:p w14:paraId="772D861F" w14:textId="5215F33C"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Para conmemorar el Día Internacional de la Niña de 2018 declarado por las Naciones Unidas, se invitó a 27 mujeres jóvenes de todo el territorio de la isla del Príncipe Eduardo a sentarse en los escaños de la cámara legislativa durante una jornada entera de aprendizaje y difusión de experiencias. Tales jóvenes tuvieron el privilegio de conocer y escuchar al grupo de Las Famosas 5 de la isla, 5 mujeres de diferentes orígenes y </w:t>
      </w:r>
      <w:r w:rsidR="00FA3F43" w:rsidRPr="007E0CEF">
        <w:rPr>
          <w:kern w:val="14"/>
          <w:lang w:val="es-ES_tradnl"/>
        </w:rPr>
        <w:lastRenderedPageBreak/>
        <w:t>tendencias políticas que hicieron historia al ocupar 5 de los puestos más influyentes del gobierno de la provincia en 1993;</w:t>
      </w:r>
    </w:p>
    <w:p w14:paraId="287F4754" w14:textId="0250E603"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Nueva Escocia organiza una escuela de campaña para mujeres de forma periódica previamente a las elecciones federales. En dicha escuela se ofrece un panorama general de los procesos electorales federales, provinciales y municipales, así como de las oportunidades de liderazgo político en tales esferas. Conjuntamente con esta campaña, se diseñó una serie de recursos escolares accesibles en línea, accesibilidad que se incrementó en 2020 a través de seminarios web de formación autodidacta;</w:t>
      </w:r>
    </w:p>
    <w:p w14:paraId="35E022EE" w14:textId="6248518D"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La campaña de mercadotecnia social “Ella Puede” está financiada por el gobierno de los Territorios del Noroeste y encaminada a animar a las mujeres a plantearse la posibilidad de presentar su candidatura a cargos electos en todos los ámbitos: federal, territorial, municipal y consejos escolares o autoridades educativas de distrito;</w:t>
      </w:r>
    </w:p>
    <w:p w14:paraId="72A8CDE3" w14:textId="1042C545"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La Escuela de Campaña para Mujeres de los Territorios del Noroeste es un programa “elaborado en el Norte” y diseñado para ayudar a las mujeres a superar los retos y obstáculos a los que se enfrentan cuando se plantean presentar su candidatura a un cargo electo.  </w:t>
      </w:r>
    </w:p>
    <w:p w14:paraId="6C969B17" w14:textId="68C8B5F1" w:rsidR="004A3E16" w:rsidRPr="007E0CEF" w:rsidRDefault="004A3E16" w:rsidP="004A3E16">
      <w:pPr>
        <w:pStyle w:val="Bullet1G"/>
        <w:tabs>
          <w:tab w:val="num" w:pos="1701"/>
        </w:tabs>
        <w:spacing w:after="0" w:line="120" w:lineRule="exact"/>
        <w:ind w:left="1701" w:hanging="170"/>
        <w:rPr>
          <w:kern w:val="14"/>
          <w:sz w:val="10"/>
          <w:lang w:val="es-ES_tradnl"/>
        </w:rPr>
      </w:pPr>
    </w:p>
    <w:p w14:paraId="76F8D0AA" w14:textId="4269FC19" w:rsidR="004A3E16" w:rsidRPr="007E0CEF" w:rsidRDefault="004A3E16" w:rsidP="004A3E16">
      <w:pPr>
        <w:pStyle w:val="Bullet1G"/>
        <w:tabs>
          <w:tab w:val="num" w:pos="1701"/>
        </w:tabs>
        <w:spacing w:after="0" w:line="120" w:lineRule="exact"/>
        <w:ind w:left="1701" w:hanging="170"/>
        <w:rPr>
          <w:kern w:val="14"/>
          <w:sz w:val="10"/>
          <w:lang w:val="es-ES_tradnl"/>
        </w:rPr>
      </w:pPr>
    </w:p>
    <w:p w14:paraId="50EF7DF7" w14:textId="501E36FE" w:rsidR="00FA3F43" w:rsidRPr="007E0CEF" w:rsidRDefault="00FA3F43" w:rsidP="004A3E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Mujeres en los puestos de administración y liderazgo</w:t>
      </w:r>
    </w:p>
    <w:p w14:paraId="32307BD3" w14:textId="090B276C" w:rsidR="004A3E16" w:rsidRPr="007E0CEF" w:rsidRDefault="004A3E16" w:rsidP="004A3E16">
      <w:pPr>
        <w:pStyle w:val="SingleTxt"/>
        <w:spacing w:after="0" w:line="120" w:lineRule="exact"/>
        <w:rPr>
          <w:sz w:val="10"/>
          <w:lang w:val="es-ES_tradnl"/>
        </w:rPr>
      </w:pPr>
    </w:p>
    <w:p w14:paraId="0BF3FE94" w14:textId="2A7A2AEA" w:rsidR="004A3E16" w:rsidRPr="007E0CEF" w:rsidRDefault="004A3E16" w:rsidP="004A3E16">
      <w:pPr>
        <w:pStyle w:val="SingleTxt"/>
        <w:spacing w:after="0" w:line="120" w:lineRule="exact"/>
        <w:rPr>
          <w:sz w:val="10"/>
          <w:lang w:val="es-ES_tradnl"/>
        </w:rPr>
      </w:pPr>
    </w:p>
    <w:p w14:paraId="0EC05A5B" w14:textId="77777777" w:rsidR="00FA3F43" w:rsidRPr="007E0CEF" w:rsidRDefault="00FA3F43" w:rsidP="00BB0090">
      <w:pPr>
        <w:pStyle w:val="SingleTxt"/>
        <w:numPr>
          <w:ilvl w:val="0"/>
          <w:numId w:val="96"/>
        </w:numPr>
        <w:ind w:left="1267"/>
        <w:rPr>
          <w:iCs/>
          <w:lang w:val="es-ES_tradnl"/>
        </w:rPr>
      </w:pPr>
      <w:r w:rsidRPr="007E0CEF">
        <w:rPr>
          <w:lang w:val="es-ES_tradnl"/>
        </w:rPr>
        <w:t>A continuación se enumeran diversos ejemplos de iniciativas destinadas a promover la presencia de mujeres en los puestos de administración y liderazgo del Canadá:</w:t>
      </w:r>
    </w:p>
    <w:p w14:paraId="0456FE93" w14:textId="397C99AC"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El Reto 50-30 es una iniciativa puesta en marcha en 2021 entre el Gobierno del Canadá, las empresas y las organizaciones de fomento de la diversidad para aumentar la representación y la inclusión de diversos grupos en su lugar de trabajo, destacando al mismo tiempo las ventajas de fomentar la participación de toda la población canadiense. Dicha iniciativa pide a las organizaciones que se comprometan a lograr la paridad de género (presencia de un 50 % de mujeres) y una representación significativa (un 30 %) de miembros de otros grupos infrarrepresentados (a saber: personas racializadas, pueblos indígenas, personas con discapacidad y miembros de la comunidad de personas biespirituales, lesbianas, gais, bisexuales, transgénero, </w:t>
      </w:r>
      <w:r w:rsidR="00FA3F43" w:rsidRPr="007E0CEF">
        <w:rPr>
          <w:i/>
          <w:iCs/>
          <w:kern w:val="14"/>
          <w:lang w:val="es-ES_tradnl"/>
        </w:rPr>
        <w:t>queer</w:t>
      </w:r>
      <w:r w:rsidR="00FA3F43" w:rsidRPr="007E0CEF">
        <w:rPr>
          <w:kern w:val="14"/>
          <w:lang w:val="es-ES_tradnl"/>
        </w:rPr>
        <w:t>, en proceso de cuestionamiento, intersexuales, asexuales y otras) en los consejos de administración de las empresas y en los puestos directivos superiores;</w:t>
      </w:r>
    </w:p>
    <w:p w14:paraId="1870F2A5" w14:textId="4929D4F3"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2018, el proyecto de ley C-25 recibió la correspondiente sanción real para su promulgación. Dicho proyecto de ley modificó la Ley de Sociedades Mercantiles del Canadá para exigir a las sociedades constituidas a nivel federal la divulgación de información sobre diversidad entre sus accionistas, en particular sobre la presencia de mujeres, miembros de pueblos indígenas, personas racializadas y personas con discapacidad en sus consejos de administración y equipos directivos superiores; </w:t>
      </w:r>
    </w:p>
    <w:p w14:paraId="401961FB" w14:textId="02054DCE" w:rsidR="00FA3F43" w:rsidRPr="007E0CEF" w:rsidRDefault="004A3E16" w:rsidP="004A3E16">
      <w:pPr>
        <w:pStyle w:val="Bullet1G"/>
        <w:tabs>
          <w:tab w:val="num" w:pos="1701"/>
        </w:tabs>
        <w:ind w:left="1701" w:hanging="170"/>
        <w:rPr>
          <w:iCs/>
          <w:kern w:val="14"/>
          <w:lang w:val="es-ES_tradnl"/>
        </w:rPr>
      </w:pPr>
      <w:r w:rsidRPr="007E0CEF">
        <w:rPr>
          <w:lang w:val="es-ES_tradnl"/>
        </w:rPr>
        <w:t>•</w:t>
      </w:r>
      <w:r w:rsidRPr="007E0CEF">
        <w:rPr>
          <w:lang w:val="es-ES_tradnl"/>
        </w:rPr>
        <w:tab/>
      </w:r>
      <w:r w:rsidR="00FA3F43" w:rsidRPr="007E0CEF">
        <w:rPr>
          <w:kern w:val="14"/>
          <w:lang w:val="es-ES_tradnl"/>
        </w:rPr>
        <w:t>En 2020, Nueva Escocia acogió la celebración de una conferencia sobre el liderazgo de las mujeres en el gobierno local, que constituyó un evento de aprendizaje y participación de dos días de duración organizado por Government FOCUS, una coalición de mujeres líderes de las comunidades municipales y de las Primeras Naciones con el objetivo de fomentar el liderazgo intercultural;</w:t>
      </w:r>
    </w:p>
    <w:p w14:paraId="28D0C34F" w14:textId="7E2CA982"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2018, la provincia de Terranova y Labrador celebró una serie de sesiones de colaboración específica entre el gobierno y los asociados comunitarios para determinar los retos, los obstáculos y las soluciones a la hora de promover la presencia de mujeres en los puestos de liderazgo. En total se celebraron nueve sesiones de este tipo con la participación de directivas empresariales, ejecutivas de la función pública, mujeres indígenas en puestos de liderazgo, líderes juveniles (tanto mujeres como hombres), hombres en puestos de liderazgo y representantes de la población o la comunidad; </w:t>
      </w:r>
    </w:p>
    <w:p w14:paraId="6BE18177" w14:textId="24014292" w:rsidR="00FA3F43" w:rsidRPr="007E0CEF" w:rsidRDefault="004A3E16" w:rsidP="004A3E16">
      <w:pPr>
        <w:pStyle w:val="Bullet1G"/>
        <w:tabs>
          <w:tab w:val="num" w:pos="1701"/>
        </w:tabs>
        <w:ind w:left="1701" w:hanging="170"/>
        <w:rPr>
          <w:iCs/>
          <w:kern w:val="14"/>
          <w:lang w:val="es-ES_tradnl"/>
        </w:rPr>
      </w:pPr>
      <w:r w:rsidRPr="007E0CEF">
        <w:rPr>
          <w:lang w:val="es-ES_tradnl"/>
        </w:rPr>
        <w:lastRenderedPageBreak/>
        <w:t>•</w:t>
      </w:r>
      <w:r w:rsidRPr="007E0CEF">
        <w:rPr>
          <w:lang w:val="es-ES_tradnl"/>
        </w:rPr>
        <w:tab/>
      </w:r>
      <w:r w:rsidR="00FA3F43" w:rsidRPr="007E0CEF">
        <w:rPr>
          <w:kern w:val="14"/>
          <w:lang w:val="es-ES_tradnl"/>
        </w:rPr>
        <w:t>El Programa de Fomento del Liderazgo de las Mujeres Indígenas de Ontario ofrece oportunidades de formación y tutoría a las mujeres indígenas para aumentar su participación en las funciones de liderazgo de sus comunidades. Desde la creación del Programa en 2007, más de 7.500 mujeres indígenas de 30 comunidades han participado en diversas sesiones de formación e información;</w:t>
      </w:r>
    </w:p>
    <w:p w14:paraId="4530B548" w14:textId="63B19526"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En Nuevo Brunswick se organiza una serie de talleres en torno al tema “Mujeres en Puestos de Liderazgo” para fomentar la participación de las mujeres en los organismos, juntas y comisiones gubernamentales. En tales talleres se ofrece información sobre el funcionamiento de dichos órganos y herramientas prácticas en diversos ámbitos como la presidencia de reuniones, la aplicación de técnicas eficaces de adopción de decisiones, la solución de conflictos, la gestión de riesgos y la búsqueda de las oportunidades adecuadas dentro de los órganos en cuestión.</w:t>
      </w:r>
    </w:p>
    <w:p w14:paraId="2EB3B689" w14:textId="3F6E768B" w:rsidR="004A3E16" w:rsidRPr="007E0CEF" w:rsidRDefault="004A3E16" w:rsidP="004A3E16">
      <w:pPr>
        <w:pStyle w:val="Bullet1G"/>
        <w:tabs>
          <w:tab w:val="num" w:pos="1701"/>
        </w:tabs>
        <w:spacing w:after="0" w:line="120" w:lineRule="exact"/>
        <w:ind w:left="1701" w:hanging="170"/>
        <w:rPr>
          <w:kern w:val="14"/>
          <w:sz w:val="10"/>
          <w:lang w:val="es-ES_tradnl"/>
        </w:rPr>
      </w:pPr>
    </w:p>
    <w:p w14:paraId="0BC684FF" w14:textId="59E8DD96" w:rsidR="004A3E16" w:rsidRPr="007E0CEF" w:rsidRDefault="004A3E16" w:rsidP="004A3E16">
      <w:pPr>
        <w:pStyle w:val="Bullet1G"/>
        <w:tabs>
          <w:tab w:val="num" w:pos="1701"/>
        </w:tabs>
        <w:spacing w:after="0" w:line="120" w:lineRule="exact"/>
        <w:ind w:left="1701" w:hanging="170"/>
        <w:rPr>
          <w:iCs/>
          <w:kern w:val="14"/>
          <w:sz w:val="10"/>
          <w:lang w:val="es-ES_tradnl"/>
        </w:rPr>
      </w:pPr>
    </w:p>
    <w:p w14:paraId="78A75927" w14:textId="1E5C7569" w:rsidR="00FA3F43" w:rsidRPr="007E0CEF" w:rsidRDefault="00FA3F43" w:rsidP="004A3E1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Preguntas 17 y 18: Educación</w:t>
      </w:r>
    </w:p>
    <w:p w14:paraId="5C1108BF" w14:textId="14896BCB" w:rsidR="004A3E16" w:rsidRPr="007E0CEF" w:rsidRDefault="004A3E16" w:rsidP="004A3E16">
      <w:pPr>
        <w:pStyle w:val="SingleTxt"/>
        <w:spacing w:after="0" w:line="120" w:lineRule="exact"/>
        <w:rPr>
          <w:sz w:val="10"/>
          <w:lang w:val="es-ES_tradnl"/>
        </w:rPr>
      </w:pPr>
    </w:p>
    <w:p w14:paraId="76F90D81" w14:textId="4B8807FF" w:rsidR="004A3E16" w:rsidRPr="007E0CEF" w:rsidRDefault="004A3E16" w:rsidP="004A3E16">
      <w:pPr>
        <w:pStyle w:val="SingleTxt"/>
        <w:spacing w:after="0" w:line="120" w:lineRule="exact"/>
        <w:rPr>
          <w:sz w:val="10"/>
          <w:lang w:val="es-ES_tradnl"/>
        </w:rPr>
      </w:pPr>
    </w:p>
    <w:p w14:paraId="471430BE" w14:textId="057763D3" w:rsidR="00FA3F43" w:rsidRPr="007E0CEF" w:rsidRDefault="00FA3F43" w:rsidP="004A3E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 xml:space="preserve">Acceso de las mujeres y niñas con discapacidad a la educación </w:t>
      </w:r>
    </w:p>
    <w:p w14:paraId="503D3D4A" w14:textId="58651D18" w:rsidR="004A3E16" w:rsidRPr="007E0CEF" w:rsidRDefault="004A3E16" w:rsidP="004A3E16">
      <w:pPr>
        <w:pStyle w:val="SingleTxt"/>
        <w:spacing w:after="0" w:line="120" w:lineRule="exact"/>
        <w:rPr>
          <w:sz w:val="10"/>
          <w:lang w:val="es-ES_tradnl"/>
        </w:rPr>
      </w:pPr>
    </w:p>
    <w:p w14:paraId="3A19FA0F" w14:textId="119AF136" w:rsidR="004A3E16" w:rsidRPr="007E0CEF" w:rsidRDefault="004A3E16" w:rsidP="004A3E16">
      <w:pPr>
        <w:pStyle w:val="SingleTxt"/>
        <w:spacing w:after="0" w:line="120" w:lineRule="exact"/>
        <w:rPr>
          <w:sz w:val="10"/>
          <w:lang w:val="es-ES_tradnl"/>
        </w:rPr>
      </w:pPr>
    </w:p>
    <w:p w14:paraId="6C9EC15D" w14:textId="77777777" w:rsidR="00FA3F43" w:rsidRPr="007E0CEF" w:rsidRDefault="00FA3F43" w:rsidP="00BB0090">
      <w:pPr>
        <w:pStyle w:val="SingleTxt"/>
        <w:numPr>
          <w:ilvl w:val="0"/>
          <w:numId w:val="97"/>
        </w:numPr>
        <w:ind w:left="1267"/>
        <w:rPr>
          <w:lang w:val="es-ES_tradnl"/>
        </w:rPr>
      </w:pPr>
      <w:r w:rsidRPr="007E0CEF">
        <w:rPr>
          <w:lang w:val="es-ES_tradnl"/>
        </w:rPr>
        <w:t xml:space="preserve">Los gobiernos provinciales y territoriales han adoptado diversas medidas para garantizar que todos los estudiantes, incluidos aquellos con discapacidad, gocen de igualdad de acceso a la educación. He aquí algunos ejemplos: </w:t>
      </w:r>
    </w:p>
    <w:p w14:paraId="216CEC8C" w14:textId="61C8E0E6"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La Enmienda por la que se modifica la Ley de Enmienda relativa a los Centros Educativos Públicos (Programación Educativa Adecuada) y la correspondiente normativa de Manitoba respaldan la Filosofía de Inclusión de esta provincia para ayudar a todos los estudiantes a participar en la vida académica y social de los centros educativos; </w:t>
      </w:r>
    </w:p>
    <w:p w14:paraId="6ABB6FBA" w14:textId="77752523"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La Ley de Educación de Ontario exige a todos los consejos escolares que garanticen al alumnado un entorno de aprendizaje seguro e inclusivo en el que todos los estudiantes se sientan aceptados. La Estrategia de Equidad y Educación Inclusiva de dicha provincia tiene como objetivo promover la educación inclusiva, así como comprender, detectar y eliminar los sesgos, los obstáculos y las dinámicas de poder que limitan las opciones de los estudiantes para aprender, crecer y contribuir plenamente a la sociedad;</w:t>
      </w:r>
    </w:p>
    <w:p w14:paraId="33BA2D9B" w14:textId="2A60AFCC"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En la Ley de Educación de los Territorios del Noroeste se contempla el derecho de todo estudiante a acceder al programa educativo en un entorno docente reglado dentro de su comunidad de origen. La Directriz Ministerial sobre Escolarización Inclusiva (2016) de dichos Territorios garantiza el acceso de todos los estudiantes a una programación educativa de calidad dentro de un entorno de aprendizaje común en su comunidad de residencia;</w:t>
      </w:r>
    </w:p>
    <w:p w14:paraId="08745087" w14:textId="5F13C5D4" w:rsidR="00FA3F43" w:rsidRPr="007E0CEF" w:rsidRDefault="004A3E16" w:rsidP="004A3E16">
      <w:pPr>
        <w:pStyle w:val="Bullet1G"/>
        <w:tabs>
          <w:tab w:val="num" w:pos="1701"/>
        </w:tabs>
        <w:ind w:left="1701" w:hanging="170"/>
        <w:rPr>
          <w:kern w:val="14"/>
          <w:lang w:val="es-ES_tradnl"/>
        </w:rPr>
      </w:pPr>
      <w:bookmarkStart w:id="25" w:name="lt_pId031"/>
      <w:r w:rsidRPr="007E0CEF">
        <w:rPr>
          <w:lang w:val="es-ES_tradnl"/>
        </w:rPr>
        <w:t>•</w:t>
      </w:r>
      <w:r w:rsidRPr="007E0CEF">
        <w:rPr>
          <w:lang w:val="es-ES_tradnl"/>
        </w:rPr>
        <w:tab/>
      </w:r>
      <w:r w:rsidR="00FA3F43" w:rsidRPr="007E0CEF">
        <w:rPr>
          <w:kern w:val="14"/>
          <w:lang w:val="es-ES_tradnl"/>
        </w:rPr>
        <w:t xml:space="preserve">En los centros de enseñanza preescolar, primaria y secundaria de Quebec se han puesto en marcha numerosas medidas de ayuda para contribuir a la integración y el éxito escolar de los estudiantes con discapacidad, independientemente de su género;   </w:t>
      </w:r>
      <w:bookmarkEnd w:id="25"/>
    </w:p>
    <w:p w14:paraId="71420DE0" w14:textId="7C174AB7"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El gobierno de Alberta proporciona recursos al alumnado del sistema educativo con ceguera o problemas de visión desde la enseñanza preescolar hasta el 12º grado. Dicho gobierno gestiona asimismo la transcripción en braille de los libros de texto básicos oficiales para los estudiantes de las cuatro materias básicas de lengua y literatura, matemáticas, ciencias sociales y ciencias naturales.</w:t>
      </w:r>
    </w:p>
    <w:p w14:paraId="249A3BCE" w14:textId="580DF3CF" w:rsidR="004A3E16" w:rsidRPr="007E0CEF" w:rsidRDefault="004A3E16" w:rsidP="004A3E16">
      <w:pPr>
        <w:pStyle w:val="Bullet1G"/>
        <w:tabs>
          <w:tab w:val="num" w:pos="1701"/>
        </w:tabs>
        <w:spacing w:after="0" w:line="120" w:lineRule="exact"/>
        <w:ind w:left="1701" w:hanging="170"/>
        <w:rPr>
          <w:kern w:val="14"/>
          <w:sz w:val="10"/>
          <w:lang w:val="es-ES_tradnl"/>
        </w:rPr>
      </w:pPr>
    </w:p>
    <w:p w14:paraId="2A4F43C9" w14:textId="3DE84BF6" w:rsidR="004A3E16" w:rsidRPr="007E0CEF" w:rsidRDefault="004A3E16" w:rsidP="004A3E16">
      <w:pPr>
        <w:pStyle w:val="Bullet1G"/>
        <w:tabs>
          <w:tab w:val="num" w:pos="1701"/>
        </w:tabs>
        <w:spacing w:after="0" w:line="120" w:lineRule="exact"/>
        <w:ind w:left="1701" w:hanging="170"/>
        <w:rPr>
          <w:kern w:val="14"/>
          <w:sz w:val="10"/>
          <w:lang w:val="es-ES_tradnl"/>
        </w:rPr>
      </w:pPr>
    </w:p>
    <w:p w14:paraId="0E1B4B7B" w14:textId="6F072A4B" w:rsidR="00FA3F43" w:rsidRPr="007E0CEF" w:rsidRDefault="00FA3F43" w:rsidP="004A3E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lastRenderedPageBreak/>
        <w:tab/>
      </w:r>
      <w:r w:rsidRPr="007E0CEF">
        <w:rPr>
          <w:lang w:val="es-ES_tradnl"/>
        </w:rPr>
        <w:tab/>
        <w:t>Acceso de las mujeres y niñas indígenas a la educación postsecundaria</w:t>
      </w:r>
    </w:p>
    <w:p w14:paraId="00EE605B" w14:textId="53F3461E" w:rsidR="004A3E16" w:rsidRPr="007E0CEF" w:rsidRDefault="004A3E16" w:rsidP="004A3E16">
      <w:pPr>
        <w:pStyle w:val="SingleTxt"/>
        <w:keepNext/>
        <w:keepLines/>
        <w:spacing w:after="0" w:line="120" w:lineRule="exact"/>
        <w:rPr>
          <w:sz w:val="10"/>
          <w:lang w:val="es-ES_tradnl"/>
        </w:rPr>
      </w:pPr>
    </w:p>
    <w:p w14:paraId="36D5DC8B" w14:textId="457A982A" w:rsidR="004A3E16" w:rsidRPr="007E0CEF" w:rsidRDefault="004A3E16" w:rsidP="004A3E16">
      <w:pPr>
        <w:pStyle w:val="SingleTxt"/>
        <w:keepNext/>
        <w:keepLines/>
        <w:spacing w:after="0" w:line="120" w:lineRule="exact"/>
        <w:rPr>
          <w:sz w:val="10"/>
          <w:lang w:val="es-ES_tradnl"/>
        </w:rPr>
      </w:pPr>
    </w:p>
    <w:p w14:paraId="482B5FF6" w14:textId="77777777" w:rsidR="00FA3F43" w:rsidRPr="007E0CEF" w:rsidRDefault="00FA3F43" w:rsidP="00BB0090">
      <w:pPr>
        <w:pStyle w:val="SingleTxt"/>
        <w:keepNext/>
        <w:keepLines/>
        <w:numPr>
          <w:ilvl w:val="0"/>
          <w:numId w:val="98"/>
        </w:numPr>
        <w:ind w:left="1267"/>
        <w:rPr>
          <w:iCs/>
          <w:lang w:val="es-ES_tradnl"/>
        </w:rPr>
      </w:pPr>
      <w:r w:rsidRPr="007E0CEF">
        <w:rPr>
          <w:lang w:val="es-ES_tradnl"/>
        </w:rPr>
        <w:t xml:space="preserve">El Gobierno federal y los gobiernos provinciales y territoriales se esfuerzan por garantizar el acceso de los pueblos indígenas, en particular las mujeres y niñas, a la educación postsecundaria. He aquí algunos ejemplos: </w:t>
      </w:r>
    </w:p>
    <w:p w14:paraId="430D35A3" w14:textId="166112BA"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2019, el Gobierno del Canadá se comprometió a colaborar con la Asamblea de las Primeras Naciones, la ONG Inuit Tapiriit Kanatami y el Consejo Nacional Métis para diseñar estrategias de promoción de la educación postsecundaria basadas en características diferenciales. Tales estrategias incorporarán el apoyo a los estudiantes, la comprensión de las necesidades locales y una serie de programas y servicios comunitarios para ofrecer una ayuda integral a los estudiantes indígenas con miras a la obtención de un título de educación postsecundaria. En 2020 tuvo lugar la entrada en vigor de la nueva Estrategia de Educación Postsecundaria Inuit, así como de la nueva Estrategia de Educación Postsecundaria de la Nación Métis; </w:t>
      </w:r>
    </w:p>
    <w:p w14:paraId="6CCF7CD0" w14:textId="14E72A6C"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El Premio a la Carrera Indígena de Alberta anima a los pueblos indígenas residentes en dicha provincia a cursar y completar estudios de educación postsecundaria en programas conducentes a la obtención de certificados, diplomas, grados aplicados y grados universitarios;</w:t>
      </w:r>
    </w:p>
    <w:p w14:paraId="6EF42627" w14:textId="42195EC8"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El Programa de Mentores Indígenas para el Fomento de la Graduación de Estudiantes de Ontario proporciona financiación a determinados consejos escolares de distrito para contratar una serie de mentores indígenas que ayuden a los estudiantes indígenas a obtener el Diploma de Enseñanza Secundaria de Ontario y acceder satisfactoriamente a la educación postsecundaria, a otro tipo de formación o a las oportunidades del mercado laboral.</w:t>
      </w:r>
    </w:p>
    <w:p w14:paraId="62560754" w14:textId="19641834" w:rsidR="004A3E16" w:rsidRPr="007E0CEF" w:rsidRDefault="004A3E16" w:rsidP="004A3E16">
      <w:pPr>
        <w:pStyle w:val="Bullet1G"/>
        <w:tabs>
          <w:tab w:val="num" w:pos="1701"/>
        </w:tabs>
        <w:spacing w:after="0" w:line="120" w:lineRule="exact"/>
        <w:ind w:left="1701" w:hanging="170"/>
        <w:rPr>
          <w:kern w:val="14"/>
          <w:sz w:val="10"/>
          <w:lang w:val="es-ES_tradnl"/>
        </w:rPr>
      </w:pPr>
    </w:p>
    <w:p w14:paraId="300151F1" w14:textId="3DB1563B" w:rsidR="004A3E16" w:rsidRPr="007E0CEF" w:rsidRDefault="004A3E16" w:rsidP="004A3E16">
      <w:pPr>
        <w:pStyle w:val="Bullet1G"/>
        <w:tabs>
          <w:tab w:val="num" w:pos="1701"/>
        </w:tabs>
        <w:spacing w:after="0" w:line="120" w:lineRule="exact"/>
        <w:ind w:left="1701" w:hanging="170"/>
        <w:rPr>
          <w:kern w:val="14"/>
          <w:sz w:val="10"/>
          <w:lang w:val="es-ES_tradnl"/>
        </w:rPr>
      </w:pPr>
    </w:p>
    <w:p w14:paraId="2768AA45" w14:textId="2DDA060E" w:rsidR="00FA3F43" w:rsidRPr="007E0CEF" w:rsidRDefault="00FA3F43" w:rsidP="004A3E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Garantía de la matriculación en la enseñanza y prevención de la deserción escolar</w:t>
      </w:r>
    </w:p>
    <w:p w14:paraId="20271B3C" w14:textId="174C7F9A" w:rsidR="004A3E16" w:rsidRPr="007E0CEF" w:rsidRDefault="004A3E16" w:rsidP="004A3E16">
      <w:pPr>
        <w:pStyle w:val="SingleTxt"/>
        <w:spacing w:after="0" w:line="120" w:lineRule="exact"/>
        <w:rPr>
          <w:sz w:val="10"/>
          <w:lang w:val="es-ES_tradnl"/>
        </w:rPr>
      </w:pPr>
    </w:p>
    <w:p w14:paraId="6CC7F043" w14:textId="4D5938D1" w:rsidR="004A3E16" w:rsidRPr="007E0CEF" w:rsidRDefault="004A3E16" w:rsidP="004A3E16">
      <w:pPr>
        <w:pStyle w:val="SingleTxt"/>
        <w:spacing w:after="0" w:line="120" w:lineRule="exact"/>
        <w:rPr>
          <w:sz w:val="10"/>
          <w:lang w:val="es-ES_tradnl"/>
        </w:rPr>
      </w:pPr>
    </w:p>
    <w:p w14:paraId="7558D588" w14:textId="77777777" w:rsidR="00FA3F43" w:rsidRPr="007E0CEF" w:rsidRDefault="00FA3F43" w:rsidP="00BB0090">
      <w:pPr>
        <w:pStyle w:val="SingleTxt"/>
        <w:numPr>
          <w:ilvl w:val="0"/>
          <w:numId w:val="99"/>
        </w:numPr>
        <w:ind w:left="1267"/>
        <w:rPr>
          <w:lang w:val="es-ES_tradnl"/>
        </w:rPr>
      </w:pPr>
      <w:r w:rsidRPr="007E0CEF">
        <w:rPr>
          <w:lang w:val="es-ES_tradnl"/>
        </w:rPr>
        <w:t xml:space="preserve">Los gobiernos provinciales y territoriales han adoptado medidas para apoyar a los estudiantes y animarlos a proseguir sus estudios. He aquí algunos ejemplos: </w:t>
      </w:r>
    </w:p>
    <w:p w14:paraId="6C04B2A5" w14:textId="279A6A7A"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Manitoba ha creado un Equipo de Tareas sobre Asistencia encargado de formular recomendaciones para reducir el absentismo crónico de los estudiantes, entre cuyos afectados se incluye un alto porcentaje de estudiantes indígenas y recién llegados;</w:t>
      </w:r>
    </w:p>
    <w:p w14:paraId="0B46680B" w14:textId="3601BAC0"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En la Red de Centros Educativos Públicos de la isla del Príncipe Eduardo se aplica una política específica de asistencia que abarca múltiples niveles de apoyo y actuación destinados a los estudiantes con dificultades para asistir a la escuela. Algunos centros educativos cuentan con trabajadores juveniles aborígenes que desempeñan una labor específica con los estudiantes indígenas para ayudarlos a asistir a sus centros educativos, así como con su rendimiento académico y su desarrollo social o emocional. Este servicio fomenta un incremento de la asistencia de los estudiantes;</w:t>
      </w:r>
    </w:p>
    <w:p w14:paraId="27122A77" w14:textId="253CC9DE"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2018 se creó en Terranova y Labrador un Comité Consultivo para la Prevención del Abandono Escolar Temprano, cuyo cometido consiste en diseñar estrategias para reducir el número de estudiantes que abandonan la escuela antes de graduarse, proporcionar apoyo a los estudiantes que regresan a la escuela para concluir sus estudios y ofrecer alternativas a los estudiantes que no regresan a la escuela antes de graduarse para completar su educación. </w:t>
      </w:r>
    </w:p>
    <w:p w14:paraId="281904EB" w14:textId="62DE78D8" w:rsidR="004A3E16" w:rsidRPr="007E0CEF" w:rsidRDefault="004A3E16" w:rsidP="004A3E16">
      <w:pPr>
        <w:pStyle w:val="Bullet1G"/>
        <w:tabs>
          <w:tab w:val="num" w:pos="1701"/>
        </w:tabs>
        <w:spacing w:after="0" w:line="120" w:lineRule="exact"/>
        <w:ind w:left="1701" w:hanging="170"/>
        <w:rPr>
          <w:kern w:val="14"/>
          <w:sz w:val="10"/>
          <w:lang w:val="es-ES_tradnl"/>
        </w:rPr>
      </w:pPr>
    </w:p>
    <w:p w14:paraId="0BCEEFA2" w14:textId="1CCBC251" w:rsidR="004A3E16" w:rsidRPr="007E0CEF" w:rsidRDefault="004A3E16" w:rsidP="004A3E16">
      <w:pPr>
        <w:pStyle w:val="Bullet1G"/>
        <w:tabs>
          <w:tab w:val="num" w:pos="1701"/>
        </w:tabs>
        <w:spacing w:after="0" w:line="120" w:lineRule="exact"/>
        <w:ind w:left="1701" w:hanging="170"/>
        <w:rPr>
          <w:kern w:val="14"/>
          <w:sz w:val="10"/>
          <w:lang w:val="es-ES_tradnl"/>
        </w:rPr>
      </w:pPr>
    </w:p>
    <w:p w14:paraId="7EF3E11B" w14:textId="6BACF9E6" w:rsidR="00FA3F43" w:rsidRPr="007E0CEF" w:rsidRDefault="00FA3F43" w:rsidP="004A3E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lastRenderedPageBreak/>
        <w:tab/>
      </w:r>
      <w:r w:rsidRPr="007E0CEF">
        <w:rPr>
          <w:lang w:val="es-ES_tradnl"/>
        </w:rPr>
        <w:tab/>
        <w:t>Enseñanza en lenguas indígenas</w:t>
      </w:r>
    </w:p>
    <w:p w14:paraId="65FBD06F" w14:textId="0878111D" w:rsidR="004A3E16" w:rsidRPr="007E0CEF" w:rsidRDefault="004A3E16" w:rsidP="004A3E16">
      <w:pPr>
        <w:pStyle w:val="SingleTxt"/>
        <w:keepNext/>
        <w:keepLines/>
        <w:spacing w:after="0" w:line="120" w:lineRule="exact"/>
        <w:rPr>
          <w:sz w:val="10"/>
          <w:lang w:val="es-ES_tradnl"/>
        </w:rPr>
      </w:pPr>
    </w:p>
    <w:p w14:paraId="01353066" w14:textId="708E68A2" w:rsidR="004A3E16" w:rsidRPr="007E0CEF" w:rsidRDefault="004A3E16" w:rsidP="004A3E16">
      <w:pPr>
        <w:pStyle w:val="SingleTxt"/>
        <w:keepNext/>
        <w:keepLines/>
        <w:spacing w:after="0" w:line="120" w:lineRule="exact"/>
        <w:rPr>
          <w:sz w:val="10"/>
          <w:lang w:val="es-ES_tradnl"/>
        </w:rPr>
      </w:pPr>
    </w:p>
    <w:p w14:paraId="6D0FCCC1" w14:textId="77777777" w:rsidR="00FA3F43" w:rsidRPr="007E0CEF" w:rsidRDefault="00FA3F43" w:rsidP="00BB0090">
      <w:pPr>
        <w:pStyle w:val="SingleTxt"/>
        <w:keepNext/>
        <w:keepLines/>
        <w:numPr>
          <w:ilvl w:val="0"/>
          <w:numId w:val="100"/>
        </w:numPr>
        <w:ind w:left="1267"/>
        <w:rPr>
          <w:lang w:val="es-ES_tradnl"/>
        </w:rPr>
      </w:pPr>
      <w:r w:rsidRPr="007E0CEF">
        <w:rPr>
          <w:lang w:val="es-ES_tradnl"/>
        </w:rPr>
        <w:t>Algunos gobiernos del Canadá están adoptando medidas para impartir enseñanza en lenguas indígenas en los centros educativos. He aquí algunos ejemplos:</w:t>
      </w:r>
    </w:p>
    <w:p w14:paraId="122F0360" w14:textId="4FBF5511"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Columbia Británica está colaborando con el Comité Directivo de Educación de las Primeras Naciones para establecer una estrategia de reconciliación y revitalización lingüística que promueva con más eficacia las lenguas de las Primeras Naciones en los centros educativos. Dicha estrategia tendrá en cuenta la política, el plan de estudios, los recursos de apoyo, la certificación de los docentes y la financiación para diseñar un enfoque integral en consonancia con lo dispuesto en el Acuerdo Tripartito sobre Educación y la correspondiente Declaración;</w:t>
      </w:r>
    </w:p>
    <w:p w14:paraId="30A125B6" w14:textId="775DCECA"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El Marco de Titulación Acreditativa del Dominio de Lenguas Indígenas de Columbia Británica establece una homologación entre los certificados y diplomas comunitarios y los grados universitarios relativos a lenguas indígenas, ejemplo de lo cual es el Certificado Universitario de Dominio de la Lengua Nsyilxcn;</w:t>
      </w:r>
    </w:p>
    <w:p w14:paraId="3130748F" w14:textId="03C8D0EF" w:rsidR="00FA3F43" w:rsidRPr="007E0CEF" w:rsidRDefault="004A3E16" w:rsidP="004A3E16">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La Política de Educación y Lenguas Indígenas desde la Enseñanza Preescolar al 12º grado de los Territorios del Noroeste garantiza la buena acogida de los estudiantes en entornos de aprendizaje que se centran en el respeto y promueven las cosmovisiones, culturas y lenguas indígenas de la comunidad de ubicación del centro educativo. Dicha Política hace hincapié en la necesaria colaboración entre los órganos educativos y las comunidades para diseñar e impartir una programación eficaz en materia de lenguas indígenas y educación. En la Política en cuestión se contempla la expectativa de que los centros educativos que impartan enseñanza en lengua indígena (42 de los 49 centros) destinen obligatoriamente una parte de las horas lectivas del programa de educación ordinario a dicha enseñanza. </w:t>
      </w:r>
    </w:p>
    <w:p w14:paraId="4A04168C" w14:textId="32862F30" w:rsidR="004A3E16" w:rsidRPr="007E0CEF" w:rsidRDefault="004A3E16" w:rsidP="004A3E16">
      <w:pPr>
        <w:pStyle w:val="Bullet1G"/>
        <w:tabs>
          <w:tab w:val="num" w:pos="1701"/>
        </w:tabs>
        <w:spacing w:after="0" w:line="120" w:lineRule="exact"/>
        <w:ind w:left="1701" w:hanging="170"/>
        <w:rPr>
          <w:kern w:val="14"/>
          <w:sz w:val="10"/>
          <w:lang w:val="es-ES_tradnl"/>
        </w:rPr>
      </w:pPr>
    </w:p>
    <w:p w14:paraId="60CD19A1" w14:textId="375D237C" w:rsidR="004A3E16" w:rsidRPr="007E0CEF" w:rsidRDefault="004A3E16" w:rsidP="004A3E16">
      <w:pPr>
        <w:pStyle w:val="Bullet1G"/>
        <w:tabs>
          <w:tab w:val="num" w:pos="1701"/>
        </w:tabs>
        <w:spacing w:after="0" w:line="120" w:lineRule="exact"/>
        <w:ind w:left="1701" w:hanging="170"/>
        <w:rPr>
          <w:kern w:val="14"/>
          <w:sz w:val="10"/>
          <w:lang w:val="es-ES_tradnl"/>
        </w:rPr>
      </w:pPr>
    </w:p>
    <w:p w14:paraId="2AF469B1" w14:textId="75DFDE6A" w:rsidR="00FA3F43" w:rsidRPr="007E0CEF" w:rsidRDefault="00FA3F43" w:rsidP="004A3E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Educación en materia de salud y derechos sexuales y reproductivos</w:t>
      </w:r>
    </w:p>
    <w:p w14:paraId="28646EC9" w14:textId="2FFAEC9D" w:rsidR="004A3E16" w:rsidRPr="007E0CEF" w:rsidRDefault="004A3E16" w:rsidP="004A3E16">
      <w:pPr>
        <w:pStyle w:val="SingleTxt"/>
        <w:spacing w:after="0" w:line="120" w:lineRule="exact"/>
        <w:rPr>
          <w:sz w:val="10"/>
          <w:lang w:val="es-ES_tradnl"/>
        </w:rPr>
      </w:pPr>
    </w:p>
    <w:p w14:paraId="48540379" w14:textId="5A161AE3" w:rsidR="004A3E16" w:rsidRPr="007E0CEF" w:rsidRDefault="004A3E16" w:rsidP="004A3E16">
      <w:pPr>
        <w:pStyle w:val="SingleTxt"/>
        <w:spacing w:after="0" w:line="120" w:lineRule="exact"/>
        <w:rPr>
          <w:sz w:val="10"/>
          <w:lang w:val="es-ES_tradnl"/>
        </w:rPr>
      </w:pPr>
    </w:p>
    <w:p w14:paraId="7D8779AC" w14:textId="6B75D94C" w:rsidR="00FA3F43" w:rsidRPr="007E0CEF" w:rsidRDefault="00FA3F43" w:rsidP="00BB0090">
      <w:pPr>
        <w:pStyle w:val="SingleTxt"/>
        <w:numPr>
          <w:ilvl w:val="0"/>
          <w:numId w:val="101"/>
        </w:numPr>
        <w:ind w:left="1267"/>
        <w:rPr>
          <w:lang w:val="es-ES_tradnl"/>
        </w:rPr>
      </w:pPr>
      <w:r w:rsidRPr="007E0CEF">
        <w:rPr>
          <w:lang w:val="es-ES_tradnl"/>
        </w:rPr>
        <w:t xml:space="preserve">En el Canadá, la educación es competencia de los gobiernos provinciales y territoriales, sin que el Gobierno canadiense tenga ninguna influencia directa en la adopción de decisiones relativas a los planes de estudios, tampoco los de educación en materia de salud sexual.  </w:t>
      </w:r>
    </w:p>
    <w:p w14:paraId="231E240F" w14:textId="565A1935" w:rsidR="004A3E16" w:rsidRPr="007E0CEF" w:rsidRDefault="004A3E16" w:rsidP="004A3E16">
      <w:pPr>
        <w:pStyle w:val="SingleTxt"/>
        <w:spacing w:after="0" w:line="120" w:lineRule="exact"/>
        <w:rPr>
          <w:sz w:val="10"/>
          <w:lang w:val="es-ES_tradnl"/>
        </w:rPr>
      </w:pPr>
    </w:p>
    <w:p w14:paraId="5985E436" w14:textId="0090E348" w:rsidR="004A3E16" w:rsidRPr="007E0CEF" w:rsidRDefault="004A3E16" w:rsidP="004A3E16">
      <w:pPr>
        <w:pStyle w:val="SingleTxt"/>
        <w:spacing w:after="0" w:line="120" w:lineRule="exact"/>
        <w:rPr>
          <w:sz w:val="10"/>
          <w:lang w:val="es-ES_tradnl"/>
        </w:rPr>
      </w:pPr>
    </w:p>
    <w:p w14:paraId="5153BB89" w14:textId="360A9739" w:rsidR="00FA3F43" w:rsidRPr="007E0CEF" w:rsidRDefault="00FA3F43" w:rsidP="004A3E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Directrices del Canadá sobre Educación en materia de Salud Sexual</w:t>
      </w:r>
    </w:p>
    <w:p w14:paraId="4F583B0D" w14:textId="06DE374B" w:rsidR="004A3E16" w:rsidRPr="007E0CEF" w:rsidRDefault="004A3E16" w:rsidP="004A3E16">
      <w:pPr>
        <w:pStyle w:val="SingleTxt"/>
        <w:spacing w:after="0" w:line="120" w:lineRule="exact"/>
        <w:rPr>
          <w:sz w:val="10"/>
          <w:lang w:val="es-ES_tradnl"/>
        </w:rPr>
      </w:pPr>
    </w:p>
    <w:p w14:paraId="15FBFC5C" w14:textId="7F0D0D2A" w:rsidR="004A3E16" w:rsidRPr="007E0CEF" w:rsidRDefault="004A3E16" w:rsidP="004A3E16">
      <w:pPr>
        <w:pStyle w:val="SingleTxt"/>
        <w:spacing w:after="0" w:line="120" w:lineRule="exact"/>
        <w:rPr>
          <w:sz w:val="10"/>
          <w:lang w:val="es-ES_tradnl"/>
        </w:rPr>
      </w:pPr>
    </w:p>
    <w:p w14:paraId="144E60F2" w14:textId="2FF637BB" w:rsidR="00FA3F43" w:rsidRPr="007E0CEF" w:rsidRDefault="00FA3F43" w:rsidP="00BB0090">
      <w:pPr>
        <w:pStyle w:val="SingleTxt"/>
        <w:numPr>
          <w:ilvl w:val="0"/>
          <w:numId w:val="102"/>
        </w:numPr>
        <w:ind w:left="1267"/>
        <w:rPr>
          <w:lang w:val="es-ES_tradnl"/>
        </w:rPr>
      </w:pPr>
      <w:r w:rsidRPr="007E0CEF">
        <w:rPr>
          <w:lang w:val="es-ES_tradnl"/>
        </w:rPr>
        <w:t xml:space="preserve">El Gobierno canadiense, a través del Fondo de Acción Comunitaria contra el VIH y la Hepatitis C de la Agencia de Salud Pública del Canadá, ayudó al Consejo de Información y Educación Sexual del Canadá en la revisión y actualización de las Directrices del Canadá sobre Educación en materia de Salud Sexual, que se publicaron en 2019. Las Directrices pueden consultarse tanto en formato electrónico (PDF) como impreso a través del sitio web del mencionado Consejo (www.sieccan.org), así como del centro de pedidos en línea de CATIE, la fuente canadiense de información accesible y con base empírica sobre prevención, pruebas, atención, tratamiento y apoyo en relación con el VIH y la hepatitis C (www.catie.ca). </w:t>
      </w:r>
    </w:p>
    <w:p w14:paraId="13C4C4E6" w14:textId="7EC2555C" w:rsidR="004A3E16" w:rsidRPr="007E0CEF" w:rsidRDefault="004A3E16" w:rsidP="004A3E16">
      <w:pPr>
        <w:pStyle w:val="SingleTxt"/>
        <w:spacing w:after="0" w:line="120" w:lineRule="exact"/>
        <w:rPr>
          <w:sz w:val="10"/>
          <w:lang w:val="es-ES_tradnl"/>
        </w:rPr>
      </w:pPr>
    </w:p>
    <w:p w14:paraId="0051B844" w14:textId="5A16B655" w:rsidR="004A3E16" w:rsidRPr="007E0CEF" w:rsidRDefault="004A3E16" w:rsidP="004A3E16">
      <w:pPr>
        <w:pStyle w:val="SingleTxt"/>
        <w:spacing w:after="0" w:line="120" w:lineRule="exact"/>
        <w:rPr>
          <w:sz w:val="10"/>
          <w:lang w:val="es-ES_tradnl"/>
        </w:rPr>
      </w:pPr>
    </w:p>
    <w:p w14:paraId="1DE9E627" w14:textId="1F0E6897"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lastRenderedPageBreak/>
        <w:tab/>
      </w:r>
      <w:r w:rsidRPr="007E0CEF">
        <w:rPr>
          <w:lang w:val="es-ES_tradnl"/>
        </w:rPr>
        <w:tab/>
        <w:t xml:space="preserve">Reincorporación a los centros educativos de las niñas tras </w:t>
      </w:r>
      <w:r w:rsidR="002B389F" w:rsidRPr="007E0CEF">
        <w:rPr>
          <w:lang w:val="es-ES_tradnl"/>
        </w:rPr>
        <w:t>el</w:t>
      </w:r>
      <w:r w:rsidR="002B389F">
        <w:rPr>
          <w:lang w:val="es-ES_tradnl"/>
        </w:rPr>
        <w:t> </w:t>
      </w:r>
      <w:r w:rsidRPr="007E0CEF">
        <w:rPr>
          <w:lang w:val="es-ES_tradnl"/>
        </w:rPr>
        <w:t>embarazo y el parto</w:t>
      </w:r>
    </w:p>
    <w:p w14:paraId="1E744FDB" w14:textId="6F283E7A" w:rsidR="004A3E16" w:rsidRPr="007E0CEF" w:rsidRDefault="004A3E16" w:rsidP="009C2D6C">
      <w:pPr>
        <w:pStyle w:val="SingleTxt"/>
        <w:keepNext/>
        <w:keepLines/>
        <w:spacing w:after="0" w:line="120" w:lineRule="exact"/>
        <w:rPr>
          <w:sz w:val="10"/>
          <w:lang w:val="es-ES_tradnl"/>
        </w:rPr>
      </w:pPr>
    </w:p>
    <w:p w14:paraId="75F1B7D1" w14:textId="5525C389" w:rsidR="004A3E16" w:rsidRPr="007E0CEF" w:rsidRDefault="004A3E16" w:rsidP="009C2D6C">
      <w:pPr>
        <w:pStyle w:val="SingleTxt"/>
        <w:keepNext/>
        <w:keepLines/>
        <w:spacing w:after="0" w:line="120" w:lineRule="exact"/>
        <w:rPr>
          <w:sz w:val="10"/>
          <w:lang w:val="es-ES_tradnl"/>
        </w:rPr>
      </w:pPr>
    </w:p>
    <w:p w14:paraId="312F2F86" w14:textId="77777777" w:rsidR="00FA3F43" w:rsidRPr="007E0CEF" w:rsidRDefault="00FA3F43" w:rsidP="00BB0090">
      <w:pPr>
        <w:pStyle w:val="SingleTxt"/>
        <w:keepNext/>
        <w:keepLines/>
        <w:numPr>
          <w:ilvl w:val="0"/>
          <w:numId w:val="103"/>
        </w:numPr>
        <w:ind w:left="1267"/>
        <w:rPr>
          <w:bCs/>
          <w:lang w:val="es-ES_tradnl"/>
        </w:rPr>
      </w:pPr>
      <w:r w:rsidRPr="007E0CEF">
        <w:rPr>
          <w:lang w:val="es-ES_tradnl"/>
        </w:rPr>
        <w:t xml:space="preserve">Los gobiernos provinciales y territoriales cuentan con programas y mecanismos de apoyo que ayudan a las mujeres y las niñas a proseguir sus estudios después del parto. He aquí algunos ejemplos: </w:t>
      </w:r>
    </w:p>
    <w:p w14:paraId="7A3EFAD9" w14:textId="28EB5D8E"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Manitoba apoya la educación de las mujeres embarazadas y las que acaban de ser madres en Villa Rosa para ayudarlas a reincorporarse a los centros de enseñanza secundaria una vez que abandonan la residencia prenatal y posnatal en la ciudad de Winnipeg (Manitoba);</w:t>
      </w:r>
    </w:p>
    <w:p w14:paraId="5D2A487F" w14:textId="38336A70"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En el marco del Programa para Padres y Madres Jóvenes de Columbia Británica, los padres y madres menores de 25 años pueden optar a una ayuda para el cuidado de sus hijos mientras terminan sus estudios, lo que incluye una ayuda para sufragar los costos de guarderías y la concesión de una plaza en un programa oficial en el centro educativo al que asisten o en otro centro cercano. Además, también existen ayudas para las madres y padres adolescentes en centros públicos. Los mecanismos de apoyo concretos dependen de las necesidades y las circunstancias. Los jóvenes de mayor edad pueden recibir ayuda a través de programas de fomento de una vida independiente que les permitan terminar los estudios. El gobierno provincial ofrece otros servicios a las familias de progenitor único para que el progenitor en cuestión pueda finalizar sus estudios, formarse y adquirir independencia;</w:t>
      </w:r>
    </w:p>
    <w:p w14:paraId="3A2C1F1B" w14:textId="3E6939BC" w:rsidR="00FA3F43" w:rsidRPr="007E0CEF" w:rsidRDefault="009C2D6C" w:rsidP="009C2D6C">
      <w:pPr>
        <w:pStyle w:val="Bullet1G"/>
        <w:tabs>
          <w:tab w:val="num" w:pos="1701"/>
        </w:tabs>
        <w:ind w:left="1701" w:hanging="170"/>
        <w:rPr>
          <w:bCs/>
          <w:kern w:val="14"/>
          <w:lang w:val="es-ES_tradnl"/>
        </w:rPr>
      </w:pPr>
      <w:r w:rsidRPr="007E0CEF">
        <w:rPr>
          <w:lang w:val="es-ES_tradnl"/>
        </w:rPr>
        <w:t>•</w:t>
      </w:r>
      <w:r w:rsidRPr="007E0CEF">
        <w:rPr>
          <w:lang w:val="es-ES_tradnl"/>
        </w:rPr>
        <w:tab/>
      </w:r>
      <w:r w:rsidR="00FA3F43" w:rsidRPr="007E0CEF">
        <w:rPr>
          <w:kern w:val="14"/>
          <w:lang w:val="es-ES_tradnl"/>
        </w:rPr>
        <w:t xml:space="preserve">El Programa de Subsidios para el Cuidado de Hijos de la isla del Príncipe Eduardo ofrece apoyo integral a los padres y madres adolescentes para posibilitar su regreso a las aulas. Dicho Programa ayuda a sufragar el costo de los servicios de cuidado infantil y guardería para niños de hasta 12 años. Además, se prestan servicios a los estudiantes en los centros educativos para atender individualmente las necesidades de aprendizaje y apoyo de los padres y madres que se reincorporan al entorno escolar; </w:t>
      </w:r>
    </w:p>
    <w:p w14:paraId="49B22906" w14:textId="18A57E00"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El Programa de Ayudas para Servicios de Guardería de Nuevo Brunswick ofrece a los estudiantes de enseñanza secundaria un subsidio de mayor importe para sufragar el cuidado de hijos. Para acceder a esta prestación, no es necesario aportar pruebas de los ingresos percibidos. El padre o la madre debe presentar un documento acreditativo de la matriculación y tener a sus hijos en una guardería autorizada.</w:t>
      </w:r>
    </w:p>
    <w:p w14:paraId="1FDF72E2" w14:textId="41C45924" w:rsidR="009C2D6C" w:rsidRPr="007E0CEF" w:rsidRDefault="009C2D6C" w:rsidP="009C2D6C">
      <w:pPr>
        <w:pStyle w:val="Bullet1G"/>
        <w:tabs>
          <w:tab w:val="num" w:pos="1701"/>
        </w:tabs>
        <w:spacing w:after="0" w:line="120" w:lineRule="exact"/>
        <w:ind w:left="1701" w:hanging="170"/>
        <w:rPr>
          <w:kern w:val="14"/>
          <w:sz w:val="10"/>
          <w:lang w:val="es-ES_tradnl"/>
        </w:rPr>
      </w:pPr>
    </w:p>
    <w:p w14:paraId="249C88D4" w14:textId="243A032F" w:rsidR="009C2D6C" w:rsidRPr="007E0CEF" w:rsidRDefault="009C2D6C" w:rsidP="009C2D6C">
      <w:pPr>
        <w:pStyle w:val="Bullet1G"/>
        <w:tabs>
          <w:tab w:val="num" w:pos="1701"/>
        </w:tabs>
        <w:spacing w:after="0" w:line="120" w:lineRule="exact"/>
        <w:ind w:left="1701" w:hanging="170"/>
        <w:rPr>
          <w:kern w:val="14"/>
          <w:sz w:val="10"/>
          <w:lang w:val="es-ES_tradnl"/>
        </w:rPr>
      </w:pPr>
    </w:p>
    <w:p w14:paraId="52DC9954" w14:textId="675E592E"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Acceso a anticonceptivos asequibles y modernos</w:t>
      </w:r>
    </w:p>
    <w:p w14:paraId="29901BF2" w14:textId="188CCB6A" w:rsidR="009C2D6C" w:rsidRPr="007E0CEF" w:rsidRDefault="009C2D6C" w:rsidP="009C2D6C">
      <w:pPr>
        <w:pStyle w:val="SingleTxt"/>
        <w:spacing w:after="0" w:line="120" w:lineRule="exact"/>
        <w:rPr>
          <w:sz w:val="10"/>
          <w:lang w:val="es-ES_tradnl"/>
        </w:rPr>
      </w:pPr>
    </w:p>
    <w:p w14:paraId="6C645355" w14:textId="5FDDDC10" w:rsidR="009C2D6C" w:rsidRPr="007E0CEF" w:rsidRDefault="009C2D6C" w:rsidP="009C2D6C">
      <w:pPr>
        <w:pStyle w:val="SingleTxt"/>
        <w:spacing w:after="0" w:line="120" w:lineRule="exact"/>
        <w:rPr>
          <w:sz w:val="10"/>
          <w:lang w:val="es-ES_tradnl"/>
        </w:rPr>
      </w:pPr>
    </w:p>
    <w:p w14:paraId="73F316A9" w14:textId="77777777" w:rsidR="00FA3F43" w:rsidRPr="007E0CEF" w:rsidRDefault="00FA3F43" w:rsidP="00BB0090">
      <w:pPr>
        <w:pStyle w:val="SingleTxt"/>
        <w:numPr>
          <w:ilvl w:val="0"/>
          <w:numId w:val="104"/>
        </w:numPr>
        <w:ind w:left="1267"/>
        <w:rPr>
          <w:iCs/>
          <w:lang w:val="es-ES_tradnl"/>
        </w:rPr>
      </w:pPr>
      <w:r w:rsidRPr="007E0CEF">
        <w:rPr>
          <w:lang w:val="es-ES_tradnl"/>
        </w:rPr>
        <w:t>En Columbia Británica se reconoce que el costo no debería ser un impedimento para que las personas, especialmente los jóvenes, ejercieran su derecho a decidir sobre su salud reproductiva. En virtud de ello, se están dando pasos en la provincia hacia la gratuidad de la anticoncepción, así como para que toda la población residente tenga un acceso más amplio, oportuno, equitativo y culturalmente seguro a métodos anticonceptivos eficaces.</w:t>
      </w:r>
    </w:p>
    <w:p w14:paraId="4FB947DB" w14:textId="77777777" w:rsidR="00FA3F43" w:rsidRPr="007E0CEF" w:rsidRDefault="00FA3F43" w:rsidP="00BB0090">
      <w:pPr>
        <w:pStyle w:val="SingleTxt"/>
        <w:numPr>
          <w:ilvl w:val="0"/>
          <w:numId w:val="104"/>
        </w:numPr>
        <w:ind w:left="1267"/>
        <w:rPr>
          <w:lang w:val="es-ES_tradnl"/>
        </w:rPr>
      </w:pPr>
      <w:bookmarkStart w:id="26" w:name="lt_pId032"/>
      <w:r w:rsidRPr="007E0CEF">
        <w:rPr>
          <w:lang w:val="es-ES_tradnl"/>
        </w:rPr>
        <w:t>En Quebec, los centros educativos y los centros de servicios comunitarios locales se encargan de prestar servicios clínicos y preventivos adaptados a los jóvenes (de 12 a 25 años), entre los que figuran el suministro de anticonceptivos hormonales, anticonceptivos de emergencia de refuerzo y anticonceptivos de emergencia administrados por vía oral.</w:t>
      </w:r>
      <w:bookmarkEnd w:id="26"/>
    </w:p>
    <w:p w14:paraId="12067D25" w14:textId="77777777" w:rsidR="00FA3F43" w:rsidRPr="007E0CEF" w:rsidRDefault="00FA3F43" w:rsidP="00BB0090">
      <w:pPr>
        <w:pStyle w:val="SingleTxt"/>
        <w:numPr>
          <w:ilvl w:val="0"/>
          <w:numId w:val="105"/>
        </w:numPr>
        <w:ind w:left="1267"/>
        <w:rPr>
          <w:iCs/>
          <w:lang w:val="es-ES_tradnl"/>
        </w:rPr>
      </w:pPr>
      <w:r w:rsidRPr="007E0CEF">
        <w:rPr>
          <w:lang w:val="es-ES_tradnl"/>
        </w:rPr>
        <w:t xml:space="preserve">Los Servicios de Salud de Alberta disponen de Clínicas de Salud Sexual o Centros de Control de la Natalidad que proporcionan servicios de salud sexual y reproductiva adaptados a los jóvenes, sin emitir juicios y con carácter confidencial. Entre tales servicios confidenciales cabe señalar los siguientes: información sobre el control de la natalidad, extensión de recetas y suministros; control de la natalidad </w:t>
      </w:r>
      <w:r w:rsidRPr="007E0CEF">
        <w:rPr>
          <w:lang w:val="es-ES_tradnl"/>
        </w:rPr>
        <w:lastRenderedPageBreak/>
        <w:t xml:space="preserve">gratuito para quienes cumplan los requisitos necesarios; y suministro de anticonceptivos de emergencia (por ejemplo, la píldora del día después). </w:t>
      </w:r>
    </w:p>
    <w:p w14:paraId="1DFBAD17" w14:textId="118F902D" w:rsidR="00FA3F43" w:rsidRPr="007E0CEF" w:rsidRDefault="00FA3F43" w:rsidP="00BB0090">
      <w:pPr>
        <w:pStyle w:val="SingleTxt"/>
        <w:numPr>
          <w:ilvl w:val="0"/>
          <w:numId w:val="106"/>
        </w:numPr>
        <w:ind w:left="1267"/>
        <w:rPr>
          <w:iCs/>
          <w:lang w:val="es-ES_tradnl"/>
        </w:rPr>
      </w:pPr>
      <w:r w:rsidRPr="007E0CEF">
        <w:rPr>
          <w:lang w:val="es-ES_tradnl"/>
        </w:rPr>
        <w:t xml:space="preserve">Las Clínicas para Adolescentes de Manitoba ofrecen servicios médicos o sanitarios gratuitos y confidenciales destinados exclusivamente a los jóvenes. Dichas Clínicas están ubicadas en los centros educativos o los centros de salud comunitarios de todo el territorio de Manitoba. Los suministros para la práctica de un sexo más seguro, en particular los preservativos, suelen estar accesibles de manera gratuita. </w:t>
      </w:r>
    </w:p>
    <w:p w14:paraId="4B9ABDC7" w14:textId="0A6F5450" w:rsidR="009C2D6C" w:rsidRPr="007E0CEF" w:rsidRDefault="009C2D6C" w:rsidP="009C2D6C">
      <w:pPr>
        <w:pStyle w:val="SingleTxt"/>
        <w:spacing w:after="0" w:line="120" w:lineRule="exact"/>
        <w:rPr>
          <w:sz w:val="10"/>
          <w:lang w:val="es-ES_tradnl"/>
        </w:rPr>
      </w:pPr>
    </w:p>
    <w:p w14:paraId="6C022C72" w14:textId="2A6FF1C6" w:rsidR="009C2D6C" w:rsidRPr="007E0CEF" w:rsidRDefault="009C2D6C" w:rsidP="009C2D6C">
      <w:pPr>
        <w:pStyle w:val="SingleTxt"/>
        <w:spacing w:after="0" w:line="120" w:lineRule="exact"/>
        <w:rPr>
          <w:iCs/>
          <w:sz w:val="10"/>
          <w:lang w:val="es-ES_tradnl"/>
        </w:rPr>
      </w:pPr>
    </w:p>
    <w:p w14:paraId="5B2C0B1E" w14:textId="0CD5FC24" w:rsidR="00FA3F43" w:rsidRPr="007E0CEF" w:rsidRDefault="00FA3F43" w:rsidP="009C2D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Preguntas 19 y 20: Empleo y empoderamiento económico</w:t>
      </w:r>
    </w:p>
    <w:p w14:paraId="0836B14C" w14:textId="353C5746" w:rsidR="009C2D6C" w:rsidRPr="007E0CEF" w:rsidRDefault="009C2D6C" w:rsidP="009C2D6C">
      <w:pPr>
        <w:pStyle w:val="SingleTxt"/>
        <w:spacing w:after="0" w:line="120" w:lineRule="exact"/>
        <w:rPr>
          <w:sz w:val="10"/>
          <w:lang w:val="es-ES_tradnl"/>
        </w:rPr>
      </w:pPr>
    </w:p>
    <w:p w14:paraId="66ECE7C7" w14:textId="2984A4D8" w:rsidR="009C2D6C" w:rsidRPr="007E0CEF" w:rsidRDefault="009C2D6C" w:rsidP="009C2D6C">
      <w:pPr>
        <w:pStyle w:val="SingleTxt"/>
        <w:spacing w:after="0" w:line="120" w:lineRule="exact"/>
        <w:rPr>
          <w:sz w:val="10"/>
          <w:lang w:val="es-ES_tradnl"/>
        </w:rPr>
      </w:pPr>
    </w:p>
    <w:p w14:paraId="43B36DD7" w14:textId="13370290"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Acceso de las mujeres al mercado de trabajo</w:t>
      </w:r>
    </w:p>
    <w:p w14:paraId="406A145F" w14:textId="409C53FB" w:rsidR="009C2D6C" w:rsidRPr="007E0CEF" w:rsidRDefault="009C2D6C" w:rsidP="009C2D6C">
      <w:pPr>
        <w:pStyle w:val="SingleTxt"/>
        <w:spacing w:after="0" w:line="120" w:lineRule="exact"/>
        <w:rPr>
          <w:sz w:val="10"/>
          <w:lang w:val="es-ES_tradnl"/>
        </w:rPr>
      </w:pPr>
    </w:p>
    <w:p w14:paraId="484EAB5C" w14:textId="7D2CC5CE" w:rsidR="009C2D6C" w:rsidRPr="007E0CEF" w:rsidRDefault="009C2D6C" w:rsidP="009C2D6C">
      <w:pPr>
        <w:pStyle w:val="SingleTxt"/>
        <w:spacing w:after="0" w:line="120" w:lineRule="exact"/>
        <w:rPr>
          <w:sz w:val="10"/>
          <w:lang w:val="es-ES_tradnl"/>
        </w:rPr>
      </w:pPr>
    </w:p>
    <w:p w14:paraId="5589B92E" w14:textId="77777777" w:rsidR="00FA3F43" w:rsidRPr="007E0CEF" w:rsidRDefault="00FA3F43" w:rsidP="00BB0090">
      <w:pPr>
        <w:pStyle w:val="SingleTxt"/>
        <w:numPr>
          <w:ilvl w:val="0"/>
          <w:numId w:val="107"/>
        </w:numPr>
        <w:ind w:left="1267"/>
        <w:rPr>
          <w:lang w:val="es-ES_tradnl"/>
        </w:rPr>
      </w:pPr>
      <w:bookmarkStart w:id="27" w:name="_Hlk102986445"/>
      <w:r w:rsidRPr="007E0CEF">
        <w:rPr>
          <w:lang w:val="es-ES_tradnl"/>
        </w:rPr>
        <w:t>En 2021, el Gobierno del Canadá anunció un plan de transformación encaminado a crear un sistema de aprendizaje temprano y cuidado infantil en todo el país a lo largo de los cinco años siguientes, en colaboración con los gobiernos provinciales y territoriales y los asociados indígenas. El objetivo de esta iniciativa del Gobierno del Canadá es ofrecer a las familias canadienses servicios de aprendizaje temprano y cuidado infantil de gran calidad, asequibles, flexibles e inclusivos. Esta nueva inversión aumentará la participación de las mujeres en el mercado laboral, al tiempo que creará nuevos puestos de trabajo e impulsará un sólido crecimiento económico a medida que el Canadá se recupere de la pandemia.</w:t>
      </w:r>
    </w:p>
    <w:bookmarkEnd w:id="27"/>
    <w:p w14:paraId="1F91FF04" w14:textId="77777777" w:rsidR="00FA3F43" w:rsidRPr="007E0CEF" w:rsidRDefault="00FA3F43" w:rsidP="00BB0090">
      <w:pPr>
        <w:pStyle w:val="SingleTxt"/>
        <w:numPr>
          <w:ilvl w:val="0"/>
          <w:numId w:val="107"/>
        </w:numPr>
        <w:ind w:left="1267"/>
        <w:rPr>
          <w:iCs/>
          <w:lang w:val="es-ES_tradnl"/>
        </w:rPr>
      </w:pPr>
      <w:r w:rsidRPr="007E0CEF">
        <w:rPr>
          <w:lang w:val="es-ES_tradnl"/>
        </w:rPr>
        <w:t>Los gobiernos provinciales y territoriales han emprendido las medidas que se enumeran a continuación para fomentar la participación de las mujeres en el mercado de trabajo y su acceso a este:</w:t>
      </w:r>
    </w:p>
    <w:p w14:paraId="3EF1061C" w14:textId="51D6A164"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Columbia Británica existen diversos programas y recursos que ayudan específicamente a las mujeres en búsqueda de empleo y que abarcan desde la tutoría en materia de desarrollo empresarial hasta la formación en oficios. Los Acuerdos de Beneficios Comunitarios garantizan que las mujeres, los jóvenes y los pueblos indígenas tengan acceso a oportunidades de empleo, formación y aprendizaje en los principales proyectos de infraestructura; </w:t>
      </w:r>
    </w:p>
    <w:p w14:paraId="3F8428DA" w14:textId="36AB8F45"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Nueva Escocia financia el Programa Women Unlimited (Mujeres sin Restricciones), un programa gratuito de 14 semanas de duración que ofrece a las participantes la oportunidad de explorar sus intereses profesionales en los campos de los oficios o la tecnología. Una vez concluido el programa, las participantes pueden solicitar el acceso a cualquier programa de oficios o tecnología del Centro Comunitario de Estudios Superiores de Nueva Escocia, siempre que cumplan con los correspondientes requisitos;</w:t>
      </w:r>
    </w:p>
    <w:p w14:paraId="4C201460" w14:textId="745B93FF"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El Programa de Seguridad Económica de las Mujeres de Ontario financia la impartición de formación en materia de empleo, preempleo, aprendizaje y emprendimiento a fin de ayudar a las mujeres con bajos ingresos a adquirir las habilidades, los conocimientos y la experiencia que necesitan para aumentar su seguridad económica;</w:t>
      </w:r>
    </w:p>
    <w:p w14:paraId="05BA9745" w14:textId="6F3EEFE8"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Saskatchewan financia el programa Trade Journey (Recorrido por los Oficios), un programa de 16 semanas de duración gestionado por la organización YWCA Saskatoon y diseñado para mujeres a las que les gusta trabajar con las manos, con cierta experiencia en puestos de construcción, renovación, minería o mantenimiento, o bien que quieren dar un giro profesional hacia una carrera en el ámbito de los oficios.</w:t>
      </w:r>
    </w:p>
    <w:p w14:paraId="5C869995" w14:textId="40FA4097" w:rsidR="009C2D6C" w:rsidRPr="007E0CEF" w:rsidRDefault="009C2D6C" w:rsidP="009C2D6C">
      <w:pPr>
        <w:pStyle w:val="Bullet1G"/>
        <w:tabs>
          <w:tab w:val="num" w:pos="1701"/>
        </w:tabs>
        <w:spacing w:after="0" w:line="120" w:lineRule="exact"/>
        <w:ind w:left="1701" w:hanging="170"/>
        <w:rPr>
          <w:kern w:val="14"/>
          <w:sz w:val="10"/>
          <w:lang w:val="es-ES_tradnl"/>
        </w:rPr>
      </w:pPr>
    </w:p>
    <w:p w14:paraId="5B8CBD77" w14:textId="414D6B8D" w:rsidR="009C2D6C" w:rsidRPr="007E0CEF" w:rsidRDefault="009C2D6C" w:rsidP="009C2D6C">
      <w:pPr>
        <w:pStyle w:val="Bullet1G"/>
        <w:tabs>
          <w:tab w:val="num" w:pos="1701"/>
        </w:tabs>
        <w:spacing w:after="0" w:line="120" w:lineRule="exact"/>
        <w:ind w:left="1701" w:hanging="170"/>
        <w:rPr>
          <w:kern w:val="14"/>
          <w:sz w:val="10"/>
          <w:lang w:val="es-ES_tradnl"/>
        </w:rPr>
      </w:pPr>
    </w:p>
    <w:p w14:paraId="6249F739" w14:textId="536680E2"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lastRenderedPageBreak/>
        <w:tab/>
      </w:r>
      <w:r w:rsidRPr="007E0CEF">
        <w:rPr>
          <w:lang w:val="es-ES_tradnl"/>
        </w:rPr>
        <w:tab/>
        <w:t>Ley de Equidad Salarial</w:t>
      </w:r>
    </w:p>
    <w:p w14:paraId="51D578AC" w14:textId="05832F56" w:rsidR="009C2D6C" w:rsidRPr="007E0CEF" w:rsidRDefault="009C2D6C" w:rsidP="009C2D6C">
      <w:pPr>
        <w:pStyle w:val="SingleTxt"/>
        <w:keepNext/>
        <w:keepLines/>
        <w:spacing w:after="0" w:line="120" w:lineRule="exact"/>
        <w:rPr>
          <w:sz w:val="10"/>
          <w:lang w:val="es-ES_tradnl"/>
        </w:rPr>
      </w:pPr>
    </w:p>
    <w:p w14:paraId="14BBA959" w14:textId="7E5C6A29" w:rsidR="009C2D6C" w:rsidRPr="007E0CEF" w:rsidRDefault="009C2D6C" w:rsidP="009C2D6C">
      <w:pPr>
        <w:pStyle w:val="SingleTxt"/>
        <w:keepNext/>
        <w:keepLines/>
        <w:spacing w:after="0" w:line="120" w:lineRule="exact"/>
        <w:rPr>
          <w:sz w:val="10"/>
          <w:lang w:val="es-ES_tradnl"/>
        </w:rPr>
      </w:pPr>
    </w:p>
    <w:p w14:paraId="4A9E38A6" w14:textId="77777777" w:rsidR="00FA3F43" w:rsidRPr="007E0CEF" w:rsidRDefault="00FA3F43" w:rsidP="00BB0090">
      <w:pPr>
        <w:pStyle w:val="SingleTxt"/>
        <w:keepNext/>
        <w:keepLines/>
        <w:numPr>
          <w:ilvl w:val="0"/>
          <w:numId w:val="108"/>
        </w:numPr>
        <w:ind w:left="1267"/>
        <w:rPr>
          <w:lang w:val="es-ES_tradnl"/>
        </w:rPr>
      </w:pPr>
      <w:r w:rsidRPr="007E0CEF">
        <w:rPr>
          <w:lang w:val="es-ES_tradnl"/>
        </w:rPr>
        <w:t xml:space="preserve">El Gobierno federal y los gobiernos provinciales y territoriales del Canadá garantizan igual salario por trabajo igual combinando la legislación sobre equidad salarial con una serie de normas laborales y leyes y políticas de derechos humanos. </w:t>
      </w:r>
    </w:p>
    <w:p w14:paraId="32F00435" w14:textId="77777777" w:rsidR="00FA3F43" w:rsidRPr="007E0CEF" w:rsidRDefault="00FA3F43" w:rsidP="00BB0090">
      <w:pPr>
        <w:pStyle w:val="SingleTxt"/>
        <w:numPr>
          <w:ilvl w:val="0"/>
          <w:numId w:val="108"/>
        </w:numPr>
        <w:ind w:left="1267"/>
        <w:rPr>
          <w:lang w:val="es-ES_tradnl"/>
        </w:rPr>
      </w:pPr>
      <w:bookmarkStart w:id="28" w:name="_Hlk85092986"/>
      <w:r w:rsidRPr="007E0CEF">
        <w:rPr>
          <w:lang w:val="es-ES_tradnl"/>
        </w:rPr>
        <w:t xml:space="preserve">La Ley Federal de Equidad Salarial entró en vigor el 31 de agosto de 2021 y estableció un régimen proactivo de equidad en dicho ámbito aplicable a aproximadamente 1,32 millones de trabajadores de centros de trabajo sometidos a regulación federal con una plantilla igual o superior a 10 empleados. Se espera que dicha Ley constituya una medida eficaz para subsanar la parte de la brecha salarial de género atribuible a la infravaloración del trabajo desempeñado tradicionalmente por mujeres. El Reglamento de Equidad Salarial respaldará la aplicación de la legislación, garantizando que los trabajadores de los centros de trabajo sometidos a regulación federal gocen de igualdad de remuneración por trabajo de igual valor. La figura del Comisionado para la Equidad Salarial, creada recientemente, se encargará de la gestión y aplicación tanto de la Ley como de su Reglamento y seguirá colaborando estrechamente con los agentes del entorno laboral del sector público y privado sometidos a regulación federal para proporcionar apoyo y orientación en la aplicación de este régimen proactivo de equidad salarial. </w:t>
      </w:r>
      <w:bookmarkEnd w:id="28"/>
    </w:p>
    <w:p w14:paraId="3CDE3F2B" w14:textId="60681299" w:rsidR="00FA3F43" w:rsidRPr="007E0CEF" w:rsidRDefault="00FA3F43" w:rsidP="00BB0090">
      <w:pPr>
        <w:pStyle w:val="SingleTxt"/>
        <w:numPr>
          <w:ilvl w:val="0"/>
          <w:numId w:val="109"/>
        </w:numPr>
        <w:ind w:left="1267"/>
        <w:rPr>
          <w:lang w:val="es-ES_tradnl"/>
        </w:rPr>
      </w:pPr>
      <w:r w:rsidRPr="007E0CEF">
        <w:rPr>
          <w:lang w:val="es-ES_tradnl"/>
        </w:rPr>
        <w:t>El gobierno de Quebec ha puesto en marcha el Plan de Acción para promover la aplicación de la Ley de Equidad Salarial a los trabajadores no sindicados durante el período 2020-2023, cuyo objetivo es que tales trabajadores entiendan mejor el contenido de la Ley en cuestión y reciban apoyo para ejercer sus derechos. Dicho Plan también pretende ayudar a los empleadores a cumplir sus obligaciones de equidad salarial.</w:t>
      </w:r>
    </w:p>
    <w:p w14:paraId="139E54DF" w14:textId="3C2AA7F5" w:rsidR="009C2D6C" w:rsidRPr="007E0CEF" w:rsidRDefault="009C2D6C" w:rsidP="009C2D6C">
      <w:pPr>
        <w:pStyle w:val="SingleTxt"/>
        <w:spacing w:after="0" w:line="120" w:lineRule="exact"/>
        <w:rPr>
          <w:sz w:val="10"/>
          <w:lang w:val="es-ES_tradnl"/>
        </w:rPr>
      </w:pPr>
    </w:p>
    <w:p w14:paraId="4B7A3DA4" w14:textId="2B9B9C0A" w:rsidR="009C2D6C" w:rsidRPr="007E0CEF" w:rsidRDefault="009C2D6C" w:rsidP="009C2D6C">
      <w:pPr>
        <w:pStyle w:val="SingleTxt"/>
        <w:spacing w:after="0" w:line="120" w:lineRule="exact"/>
        <w:rPr>
          <w:sz w:val="10"/>
          <w:lang w:val="es-ES_tradnl"/>
        </w:rPr>
      </w:pPr>
    </w:p>
    <w:p w14:paraId="352A2D43" w14:textId="1080ABB0"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Convenio sobre las Trabajadoras y los Trabajadores Domésticos, 2011 (núm. 189)</w:t>
      </w:r>
    </w:p>
    <w:p w14:paraId="334742E6" w14:textId="4FDE41BA" w:rsidR="009C2D6C" w:rsidRPr="007E0CEF" w:rsidRDefault="009C2D6C" w:rsidP="009C2D6C">
      <w:pPr>
        <w:pStyle w:val="SingleTxt"/>
        <w:spacing w:after="0" w:line="120" w:lineRule="exact"/>
        <w:rPr>
          <w:sz w:val="10"/>
          <w:lang w:val="es-ES_tradnl"/>
        </w:rPr>
      </w:pPr>
    </w:p>
    <w:p w14:paraId="1C8C640C" w14:textId="50E6F447" w:rsidR="009C2D6C" w:rsidRPr="007E0CEF" w:rsidRDefault="009C2D6C" w:rsidP="009C2D6C">
      <w:pPr>
        <w:pStyle w:val="SingleTxt"/>
        <w:spacing w:after="0" w:line="120" w:lineRule="exact"/>
        <w:rPr>
          <w:sz w:val="10"/>
          <w:lang w:val="es-ES_tradnl"/>
        </w:rPr>
      </w:pPr>
    </w:p>
    <w:p w14:paraId="2E17389C" w14:textId="0538F88F" w:rsidR="00FA3F43" w:rsidRPr="007E0CEF" w:rsidRDefault="00FA3F43" w:rsidP="00BB0090">
      <w:pPr>
        <w:pStyle w:val="SingleTxt"/>
        <w:numPr>
          <w:ilvl w:val="0"/>
          <w:numId w:val="110"/>
        </w:numPr>
        <w:ind w:left="1267"/>
        <w:rPr>
          <w:lang w:val="es-ES_tradnl"/>
        </w:rPr>
      </w:pPr>
      <w:r w:rsidRPr="007E0CEF">
        <w:rPr>
          <w:lang w:val="es-ES_tradnl"/>
        </w:rPr>
        <w:t>El Gobierno federal y los gobiernos provinciales y territoriales están llevando a cabo actualmente una revisión técnica para determinar si la legislación, la política y los programas existentes se ajustan a las disposiciones del Convenio y detectar posibles lagunas al respecto.</w:t>
      </w:r>
    </w:p>
    <w:p w14:paraId="75A43693" w14:textId="37CEA12F" w:rsidR="009C2D6C" w:rsidRPr="007E0CEF" w:rsidRDefault="009C2D6C" w:rsidP="009C2D6C">
      <w:pPr>
        <w:pStyle w:val="SingleTxt"/>
        <w:spacing w:after="0" w:line="120" w:lineRule="exact"/>
        <w:rPr>
          <w:sz w:val="10"/>
          <w:lang w:val="es-ES_tradnl"/>
        </w:rPr>
      </w:pPr>
    </w:p>
    <w:p w14:paraId="0D0A649D" w14:textId="62C29B06" w:rsidR="009C2D6C" w:rsidRPr="007E0CEF" w:rsidRDefault="009C2D6C" w:rsidP="009C2D6C">
      <w:pPr>
        <w:pStyle w:val="SingleTxt"/>
        <w:spacing w:after="0" w:line="120" w:lineRule="exact"/>
        <w:rPr>
          <w:sz w:val="10"/>
          <w:lang w:val="es-ES_tradnl"/>
        </w:rPr>
      </w:pPr>
    </w:p>
    <w:p w14:paraId="4BE38745" w14:textId="56793C78"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Convenio sobre la Violencia y el Acoso, 2019 (núm. 190)</w:t>
      </w:r>
    </w:p>
    <w:p w14:paraId="0411AE06" w14:textId="354DDB45" w:rsidR="009C2D6C" w:rsidRPr="007E0CEF" w:rsidRDefault="009C2D6C" w:rsidP="009C2D6C">
      <w:pPr>
        <w:pStyle w:val="SingleTxt"/>
        <w:spacing w:after="0" w:line="120" w:lineRule="exact"/>
        <w:rPr>
          <w:sz w:val="10"/>
          <w:lang w:val="es-ES_tradnl"/>
        </w:rPr>
      </w:pPr>
    </w:p>
    <w:p w14:paraId="06E1BDA9" w14:textId="1D35BCD6" w:rsidR="009C2D6C" w:rsidRPr="007E0CEF" w:rsidRDefault="009C2D6C" w:rsidP="009C2D6C">
      <w:pPr>
        <w:pStyle w:val="SingleTxt"/>
        <w:spacing w:after="0" w:line="120" w:lineRule="exact"/>
        <w:rPr>
          <w:sz w:val="10"/>
          <w:lang w:val="es-ES_tradnl"/>
        </w:rPr>
      </w:pPr>
    </w:p>
    <w:p w14:paraId="72C950A8" w14:textId="7FC9D50B" w:rsidR="00FA3F43" w:rsidRPr="007E0CEF" w:rsidRDefault="00FA3F43" w:rsidP="00BB0090">
      <w:pPr>
        <w:pStyle w:val="SingleTxt"/>
        <w:numPr>
          <w:ilvl w:val="0"/>
          <w:numId w:val="111"/>
        </w:numPr>
        <w:ind w:left="1267"/>
        <w:rPr>
          <w:bCs/>
          <w:lang w:val="es-ES_tradnl"/>
        </w:rPr>
      </w:pPr>
      <w:r w:rsidRPr="007E0CEF">
        <w:rPr>
          <w:lang w:val="es-ES_tradnl"/>
        </w:rPr>
        <w:t>El Gobierno del Canadá está decidido a colaborar con los gobiernos provinciales y territoriales de cara a la ratificación del mencionado Convenio.</w:t>
      </w:r>
    </w:p>
    <w:p w14:paraId="7CFF1608" w14:textId="60FD27AA" w:rsidR="009C2D6C" w:rsidRPr="007E0CEF" w:rsidRDefault="009C2D6C" w:rsidP="009C2D6C">
      <w:pPr>
        <w:pStyle w:val="SingleTxt"/>
        <w:spacing w:after="0" w:line="120" w:lineRule="exact"/>
        <w:rPr>
          <w:sz w:val="10"/>
          <w:lang w:val="es-ES_tradnl"/>
        </w:rPr>
      </w:pPr>
    </w:p>
    <w:p w14:paraId="6AE7A136" w14:textId="53208981" w:rsidR="009C2D6C" w:rsidRPr="007E0CEF" w:rsidRDefault="009C2D6C" w:rsidP="009C2D6C">
      <w:pPr>
        <w:pStyle w:val="SingleTxt"/>
        <w:spacing w:after="0" w:line="120" w:lineRule="exact"/>
        <w:rPr>
          <w:bCs/>
          <w:sz w:val="10"/>
          <w:lang w:val="es-ES_tradnl"/>
        </w:rPr>
      </w:pPr>
    </w:p>
    <w:p w14:paraId="30284122" w14:textId="3DAA2B1E"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Proyecto de Ley C-65</w:t>
      </w:r>
    </w:p>
    <w:p w14:paraId="7926E515" w14:textId="642F436C" w:rsidR="009C2D6C" w:rsidRPr="007E0CEF" w:rsidRDefault="009C2D6C" w:rsidP="009C2D6C">
      <w:pPr>
        <w:pStyle w:val="SingleTxt"/>
        <w:spacing w:after="0" w:line="120" w:lineRule="exact"/>
        <w:rPr>
          <w:sz w:val="10"/>
          <w:lang w:val="es-ES_tradnl"/>
        </w:rPr>
      </w:pPr>
    </w:p>
    <w:p w14:paraId="043A7C8D" w14:textId="7F500105" w:rsidR="009C2D6C" w:rsidRPr="007E0CEF" w:rsidRDefault="009C2D6C" w:rsidP="009C2D6C">
      <w:pPr>
        <w:pStyle w:val="SingleTxt"/>
        <w:spacing w:after="0" w:line="120" w:lineRule="exact"/>
        <w:rPr>
          <w:sz w:val="10"/>
          <w:lang w:val="es-ES_tradnl"/>
        </w:rPr>
      </w:pPr>
    </w:p>
    <w:p w14:paraId="135771D2" w14:textId="77777777" w:rsidR="00FA3F43" w:rsidRPr="007E0CEF" w:rsidRDefault="00FA3F43" w:rsidP="00BB0090">
      <w:pPr>
        <w:pStyle w:val="SingleTxt"/>
        <w:numPr>
          <w:ilvl w:val="0"/>
          <w:numId w:val="112"/>
        </w:numPr>
        <w:ind w:left="1267"/>
        <w:rPr>
          <w:bCs/>
          <w:lang w:val="es-ES_tradnl"/>
        </w:rPr>
      </w:pPr>
      <w:bookmarkStart w:id="29" w:name="_Hlk85093959"/>
      <w:r w:rsidRPr="007E0CEF">
        <w:rPr>
          <w:lang w:val="es-ES_tradnl"/>
        </w:rPr>
        <w:t>A fin de promover entornos de trabajo seguros para todos los trabajadores, el Gobierno canadiense aprobó el Proyecto de Ley C-65 orientado a modificar el Código Laboral del Canadá y la Ley de Empleo y Relaciones con el Personal del Parlamento para aumentar la protección de los empleados frente al acoso y la violencia en los centros de trabajo federales. Dicho Gobierno colaboró estrechamente con la ciudadanía canadiense y las distintas partes interesadas en la elaboración del Reglamento de Prevención del Acoso y la Violencia en el Lugar de Trabajo, que entró en vigor, junto con la correspondiente legislación, en enero de 2021.</w:t>
      </w:r>
      <w:bookmarkEnd w:id="29"/>
    </w:p>
    <w:p w14:paraId="1CB64F2C" w14:textId="4444F4AA" w:rsidR="00FA3F43" w:rsidRPr="007E0CEF" w:rsidRDefault="00FA3F43" w:rsidP="00BB0090">
      <w:pPr>
        <w:pStyle w:val="SingleTxt"/>
        <w:numPr>
          <w:ilvl w:val="0"/>
          <w:numId w:val="112"/>
        </w:numPr>
        <w:ind w:left="1267"/>
        <w:rPr>
          <w:bCs/>
          <w:lang w:val="es-ES_tradnl"/>
        </w:rPr>
      </w:pPr>
      <w:r w:rsidRPr="007E0CEF">
        <w:rPr>
          <w:lang w:val="es-ES_tradnl"/>
        </w:rPr>
        <w:lastRenderedPageBreak/>
        <w:t xml:space="preserve">En 2019 se creó el Fondo del Gobierno del Canadá para la Prevención del Acoso y la Violencia en el Lugar de Trabajo como ayuda para liderar un cambio de cultura en torno a este tipo de comportamientos. </w:t>
      </w:r>
    </w:p>
    <w:p w14:paraId="246B04A3" w14:textId="389DA3C0" w:rsidR="009C2D6C" w:rsidRPr="007E0CEF" w:rsidRDefault="009C2D6C" w:rsidP="009C2D6C">
      <w:pPr>
        <w:pStyle w:val="SingleTxt"/>
        <w:spacing w:after="0" w:line="120" w:lineRule="exact"/>
        <w:rPr>
          <w:sz w:val="10"/>
          <w:lang w:val="es-ES_tradnl"/>
        </w:rPr>
      </w:pPr>
    </w:p>
    <w:p w14:paraId="129FE1FB" w14:textId="1AAD1CDF" w:rsidR="009C2D6C" w:rsidRPr="007E0CEF" w:rsidRDefault="009C2D6C" w:rsidP="009C2D6C">
      <w:pPr>
        <w:pStyle w:val="SingleTxt"/>
        <w:spacing w:after="0" w:line="120" w:lineRule="exact"/>
        <w:rPr>
          <w:bCs/>
          <w:sz w:val="10"/>
          <w:lang w:val="es-ES_tradnl"/>
        </w:rPr>
      </w:pPr>
    </w:p>
    <w:p w14:paraId="19080236" w14:textId="7AB7035E"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Acoso sexual en el lugar de trabajo</w:t>
      </w:r>
    </w:p>
    <w:p w14:paraId="5A092110" w14:textId="2B463CA7" w:rsidR="009C2D6C" w:rsidRPr="007E0CEF" w:rsidRDefault="009C2D6C" w:rsidP="009C2D6C">
      <w:pPr>
        <w:pStyle w:val="SingleTxt"/>
        <w:spacing w:after="0" w:line="120" w:lineRule="exact"/>
        <w:rPr>
          <w:sz w:val="10"/>
          <w:lang w:val="es-ES_tradnl"/>
        </w:rPr>
      </w:pPr>
    </w:p>
    <w:p w14:paraId="4091A457" w14:textId="2E5A76FF" w:rsidR="009C2D6C" w:rsidRPr="007E0CEF" w:rsidRDefault="009C2D6C" w:rsidP="009C2D6C">
      <w:pPr>
        <w:pStyle w:val="SingleTxt"/>
        <w:spacing w:after="0" w:line="120" w:lineRule="exact"/>
        <w:rPr>
          <w:sz w:val="10"/>
          <w:lang w:val="es-ES_tradnl"/>
        </w:rPr>
      </w:pPr>
    </w:p>
    <w:p w14:paraId="63498012" w14:textId="77777777" w:rsidR="00FA3F43" w:rsidRPr="007E0CEF" w:rsidDel="00E077A1" w:rsidRDefault="00FA3F43" w:rsidP="00BB0090">
      <w:pPr>
        <w:pStyle w:val="SingleTxt"/>
        <w:numPr>
          <w:ilvl w:val="0"/>
          <w:numId w:val="113"/>
        </w:numPr>
        <w:ind w:left="1267"/>
        <w:rPr>
          <w:bCs/>
          <w:lang w:val="es-ES_tradnl"/>
        </w:rPr>
      </w:pPr>
      <w:r w:rsidRPr="007E0CEF">
        <w:rPr>
          <w:lang w:val="es-ES_tradnl"/>
        </w:rPr>
        <w:t xml:space="preserve">El Gobierno federal y los gobiernos provinciales y territoriales han adoptado medidas para concienciar sobre el problema del acoso sexual en el lugar de trabajo. He aquí algunos ejemplos: </w:t>
      </w:r>
    </w:p>
    <w:p w14:paraId="15C3240F" w14:textId="4773040A"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2019, Manitoba llevó a cabo una campaña de concienciación sobre el problema del acoso sexual con miras a promover un cambio de comportamiento y dar a conocer la nueva política de fomento del respeto en el lugar de trabajo y los procedimientos de denuncia de comportamientos irrespetuosos, en particular el acoso y el hostigamiento sexual. En 2020 se pusieron en marcha tanto seminarios web como cursos virtuales de diversa índole relacionados con el fomento del respeto en el lugar de trabajo y otros temas conexos; </w:t>
      </w:r>
    </w:p>
    <w:p w14:paraId="7A4B0E0A" w14:textId="25EAB01B"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En 2019, la Comisión de Seguridad e Indemnización de los Trabajadores publicó los Códigos de Práctica de los Territorios del Noroeste y Nunavut en materia de Acoso. En ellos se informa a los trabajadores y empleadores acerca del acoso en el lugar de trabajo y el acoso sexual y se les proporcionan múltiples recursos y herramientas para prevenir y afrontar este tipo de comportamientos;</w:t>
      </w:r>
    </w:p>
    <w:p w14:paraId="2C66977C" w14:textId="2C2CB056"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2019 entraron en vigor en Nuevo Brunswick los nuevos requisitos reglamentarios en materia de salud y seguridad ocupacionales, en los que se trata el tema de la violencia y el acoso en el lugar de trabajo, incluida la repercusión indirecta de la violencia doméstica y de pareja y el acoso sexual. Nuevo Brunswick ofrece información sobre tales requisitos a través del sitio web WorkSafeNB y proporciona una serie de recursos (entre ellos, una lista de preguntas y respuestas) para ayudar a los empleadores y a los empleados a entender la correspondiente normativa; </w:t>
      </w:r>
    </w:p>
    <w:p w14:paraId="76CE41A4" w14:textId="0E0704ED"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Alberta ha puesto en marcha una iniciativa de seguridad del personal sobre el acoso y la violencia en el lugar de trabajo para la impartición de formación obligatoria al respecto. Dicha formación abarca los siguientes aspectos: el reconocimiento de la violencia y el acoso; las políticas, los procedimientos y las disposiciones del lugar de trabajo capaces de eliminar o combatir eficazmente la violencia y el acoso; la respuesta adecuada frente a la violencia y el acoso, incluidos los procedimientos de obtención de ayuda; y los procedimientos de denuncia, investigación y documentación de los casos de violencia y acoso;</w:t>
      </w:r>
    </w:p>
    <w:p w14:paraId="61B9295C" w14:textId="3DEAED25"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Ontario ofrece información en su página web sobre violencia y acoso en el lugar de trabajo para ayudar a los distintos agentes del entorno laboral a entender los requisitos para la prevención de este tipo de comportamientos que se contemplan en la Ley de Salud y Seguridad Ocupacionales de dicha provincia. Entre los recursos proporcionados se incluyen guías, un código de prácticas, notas descriptivas y recursos específicos sobre violencia doméstica y agresiones sexuales;</w:t>
      </w:r>
    </w:p>
    <w:p w14:paraId="1774A722" w14:textId="6BEC7993"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La isla del Príncipe Eduardo ha elaborado una nueva guía sobre el acoso en el lugar de trabajo y una lista de preguntas frecuentes para ayudar y formar a las partes interesadas en la aplicación de la nueva Ley de Salud y Seguridad Ocupacionales y del Reglamento contra el Acoso en el Lugar de Trabajo. La mencionada provincia ha creado una página de destino en el sitio web de la Junta de Indemnización de los Trabajadores para que los interesados puedan consultar un ejemplar de la normativa en cuestión y la totalidad de los recursos en esta materia. Dicha provincia también ha llevado a cabo una serie de sesiones formativas en torno al problema del acoso en el lugar de trabajo y está elaborando un vídeo educativo en línea.</w:t>
      </w:r>
    </w:p>
    <w:p w14:paraId="713C8EBA" w14:textId="5A73198D"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lastRenderedPageBreak/>
        <w:tab/>
      </w:r>
      <w:r w:rsidRPr="007E0CEF">
        <w:rPr>
          <w:lang w:val="es-ES_tradnl"/>
        </w:rPr>
        <w:tab/>
        <w:t>Mujeres indígenas y con discapacidad</w:t>
      </w:r>
    </w:p>
    <w:p w14:paraId="0CA80C65" w14:textId="25F02DD3" w:rsidR="009C2D6C" w:rsidRPr="007E0CEF" w:rsidRDefault="009C2D6C" w:rsidP="009C2D6C">
      <w:pPr>
        <w:pStyle w:val="SingleTxt"/>
        <w:spacing w:after="0" w:line="120" w:lineRule="exact"/>
        <w:rPr>
          <w:sz w:val="10"/>
          <w:lang w:val="es-ES_tradnl"/>
        </w:rPr>
      </w:pPr>
    </w:p>
    <w:p w14:paraId="0A1AB4CC" w14:textId="3D96B1FA" w:rsidR="009C2D6C" w:rsidRPr="007E0CEF" w:rsidRDefault="009C2D6C" w:rsidP="009C2D6C">
      <w:pPr>
        <w:pStyle w:val="SingleTxt"/>
        <w:spacing w:after="0" w:line="120" w:lineRule="exact"/>
        <w:rPr>
          <w:sz w:val="10"/>
          <w:lang w:val="es-ES_tradnl"/>
        </w:rPr>
      </w:pPr>
    </w:p>
    <w:p w14:paraId="3B3C6B6F" w14:textId="77777777" w:rsidR="00FA3F43" w:rsidRPr="007E0CEF" w:rsidRDefault="00FA3F43" w:rsidP="00BB0090">
      <w:pPr>
        <w:pStyle w:val="SingleTxt"/>
        <w:numPr>
          <w:ilvl w:val="0"/>
          <w:numId w:val="114"/>
        </w:numPr>
        <w:ind w:left="1267"/>
        <w:rPr>
          <w:bCs/>
          <w:lang w:val="es-ES_tradnl"/>
        </w:rPr>
      </w:pPr>
      <w:r w:rsidRPr="007E0CEF">
        <w:rPr>
          <w:lang w:val="es-ES_tradnl"/>
        </w:rPr>
        <w:t xml:space="preserve">Las instancias gubernamentales del Canadá cuentan con servicios y programas que facilitan el acceso de las mujeres indígenas y con discapacidad al mercado de trabajo. He aquí algunos ejemplos: </w:t>
      </w:r>
    </w:p>
    <w:p w14:paraId="17F25087" w14:textId="0701BFC8"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En 2017, Ontario puso en marcha el Fondo Catalizador de Conocimientos Prácticos, un fondo para proyectos de demostración de duración limitada que apoya la puesta en práctica de nuevas ideas y enfoques de desarrollo de la fuerza de trabajo que armonicen la educación y la formación con las necesidades de la economía y los empleadores. El programa en cuestión se centra en la inclusividad y la búsqueda específica de mecanismos de apoyo al empleo y la formación de las mujeres, los pueblos indígenas y las personas con discapacidad que ayuden a estos grupos de población a acceder o adaptarse a un mercado laboral en constante cambio, o bien a mantenerse en él;</w:t>
      </w:r>
    </w:p>
    <w:p w14:paraId="4607FE4B" w14:textId="47F43F4C"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El Programa para Personas con Discapacidad del Desarrollo de Alberta ayuda a personas adultas que reúnan determinados requisitos a satisfacer sus necesidades y cumplir sus objetivos personales mediante la planificación y la prestación de servicios. Dicho Programa financia una serie de mecanismos de apoyo al empleo, apoyo para la vida en el hogar, prestación de servicios de sustitución temporal de cuidadores, apoyo o formación a corto plazo y apoyo especializado; </w:t>
      </w:r>
    </w:p>
    <w:p w14:paraId="3BB36660" w14:textId="0B9FF2CD"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El programa de Nueva Escocia Ability Works (La Capacidad Funciona) pretende mejorar los resultados en materia de empleo de las personas con discapacidad por los siguientes medios: el aumento de su empleabilidad; el incremento de las oportunidades de empleo accesibles a las personas; y el aumento de la tasa de participación de las personas en el mercado de trabajo; </w:t>
      </w:r>
    </w:p>
    <w:p w14:paraId="6C6B56A0" w14:textId="0A7C0CC0"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El Consejo Nativo de Nueva Escocia está ejecutando un programa de divulgación denominado Programa de Apoyo a la Formación y el Empleo de los Beneficiarios de Asistencia Social, en cuyo marco se ofrecen servicios de apoyo a largo plazo a la población aborigen de Nueva Escocia, residente tanto en zonas rurales y urbanas como fuera de las reservas, que es beneficiaria de ayudas a personas con bajos ingresos y se ve afectada por los obstáculos al empleo, la formación y el perfeccionamiento; </w:t>
      </w:r>
    </w:p>
    <w:p w14:paraId="6CE72B96" w14:textId="6F073F26"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El Programa de Integración Laboral de la Población Inuit y de las Primeras Naciones de Quebec ofrece subvenciones a los empleadores para ayudarles con la contratación e integración laboral de empleados pertenecientes a tales comunidades. El objetivo del Programa es contribuir a que la población inuit y de las Primeras Naciones adquiera experiencia laboral y mantenga su empleo.</w:t>
      </w:r>
    </w:p>
    <w:p w14:paraId="040E85BA" w14:textId="3C2CD9DB" w:rsidR="009C2D6C" w:rsidRPr="007E0CEF" w:rsidRDefault="009C2D6C" w:rsidP="009C2D6C">
      <w:pPr>
        <w:pStyle w:val="Bullet1G"/>
        <w:tabs>
          <w:tab w:val="num" w:pos="1701"/>
        </w:tabs>
        <w:spacing w:after="0" w:line="120" w:lineRule="exact"/>
        <w:ind w:left="1701" w:hanging="170"/>
        <w:rPr>
          <w:kern w:val="14"/>
          <w:sz w:val="10"/>
          <w:lang w:val="es-ES_tradnl"/>
        </w:rPr>
      </w:pPr>
    </w:p>
    <w:p w14:paraId="1FAE839F" w14:textId="04FC352B" w:rsidR="009C2D6C" w:rsidRPr="007E0CEF" w:rsidRDefault="009C2D6C" w:rsidP="009C2D6C">
      <w:pPr>
        <w:pStyle w:val="Bullet1G"/>
        <w:tabs>
          <w:tab w:val="num" w:pos="1701"/>
        </w:tabs>
        <w:spacing w:after="0" w:line="120" w:lineRule="exact"/>
        <w:ind w:left="1701" w:hanging="170"/>
        <w:rPr>
          <w:kern w:val="14"/>
          <w:sz w:val="10"/>
          <w:lang w:val="es-ES_tradnl"/>
        </w:rPr>
      </w:pPr>
    </w:p>
    <w:p w14:paraId="7B80163F" w14:textId="72C8E64F"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Pobreza, falta de hogar y nutrición</w:t>
      </w:r>
    </w:p>
    <w:p w14:paraId="203858D7" w14:textId="2CB4F890" w:rsidR="009C2D6C" w:rsidRPr="007E0CEF" w:rsidRDefault="009C2D6C" w:rsidP="009C2D6C">
      <w:pPr>
        <w:pStyle w:val="SingleTxt"/>
        <w:spacing w:after="0" w:line="120" w:lineRule="exact"/>
        <w:rPr>
          <w:sz w:val="10"/>
          <w:lang w:val="es-ES_tradnl"/>
        </w:rPr>
      </w:pPr>
    </w:p>
    <w:p w14:paraId="35B07897" w14:textId="4E0F0F3F" w:rsidR="009C2D6C" w:rsidRPr="007E0CEF" w:rsidRDefault="009C2D6C" w:rsidP="009C2D6C">
      <w:pPr>
        <w:pStyle w:val="SingleTxt"/>
        <w:spacing w:after="0" w:line="120" w:lineRule="exact"/>
        <w:rPr>
          <w:sz w:val="10"/>
          <w:lang w:val="es-ES_tradnl"/>
        </w:rPr>
      </w:pPr>
    </w:p>
    <w:p w14:paraId="7BE2595B" w14:textId="77777777" w:rsidR="00FA3F43" w:rsidRPr="007E0CEF" w:rsidRDefault="00FA3F43" w:rsidP="00BB0090">
      <w:pPr>
        <w:pStyle w:val="SingleTxt"/>
        <w:numPr>
          <w:ilvl w:val="0"/>
          <w:numId w:val="115"/>
        </w:numPr>
        <w:ind w:left="1267"/>
        <w:rPr>
          <w:bCs/>
          <w:lang w:val="es-ES_tradnl"/>
        </w:rPr>
      </w:pPr>
      <w:r w:rsidRPr="007E0CEF">
        <w:rPr>
          <w:lang w:val="es-ES_tradnl"/>
        </w:rPr>
        <w:t xml:space="preserve">Las instancias gubernamentales del Canadá se esfuerzan por reducir el número de personas afectadas por la pobreza, la falta de hogar y la nutrición inadecuada. Entre las medidas emprendidas al respecto, cabe señalar las siguientes:  </w:t>
      </w:r>
    </w:p>
    <w:p w14:paraId="358AFC9C" w14:textId="5C9E9DA9"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2019, Columbia Británica publicó TogetherBC, la primera estrategia de reducción de la pobreza de la provincia. TogetherBC aúna las inversiones de todo el gobierno y, a lo largo de los próximos cinco años, pretende reducir la tasa de pobreza general en la provincia en un 25 % y la de pobreza infantil a la mitad. Los esfuerzos se centrarán en 13 grupos de población, entre los que se hallan los pueblos indígenas, las personas de edad, las mujeres, las personas lesbianas, gais, bisexuales, transgénero, </w:t>
      </w:r>
      <w:r w:rsidR="00FA3F43" w:rsidRPr="007E0CEF">
        <w:rPr>
          <w:i/>
          <w:iCs/>
          <w:kern w:val="14"/>
          <w:lang w:val="es-ES_tradnl"/>
        </w:rPr>
        <w:t>queer</w:t>
      </w:r>
      <w:r w:rsidR="00FA3F43" w:rsidRPr="007E0CEF">
        <w:rPr>
          <w:kern w:val="14"/>
          <w:lang w:val="es-ES_tradnl"/>
        </w:rPr>
        <w:t xml:space="preserve"> y biespirituales, las personas recién llegadas y las residentes en comunidades rurales;</w:t>
      </w:r>
    </w:p>
    <w:p w14:paraId="3009AC96" w14:textId="17A6F61A"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2019, Manitoba puso en marcha la iniciativa Vías hacia un Futuro Mejor: Estrategia de Reducción de la Pobreza de Manitoba, que constituye una estrategia plurianual de </w:t>
      </w:r>
      <w:r w:rsidR="00FA3F43" w:rsidRPr="007E0CEF">
        <w:rPr>
          <w:kern w:val="14"/>
          <w:lang w:val="es-ES_tradnl"/>
        </w:rPr>
        <w:lastRenderedPageBreak/>
        <w:t xml:space="preserve">todo el gobierno. El objetivo principal de dicha estrategia es reducir la tasa de pobreza infantil en un 25 % con respecto a la base de referencia de 2015 de aquí a 2025. La estrategia establece 13 indicadores de seguimiento de progresos en las esferas íntimamente relacionadas con la pobreza, como el empleo, la educación, la adquisición de competencias, la formación, el cuidado infantil, el bienestar infantil, la salud, la vivienda y la desigualdad de los ingresos; </w:t>
      </w:r>
    </w:p>
    <w:p w14:paraId="7E2ECE01" w14:textId="6A7C6BD1"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El Programa de Garantía de Ingresos por Discapacidad de Saskatchewan constituye un programa de apoyo financiero destinado a personas con una discapacidad considerable y duradera que ofrece a dichas personas una gama más amplia de alternativas dignas de prestación de servicios y participación en su comunidad; </w:t>
      </w:r>
    </w:p>
    <w:p w14:paraId="64A2028F" w14:textId="376D20E4"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La Estrategia del Gobierno del Canadá relativa a las Personas Sin Hogar Reaching Home (Llegar a Casa) es un programa comunitario destinado a prevenir y reducir el número de personas sin hogar en todo el territorio del Canadá. Dicho programa proporciona financiación a las comunidades urbanas, indígenas, rurales y remotas para ayudarles a abordar sus necesidades locales a la hora de atender a las personas sin hogar;</w:t>
      </w:r>
    </w:p>
    <w:p w14:paraId="36490E14" w14:textId="5DB0F5C6"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El Programa de Cupones de Nutrición Canjeables en Mercados Agrícolas de Columbia Británica ofrece cupones a mujeres embarazadas, familias con hijos y personas mayores con bajos ingresos para comprar determinados alimentos en los mercados agrícolas locales. Los beneficiarios del programa reciben 21 dólares en cupones por semana durante 16 semanas. En 2019 se acogieron al programa 4.400 mujeres en total;</w:t>
      </w:r>
    </w:p>
    <w:p w14:paraId="2BADDED9" w14:textId="6DC056A9"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Terranova y Labrador, la ampliación del acceso a alimentos saludables constituye una prioridad permanente centrada en ofrecer soluciones a largo plazo a través de iniciativas y alianzas con las comunidades que reduzcan y mitiguen la pobreza, por ejemplo, desgravaciones fiscales, programas que faciliten el acceso de las familias a alimentos saludables y alternativas de transporte asequibles; </w:t>
      </w:r>
    </w:p>
    <w:p w14:paraId="484AEC8B" w14:textId="455D1B47"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El Programa de Ayuda a Personas con Bajos Ingresos de los Territorios del Noroeste otorga un importe fijo para sufragar alimentos, alojamiento y servicios públicos, así como para satisfacer otras necesidades, por ejemplo, el afrontamiento de imprevistos, la adquisición de ropa, la garantía de subsidios a personas mayores y con discapacidad, el cuidado infantil, la compra de muebles y el acceso a asistencia educativa, en función de los ingresos del hogar, el tamaño de la familia y la comunidad. </w:t>
      </w:r>
    </w:p>
    <w:p w14:paraId="7D6175CC" w14:textId="45FB630C" w:rsidR="00FA3F43" w:rsidRPr="007E0CEF" w:rsidRDefault="00FA3F43" w:rsidP="00BB0090">
      <w:pPr>
        <w:pStyle w:val="SingleTxt"/>
        <w:numPr>
          <w:ilvl w:val="0"/>
          <w:numId w:val="115"/>
        </w:numPr>
        <w:ind w:left="1267"/>
        <w:rPr>
          <w:lang w:val="es-ES_tradnl"/>
        </w:rPr>
      </w:pPr>
      <w:r w:rsidRPr="007E0CEF">
        <w:rPr>
          <w:lang w:val="es-ES_tradnl"/>
        </w:rPr>
        <w:t>En el anexo 3 se resumen los datos relativos a las mujeres que viven por debajo del umbral oficial de pobreza desglosados por provincias.</w:t>
      </w:r>
    </w:p>
    <w:p w14:paraId="5813ABBC" w14:textId="05B0261D" w:rsidR="009C2D6C" w:rsidRPr="007E0CEF" w:rsidRDefault="009C2D6C" w:rsidP="009C2D6C">
      <w:pPr>
        <w:pStyle w:val="SingleTxt"/>
        <w:spacing w:after="0" w:line="120" w:lineRule="exact"/>
        <w:rPr>
          <w:sz w:val="10"/>
          <w:lang w:val="es-ES_tradnl"/>
        </w:rPr>
      </w:pPr>
    </w:p>
    <w:p w14:paraId="51B2DFB4" w14:textId="563CECEF" w:rsidR="009C2D6C" w:rsidRPr="007E0CEF" w:rsidRDefault="009C2D6C" w:rsidP="009C2D6C">
      <w:pPr>
        <w:pStyle w:val="SingleTxt"/>
        <w:spacing w:after="0" w:line="120" w:lineRule="exact"/>
        <w:rPr>
          <w:sz w:val="10"/>
          <w:lang w:val="es-ES_tradnl"/>
        </w:rPr>
      </w:pPr>
    </w:p>
    <w:p w14:paraId="1EF10321" w14:textId="781EA511" w:rsidR="00FA3F43" w:rsidRPr="007E0CEF" w:rsidRDefault="00FA3F43" w:rsidP="009C2D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Preguntas 21 y 22: Salud</w:t>
      </w:r>
    </w:p>
    <w:p w14:paraId="4AAF7031" w14:textId="476FDABF" w:rsidR="009C2D6C" w:rsidRPr="007E0CEF" w:rsidRDefault="009C2D6C" w:rsidP="009C2D6C">
      <w:pPr>
        <w:pStyle w:val="SingleTxt"/>
        <w:spacing w:after="0" w:line="120" w:lineRule="exact"/>
        <w:rPr>
          <w:sz w:val="10"/>
          <w:lang w:val="es-ES_tradnl"/>
        </w:rPr>
      </w:pPr>
    </w:p>
    <w:p w14:paraId="2927AE26" w14:textId="7250BCB2" w:rsidR="009C2D6C" w:rsidRPr="007E0CEF" w:rsidRDefault="009C2D6C" w:rsidP="009C2D6C">
      <w:pPr>
        <w:pStyle w:val="SingleTxt"/>
        <w:spacing w:after="0" w:line="120" w:lineRule="exact"/>
        <w:rPr>
          <w:sz w:val="10"/>
          <w:lang w:val="es-ES_tradnl"/>
        </w:rPr>
      </w:pPr>
    </w:p>
    <w:p w14:paraId="1F11D1BF" w14:textId="7B271BA3"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Datos sobre salud sexual</w:t>
      </w:r>
    </w:p>
    <w:p w14:paraId="265C3E71" w14:textId="3BD44334" w:rsidR="009C2D6C" w:rsidRPr="007E0CEF" w:rsidRDefault="009C2D6C" w:rsidP="009C2D6C">
      <w:pPr>
        <w:pStyle w:val="SingleTxt"/>
        <w:spacing w:after="0" w:line="120" w:lineRule="exact"/>
        <w:rPr>
          <w:sz w:val="10"/>
          <w:lang w:val="es-ES_tradnl"/>
        </w:rPr>
      </w:pPr>
    </w:p>
    <w:p w14:paraId="5922E6AC" w14:textId="2AF84AF3" w:rsidR="009C2D6C" w:rsidRPr="007E0CEF" w:rsidRDefault="009C2D6C" w:rsidP="009C2D6C">
      <w:pPr>
        <w:pStyle w:val="SingleTxt"/>
        <w:spacing w:after="0" w:line="120" w:lineRule="exact"/>
        <w:rPr>
          <w:sz w:val="10"/>
          <w:lang w:val="es-ES_tradnl"/>
        </w:rPr>
      </w:pPr>
    </w:p>
    <w:p w14:paraId="09A84E2D" w14:textId="77777777" w:rsidR="00FA3F43" w:rsidRPr="007E0CEF" w:rsidRDefault="00FA3F43" w:rsidP="00BB0090">
      <w:pPr>
        <w:pStyle w:val="SingleTxt"/>
        <w:numPr>
          <w:ilvl w:val="0"/>
          <w:numId w:val="116"/>
        </w:numPr>
        <w:ind w:left="1267"/>
        <w:rPr>
          <w:lang w:val="es-ES_tradnl"/>
        </w:rPr>
      </w:pPr>
      <w:r w:rsidRPr="007E0CEF">
        <w:rPr>
          <w:lang w:val="es-ES_tradnl"/>
        </w:rPr>
        <w:t>En 2020, la Encuesta de Salud de la Comunidad Canadiense recopiló datos relativos a una serie de preguntas relacionadas con los comportamientos sexuales, el uso de anticonceptivos y la importancia de quedarse embarazada. Los resultados de la Encuesta podrán consultarse desglosados por género, grupo de edad y otros parámetros demográficos en junio de 2021.</w:t>
      </w:r>
    </w:p>
    <w:p w14:paraId="18CBDA42" w14:textId="0F7FA8AE" w:rsidR="00FA3F43" w:rsidRPr="007E0CEF" w:rsidRDefault="00FA3F43" w:rsidP="00BB0090">
      <w:pPr>
        <w:pStyle w:val="SingleTxt"/>
        <w:numPr>
          <w:ilvl w:val="0"/>
          <w:numId w:val="116"/>
        </w:numPr>
        <w:ind w:left="1267"/>
        <w:rPr>
          <w:lang w:val="es-ES_tradnl"/>
        </w:rPr>
      </w:pPr>
      <w:r w:rsidRPr="007E0CEF">
        <w:rPr>
          <w:lang w:val="es-ES_tradnl"/>
        </w:rPr>
        <w:t xml:space="preserve">En 2019, el Gobierno del Canadá puso en marcha su Plan de Acción Quinquenal para el Control de las Infecciones de Transmisión Sexual y de Transmisión Hemática, que reafirma la determinación del país de establecer un conjunto de indicadores y metas referentes a tales tipos de infecciones para impulsar los esfuerzos orientados a la aplicación del Marco de Acción Pancanadiense en la materia y al logro de las correspondientes metas globales. La Agencia de Salud Pública del Canadá lidera el proceso de establecimiento de los indicadores y las metas del mencionado Plan en </w:t>
      </w:r>
      <w:r w:rsidRPr="007E0CEF">
        <w:rPr>
          <w:lang w:val="es-ES_tradnl"/>
        </w:rPr>
        <w:lastRenderedPageBreak/>
        <w:t>colaboración con las provincias</w:t>
      </w:r>
      <w:r w:rsidRPr="007E0CEF">
        <w:rPr>
          <w:vertAlign w:val="superscript"/>
          <w:lang w:val="es-ES_tradnl"/>
        </w:rPr>
        <w:footnoteReference w:id="13"/>
      </w:r>
      <w:r w:rsidRPr="007E0CEF">
        <w:rPr>
          <w:lang w:val="es-ES_tradnl"/>
        </w:rPr>
        <w:t xml:space="preserve">, los territorios, las organizaciones indígenas nacionales y las principales partes interesadas, proceso que abarca el establecimiento de indicadores y metas referentes a la educación en materia de salud sexual. </w:t>
      </w:r>
      <w:bookmarkStart w:id="30" w:name="_Hlk98926160"/>
      <w:bookmarkEnd w:id="30"/>
    </w:p>
    <w:p w14:paraId="2F76E46B" w14:textId="7F25A21A" w:rsidR="009C2D6C" w:rsidRPr="007E0CEF" w:rsidRDefault="009C2D6C" w:rsidP="009C2D6C">
      <w:pPr>
        <w:pStyle w:val="SingleTxt"/>
        <w:spacing w:after="0" w:line="120" w:lineRule="exact"/>
        <w:rPr>
          <w:sz w:val="10"/>
          <w:lang w:val="es-ES_tradnl"/>
        </w:rPr>
      </w:pPr>
    </w:p>
    <w:p w14:paraId="5DB2B543" w14:textId="77777777" w:rsidR="009C2D6C" w:rsidRPr="007E0CEF" w:rsidRDefault="009C2D6C" w:rsidP="009C2D6C">
      <w:pPr>
        <w:pStyle w:val="SingleTxt"/>
        <w:spacing w:after="0" w:line="120" w:lineRule="exact"/>
        <w:rPr>
          <w:b/>
          <w:sz w:val="10"/>
          <w:lang w:val="es-ES_tradnl"/>
        </w:rPr>
      </w:pPr>
    </w:p>
    <w:p w14:paraId="5F80DB82" w14:textId="2BE0C2DA"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Servicios de aborto</w:t>
      </w:r>
    </w:p>
    <w:p w14:paraId="689FF42B" w14:textId="5B6700B1" w:rsidR="009C2D6C" w:rsidRPr="007E0CEF" w:rsidRDefault="009C2D6C" w:rsidP="009C2D6C">
      <w:pPr>
        <w:pStyle w:val="SingleTxt"/>
        <w:spacing w:after="0" w:line="120" w:lineRule="exact"/>
        <w:rPr>
          <w:sz w:val="10"/>
          <w:lang w:val="es-ES_tradnl"/>
        </w:rPr>
      </w:pPr>
    </w:p>
    <w:p w14:paraId="199275CC" w14:textId="22BDD160" w:rsidR="009C2D6C" w:rsidRPr="007E0CEF" w:rsidRDefault="009C2D6C" w:rsidP="009C2D6C">
      <w:pPr>
        <w:pStyle w:val="SingleTxt"/>
        <w:spacing w:after="0" w:line="120" w:lineRule="exact"/>
        <w:rPr>
          <w:sz w:val="10"/>
          <w:lang w:val="es-ES_tradnl"/>
        </w:rPr>
      </w:pPr>
    </w:p>
    <w:p w14:paraId="6D71F9A4" w14:textId="77777777" w:rsidR="00FA3F43" w:rsidRPr="007E0CEF" w:rsidRDefault="00FA3F43" w:rsidP="00BB0090">
      <w:pPr>
        <w:pStyle w:val="SingleTxt"/>
        <w:numPr>
          <w:ilvl w:val="0"/>
          <w:numId w:val="117"/>
        </w:numPr>
        <w:ind w:left="1267"/>
        <w:rPr>
          <w:lang w:val="es-ES_tradnl"/>
        </w:rPr>
      </w:pPr>
      <w:r w:rsidRPr="007E0CEF">
        <w:rPr>
          <w:lang w:val="es-ES_tradnl"/>
        </w:rPr>
        <w:t>Los servicios de aborto quirúrgico se consideran necesarios desde el punto de vista médico y están garantizados en todas las provincias y territorios. La disponibilidad de servicios de aborto quirúrgico es variable a nivel nacional y, en muchos casos, también dentro de las provincias y territorios, lo que se traduce en la posibilidad de que las pacientes tengan que desplazarse para acceder a tales servicios. Los abortos medicamentosos constituyen un servicio disponible en todas las jurisdicciones con plena cobertura, aunque algunas canadienses han señalado la dificultad de encontrar médicos dispuestos a recetar Mifegymiso, especialmente en las zonas rurales y remotas. En 2017, el Ministerio de Salud del Canadá redujo las restricciones para recetar Mifegymiso, garantizando su disponibilidad en fases más tardías del período de gestación y aumentando el número de profesionales médicos capaces de recetarlo. En un estudio de la Universidad de Columbia Británica publicado en septiembre de 2020 se indica que este cambio de política ha ampliado considerablemente el acceso a los servicios de aborto en el Canadá.</w:t>
      </w:r>
    </w:p>
    <w:p w14:paraId="48830C9A" w14:textId="57F7C6E7" w:rsidR="00FA3F43" w:rsidRPr="007E0CEF" w:rsidRDefault="00FA3F43" w:rsidP="00BB0090">
      <w:pPr>
        <w:pStyle w:val="SingleTxt"/>
        <w:numPr>
          <w:ilvl w:val="0"/>
          <w:numId w:val="117"/>
        </w:numPr>
        <w:ind w:left="1267"/>
        <w:rPr>
          <w:lang w:val="es-ES_tradnl"/>
        </w:rPr>
      </w:pPr>
      <w:r w:rsidRPr="007E0CEF">
        <w:rPr>
          <w:lang w:val="es-ES_tradnl"/>
        </w:rPr>
        <w:t>En julio de 2019, la Ministra de Salud del Gobierno del Canadá escribió una carta a todos los jefes de gobierno provinciales y territoriales pidiéndoles que eliminasen los obstáculos y las demoras en el acceso a los servicios de aborto y señaló que negarse a financiar los abortos en las clínicas violaba las disposiciones de la Ley de Salud del Canadá.</w:t>
      </w:r>
    </w:p>
    <w:p w14:paraId="579669BA" w14:textId="4062EE4B" w:rsidR="009C2D6C" w:rsidRPr="007E0CEF" w:rsidRDefault="009C2D6C" w:rsidP="009C2D6C">
      <w:pPr>
        <w:pStyle w:val="SingleTxt"/>
        <w:spacing w:after="0" w:line="120" w:lineRule="exact"/>
        <w:rPr>
          <w:sz w:val="10"/>
          <w:lang w:val="es-ES_tradnl"/>
        </w:rPr>
      </w:pPr>
    </w:p>
    <w:p w14:paraId="2E5C9867" w14:textId="314F6323" w:rsidR="009C2D6C" w:rsidRPr="007E0CEF" w:rsidRDefault="009C2D6C" w:rsidP="009C2D6C">
      <w:pPr>
        <w:pStyle w:val="SingleTxt"/>
        <w:spacing w:after="0" w:line="120" w:lineRule="exact"/>
        <w:rPr>
          <w:sz w:val="10"/>
          <w:lang w:val="es-ES_tradnl"/>
        </w:rPr>
      </w:pPr>
    </w:p>
    <w:p w14:paraId="66874BE1" w14:textId="4F5A7BA6"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 xml:space="preserve">Acceso a servicios de apoyo </w:t>
      </w:r>
    </w:p>
    <w:p w14:paraId="5D466060" w14:textId="6FEC313E" w:rsidR="009C2D6C" w:rsidRPr="007E0CEF" w:rsidRDefault="009C2D6C" w:rsidP="009C2D6C">
      <w:pPr>
        <w:pStyle w:val="SingleTxt"/>
        <w:spacing w:after="0" w:line="120" w:lineRule="exact"/>
        <w:rPr>
          <w:sz w:val="10"/>
          <w:lang w:val="es-ES_tradnl"/>
        </w:rPr>
      </w:pPr>
    </w:p>
    <w:p w14:paraId="532A06B7" w14:textId="0E50899A" w:rsidR="009C2D6C" w:rsidRPr="007E0CEF" w:rsidRDefault="009C2D6C" w:rsidP="009C2D6C">
      <w:pPr>
        <w:pStyle w:val="SingleTxt"/>
        <w:spacing w:after="0" w:line="120" w:lineRule="exact"/>
        <w:rPr>
          <w:sz w:val="10"/>
          <w:lang w:val="es-ES_tradnl"/>
        </w:rPr>
      </w:pPr>
    </w:p>
    <w:p w14:paraId="6F76F211" w14:textId="77777777" w:rsidR="00FA3F43" w:rsidRPr="007E0CEF" w:rsidRDefault="00FA3F43" w:rsidP="00BB0090">
      <w:pPr>
        <w:pStyle w:val="SingleTxt"/>
        <w:numPr>
          <w:ilvl w:val="0"/>
          <w:numId w:val="118"/>
        </w:numPr>
        <w:ind w:left="1267"/>
        <w:rPr>
          <w:lang w:val="es-ES_tradnl"/>
        </w:rPr>
      </w:pPr>
      <w:r w:rsidRPr="007E0CEF">
        <w:rPr>
          <w:lang w:val="es-ES_tradnl"/>
        </w:rPr>
        <w:t xml:space="preserve">Los gobiernos provinciales y territoriales ofrecen a las personas con discapacidad acceso a servicios de apoyo. He aquí algunos ejemplos: </w:t>
      </w:r>
    </w:p>
    <w:p w14:paraId="413175A1" w14:textId="322BE435"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En Columbia Británica, los programas y servicios para personas con discapacidad se ofertan a través del gobierno, los organismos de la corona y las empresas. La cobertura de los apoyos y servicios sanitarios abarca lo siguiente: servicios de salud mental; disponibilidad de alternativas de apoyo para la vida independiente; y atención domiciliaria y comunitaria;</w:t>
      </w:r>
    </w:p>
    <w:p w14:paraId="217A7A48" w14:textId="66721659"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los Territorios del Noroeste, los servicios relacionados con la salud de las personas con discapacidad engloban lo siguiente: acceso </w:t>
      </w:r>
      <w:r w:rsidR="00FA3F43" w:rsidRPr="007E0CEF">
        <w:rPr>
          <w:i/>
          <w:iCs/>
          <w:kern w:val="14"/>
          <w:lang w:val="es-ES_tradnl"/>
        </w:rPr>
        <w:t>in situ</w:t>
      </w:r>
      <w:r w:rsidR="00FA3F43" w:rsidRPr="007E0CEF">
        <w:rPr>
          <w:kern w:val="14"/>
          <w:lang w:val="es-ES_tradnl"/>
        </w:rPr>
        <w:t xml:space="preserve"> a los servicios de salud mental en todas las regiones; servicios de rehabilitación, como fisioterapia, terapia ocupacional, logopedia y audiología; y atención domiciliaria y comunitaria, que proporciona a las personas cuidados de enfermería y ayuda para el cuidado personal, así como para las actividades de la vida diaria;</w:t>
      </w:r>
    </w:p>
    <w:p w14:paraId="72B1D8FF" w14:textId="12E6DE5D"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Los mecanismos de apoyo del Programa AccessAbility de la isla del Príncipe Eduardo ofrecen a las personas con discapacidad y sus familias acceso a las herramientas personalizadas y de empoderamiento necesarias para que desarrollen plenamente su potencial. Las personas interesadas en dicho apoyo pueden reunirse con un miembro del personal que evaluará la repercusión de la discapacidad en su vida diaria y la manera en que el Programa puede ayudarlas a atender sus necesidades. </w:t>
      </w:r>
    </w:p>
    <w:p w14:paraId="2BDE9B5C" w14:textId="145CBF03"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lastRenderedPageBreak/>
        <w:tab/>
      </w:r>
      <w:r w:rsidRPr="007E0CEF">
        <w:rPr>
          <w:lang w:val="es-ES_tradnl"/>
        </w:rPr>
        <w:tab/>
        <w:t>Esterilización forzada y bajo coacción</w:t>
      </w:r>
    </w:p>
    <w:p w14:paraId="45189F12" w14:textId="5C9B4C3B" w:rsidR="009C2D6C" w:rsidRPr="007E0CEF" w:rsidRDefault="009C2D6C" w:rsidP="009C2D6C">
      <w:pPr>
        <w:pStyle w:val="SingleTxt"/>
        <w:spacing w:after="0" w:line="120" w:lineRule="exact"/>
        <w:rPr>
          <w:sz w:val="10"/>
          <w:lang w:val="es-ES_tradnl"/>
        </w:rPr>
      </w:pPr>
    </w:p>
    <w:p w14:paraId="4CC85357" w14:textId="3C321DA0" w:rsidR="009C2D6C" w:rsidRPr="007E0CEF" w:rsidRDefault="009C2D6C" w:rsidP="009C2D6C">
      <w:pPr>
        <w:pStyle w:val="SingleTxt"/>
        <w:spacing w:after="0" w:line="120" w:lineRule="exact"/>
        <w:rPr>
          <w:sz w:val="10"/>
          <w:lang w:val="es-ES_tradnl"/>
        </w:rPr>
      </w:pPr>
    </w:p>
    <w:p w14:paraId="15FAE17B" w14:textId="77777777" w:rsidR="00FA3F43" w:rsidRPr="007E0CEF" w:rsidRDefault="00FA3F43" w:rsidP="00BB0090">
      <w:pPr>
        <w:pStyle w:val="SingleTxt"/>
        <w:numPr>
          <w:ilvl w:val="0"/>
          <w:numId w:val="119"/>
        </w:numPr>
        <w:ind w:left="1267"/>
        <w:rPr>
          <w:iCs/>
          <w:lang w:val="es-ES_tradnl"/>
        </w:rPr>
      </w:pPr>
      <w:r w:rsidRPr="007E0CEF">
        <w:rPr>
          <w:lang w:val="es-ES_tradnl"/>
        </w:rPr>
        <w:t>Actualmente se desconoce la magnitud y el alcance de la esterilización forzada y bajo coacción. Los sistemas sanitarios de las provincias y territorios (a excepción de Saskatchewan) no hacen un seguimiento de la etnia de las pacientes, y la Oficina de Estadística del Canadá no recopila información sobre la esterilización forzada a través de sus encuestas de salud. No obstante, desde octubre de 2017, se han emprendido diversas acciones legales contra el Canadá por parte de mujeres afectadas por esta práctica.</w:t>
      </w:r>
    </w:p>
    <w:p w14:paraId="54A8E2FB" w14:textId="77777777" w:rsidR="00FA3F43" w:rsidRPr="007E0CEF" w:rsidRDefault="00FA3F43" w:rsidP="00BB0090">
      <w:pPr>
        <w:pStyle w:val="SingleTxt"/>
        <w:numPr>
          <w:ilvl w:val="0"/>
          <w:numId w:val="119"/>
        </w:numPr>
        <w:ind w:left="1267"/>
        <w:rPr>
          <w:iCs/>
          <w:lang w:val="es-ES_tradnl"/>
        </w:rPr>
      </w:pPr>
      <w:r w:rsidRPr="007E0CEF">
        <w:rPr>
          <w:lang w:val="es-ES_tradnl"/>
        </w:rPr>
        <w:t xml:space="preserve">A raíz de las consultas a las divisiones de la Real Policía Montada del Canadá (RPMC), se tuvo conocimiento de cuatro denuncias de casos de esterilización forzada. Uno de ellos se registró dentro de la jurisdicción de la RPMC y se está investigando actualmente. Los otros tres se han remitido a la jurisdicción de los servicios policiales correspondientes para su seguimiento. El personal de la RPMC recibe instrucciones específicas para atender las reclamaciones y denuncias al respecto, fomentándose una actitud compasiva y de ayuda activa hacia la presunta víctima, así como una investigación con sensibilidad cultural y comunicación y la presentación de los cargos adecuados contra el presunto autor o los presuntos autores de tales actos. </w:t>
      </w:r>
    </w:p>
    <w:p w14:paraId="6E1892F8" w14:textId="77777777" w:rsidR="00FA3F43" w:rsidRPr="007E0CEF" w:rsidRDefault="00FA3F43" w:rsidP="00BB0090">
      <w:pPr>
        <w:pStyle w:val="SingleTxt"/>
        <w:numPr>
          <w:ilvl w:val="0"/>
          <w:numId w:val="120"/>
        </w:numPr>
        <w:ind w:left="1267"/>
        <w:rPr>
          <w:iCs/>
          <w:lang w:val="es-ES_tradnl"/>
        </w:rPr>
      </w:pPr>
      <w:r w:rsidRPr="007E0CEF">
        <w:rPr>
          <w:lang w:val="es-ES_tradnl"/>
        </w:rPr>
        <w:t>En 2018, el Gobierno del Canadá creó el Comité Consultivo sobre el Bienestar de las Mujeres Indígenas, formado por representantes de organizaciones indígenas nacionales y organizaciones de mujeres indígenas, así como por diversos expertos, con el fin de orientar al departamento sobre cuestiones actuales y emergentes, incluidas las relativas a la salud sexual y reproductiva (por ejemplo, la esterilización forzada o bajo coacción).</w:t>
      </w:r>
    </w:p>
    <w:p w14:paraId="3FCB217D" w14:textId="77777777" w:rsidR="00FA3F43" w:rsidRPr="007E0CEF" w:rsidRDefault="00FA3F43" w:rsidP="00BB0090">
      <w:pPr>
        <w:pStyle w:val="SingleTxt"/>
        <w:numPr>
          <w:ilvl w:val="0"/>
          <w:numId w:val="121"/>
        </w:numPr>
        <w:ind w:left="1267"/>
        <w:rPr>
          <w:iCs/>
          <w:lang w:val="es-ES_tradnl"/>
        </w:rPr>
      </w:pPr>
      <w:r w:rsidRPr="007E0CEF">
        <w:rPr>
          <w:lang w:val="es-ES_tradnl"/>
        </w:rPr>
        <w:t>Para aumentar la seguridad cultural y la calidad del servicio, el Gobierno del Canadá está invirtiendo en servicios de apoyo orientados a garantizar embarazos y partos saludables; invirtiendo por primera vez en atención obstétrica en las comunidades inuit y de las Primeras Naciones; y recibiendo orientación del Comité Consultivo sobre las Mujeres Indígenas. El departamento en cuestión ayudó a organizar un foro nacional sobre el consentimiento informado y la posibilidad de elección en los servicios de salud prestados a las mujeres indígenas (celebrado por el Centro Nacional de Colaboración en materia de Salud de la Población Indígena en enero de 2020) y está apoyando a las organizaciones nacionales de mujeres indígenas en la elaboración de productos informativos sobre dicho consentimiento orientados a las mujeres a las que atienden.</w:t>
      </w:r>
    </w:p>
    <w:p w14:paraId="6ED099BD" w14:textId="1129E35A" w:rsidR="00FA3F43" w:rsidRPr="007E0CEF" w:rsidRDefault="00FA3F43" w:rsidP="00BB0090">
      <w:pPr>
        <w:pStyle w:val="SingleTxt"/>
        <w:numPr>
          <w:ilvl w:val="0"/>
          <w:numId w:val="122"/>
        </w:numPr>
        <w:ind w:left="1267"/>
        <w:rPr>
          <w:iCs/>
          <w:lang w:val="es-ES_tradnl"/>
        </w:rPr>
      </w:pPr>
      <w:r w:rsidRPr="007E0CEF">
        <w:rPr>
          <w:lang w:val="es-ES_tradnl"/>
        </w:rPr>
        <w:t>Para obtener información más detallada, véase el informe provisional del Canadá elaborado en el marco del seguimiento de la comparecencia del país ante el Comité contra la Tortura (</w:t>
      </w:r>
      <w:hyperlink r:id="rId17" w:history="1">
        <w:r w:rsidRPr="001310EC">
          <w:rPr>
            <w:rStyle w:val="Hyperlink"/>
            <w:lang w:val="es-ES_tradnl"/>
          </w:rPr>
          <w:t>CAT/C/CAN/FCO/7</w:t>
        </w:r>
      </w:hyperlink>
      <w:r w:rsidRPr="007E0CEF">
        <w:rPr>
          <w:lang w:val="es-ES_tradnl"/>
        </w:rPr>
        <w:t>).</w:t>
      </w:r>
    </w:p>
    <w:p w14:paraId="5B96B3BC" w14:textId="3F7A123B" w:rsidR="009C2D6C" w:rsidRPr="007E0CEF" w:rsidRDefault="009C2D6C" w:rsidP="009C2D6C">
      <w:pPr>
        <w:pStyle w:val="SingleTxt"/>
        <w:spacing w:after="0" w:line="120" w:lineRule="exact"/>
        <w:rPr>
          <w:sz w:val="10"/>
          <w:lang w:val="es-ES_tradnl"/>
        </w:rPr>
      </w:pPr>
    </w:p>
    <w:p w14:paraId="491A4098" w14:textId="0F2CD4EC" w:rsidR="009C2D6C" w:rsidRPr="007E0CEF" w:rsidRDefault="009C2D6C" w:rsidP="009C2D6C">
      <w:pPr>
        <w:pStyle w:val="SingleTxt"/>
        <w:spacing w:after="0" w:line="120" w:lineRule="exact"/>
        <w:rPr>
          <w:iCs/>
          <w:sz w:val="10"/>
          <w:lang w:val="es-ES_tradnl"/>
        </w:rPr>
      </w:pPr>
    </w:p>
    <w:p w14:paraId="53A6E5FD" w14:textId="4EDB525D"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Tasa de infección por el VIH</w:t>
      </w:r>
    </w:p>
    <w:p w14:paraId="4EF3980B" w14:textId="721CCB2A" w:rsidR="009C2D6C" w:rsidRPr="007E0CEF" w:rsidRDefault="009C2D6C" w:rsidP="009C2D6C">
      <w:pPr>
        <w:pStyle w:val="SingleTxt"/>
        <w:spacing w:after="0" w:line="120" w:lineRule="exact"/>
        <w:rPr>
          <w:sz w:val="10"/>
          <w:lang w:val="es-ES_tradnl"/>
        </w:rPr>
      </w:pPr>
    </w:p>
    <w:p w14:paraId="55AAFD0C" w14:textId="1BBA99B1" w:rsidR="009C2D6C" w:rsidRPr="007E0CEF" w:rsidRDefault="009C2D6C" w:rsidP="009C2D6C">
      <w:pPr>
        <w:pStyle w:val="SingleTxt"/>
        <w:spacing w:after="0" w:line="120" w:lineRule="exact"/>
        <w:rPr>
          <w:sz w:val="10"/>
          <w:lang w:val="es-ES_tradnl"/>
        </w:rPr>
      </w:pPr>
    </w:p>
    <w:p w14:paraId="44D1FE57" w14:textId="5976BBFB" w:rsidR="00FA3F43" w:rsidRPr="007E0CEF" w:rsidRDefault="00FA3F43" w:rsidP="00BB0090">
      <w:pPr>
        <w:pStyle w:val="SingleTxt"/>
        <w:numPr>
          <w:ilvl w:val="0"/>
          <w:numId w:val="123"/>
        </w:numPr>
        <w:ind w:left="1267"/>
        <w:rPr>
          <w:iCs/>
          <w:lang w:val="es-ES_tradnl"/>
        </w:rPr>
      </w:pPr>
      <w:r w:rsidRPr="007E0CEF">
        <w:rPr>
          <w:lang w:val="es-ES_tradnl"/>
        </w:rPr>
        <w:t xml:space="preserve">En 2018, la tasa de infección por el VIH entre la población femenina del Canadá ascendía a 3,5 casos por cada 100.000 habitantes, registrándose 645 casos nuevos de dicha infección en ese grupo de población. </w:t>
      </w:r>
    </w:p>
    <w:p w14:paraId="3B1683FF" w14:textId="69D2921E" w:rsidR="009C2D6C" w:rsidRPr="007E0CEF" w:rsidRDefault="009C2D6C" w:rsidP="009C2D6C">
      <w:pPr>
        <w:pStyle w:val="SingleTxt"/>
        <w:spacing w:after="0" w:line="120" w:lineRule="exact"/>
        <w:rPr>
          <w:sz w:val="10"/>
          <w:lang w:val="es-ES_tradnl"/>
        </w:rPr>
      </w:pPr>
    </w:p>
    <w:p w14:paraId="4E3C89D9" w14:textId="03813AD4" w:rsidR="009C2D6C" w:rsidRPr="007E0CEF" w:rsidRDefault="009C2D6C" w:rsidP="009C2D6C">
      <w:pPr>
        <w:pStyle w:val="SingleTxt"/>
        <w:spacing w:after="0" w:line="120" w:lineRule="exact"/>
        <w:rPr>
          <w:iCs/>
          <w:sz w:val="10"/>
          <w:lang w:val="es-ES_tradnl"/>
        </w:rPr>
      </w:pPr>
    </w:p>
    <w:p w14:paraId="47172ADE" w14:textId="77777777" w:rsidR="00FA3F43" w:rsidRPr="007E0CEF" w:rsidRDefault="00FA3F43" w:rsidP="009C2D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lastRenderedPageBreak/>
        <w:tab/>
      </w:r>
      <w:r w:rsidRPr="007E0CEF">
        <w:rPr>
          <w:lang w:val="es-ES_tradnl"/>
        </w:rPr>
        <w:tab/>
        <w:t>Pregunta 23: Grupos desfavorecidos de mujeres</w:t>
      </w:r>
    </w:p>
    <w:p w14:paraId="3D721C9D" w14:textId="77777777" w:rsidR="009C2D6C" w:rsidRPr="007E0CEF" w:rsidRDefault="009C2D6C" w:rsidP="009C2D6C">
      <w:pPr>
        <w:pStyle w:val="SingleTxt"/>
        <w:keepNext/>
        <w:keepLines/>
        <w:spacing w:after="0" w:line="120" w:lineRule="exact"/>
        <w:rPr>
          <w:b/>
          <w:sz w:val="10"/>
          <w:lang w:val="es-ES_tradnl"/>
        </w:rPr>
      </w:pPr>
    </w:p>
    <w:p w14:paraId="40732455" w14:textId="77777777" w:rsidR="009C2D6C" w:rsidRPr="007E0CEF" w:rsidRDefault="009C2D6C" w:rsidP="009C2D6C">
      <w:pPr>
        <w:pStyle w:val="SingleTxt"/>
        <w:keepNext/>
        <w:keepLines/>
        <w:spacing w:after="0" w:line="120" w:lineRule="exact"/>
        <w:rPr>
          <w:b/>
          <w:sz w:val="10"/>
          <w:lang w:val="es-ES_tradnl"/>
        </w:rPr>
      </w:pPr>
    </w:p>
    <w:p w14:paraId="5ED469A1" w14:textId="06CF36DC"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Garantía de acceso real al empleo, la salud, la educación y la vivienda y de la participación en la vida política y pública</w:t>
      </w:r>
    </w:p>
    <w:p w14:paraId="37E6E430" w14:textId="2FCCE160" w:rsidR="009C2D6C" w:rsidRPr="007E0CEF" w:rsidRDefault="009C2D6C" w:rsidP="009C2D6C">
      <w:pPr>
        <w:pStyle w:val="SingleTxt"/>
        <w:keepNext/>
        <w:keepLines/>
        <w:spacing w:after="0" w:line="120" w:lineRule="exact"/>
        <w:rPr>
          <w:sz w:val="10"/>
          <w:lang w:val="es-ES_tradnl"/>
        </w:rPr>
      </w:pPr>
    </w:p>
    <w:p w14:paraId="61EEF4D8" w14:textId="2733DB8F" w:rsidR="009C2D6C" w:rsidRPr="007E0CEF" w:rsidRDefault="009C2D6C" w:rsidP="009C2D6C">
      <w:pPr>
        <w:pStyle w:val="SingleTxt"/>
        <w:keepNext/>
        <w:keepLines/>
        <w:spacing w:after="0" w:line="120" w:lineRule="exact"/>
        <w:rPr>
          <w:sz w:val="10"/>
          <w:lang w:val="es-ES_tradnl"/>
        </w:rPr>
      </w:pPr>
    </w:p>
    <w:p w14:paraId="15E51D4F" w14:textId="77777777" w:rsidR="00FA3F43" w:rsidRPr="007E0CEF" w:rsidRDefault="00FA3F43" w:rsidP="00BB0090">
      <w:pPr>
        <w:pStyle w:val="SingleTxt"/>
        <w:keepNext/>
        <w:keepLines/>
        <w:numPr>
          <w:ilvl w:val="0"/>
          <w:numId w:val="124"/>
        </w:numPr>
        <w:ind w:left="1267"/>
        <w:rPr>
          <w:lang w:val="es-ES_tradnl"/>
        </w:rPr>
      </w:pPr>
      <w:r w:rsidRPr="007E0CEF">
        <w:rPr>
          <w:lang w:val="es-ES_tradnl"/>
        </w:rPr>
        <w:t>A continuación se enumeran ejemplos de las medidas adoptadas por el Gobierno federal y los gobiernos provinciales y territoriales para ayudar a los grupos infrarrepresentados de mujeres a acceder al empleo, la salud, la educación y la vivienda, así como a participar en la vida política y pública:</w:t>
      </w:r>
    </w:p>
    <w:p w14:paraId="11A20EAF" w14:textId="4091B2B7"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El Departamento de Inmigración, Refugiados y Ciudadanía del Canadá puso en marcha en diciembre de 2018 el Programa Piloto para Mujeres Racializadas Recién Llegadas (anteriormente denominado Programa Piloto para Mujeres Recién Llegadas Pertenecientes a Minorías Visibles) con el fin de brindar un apoyo orientado a mejorar los resultados de empleo e impulsar la promoción profesional de las mujeres racializadas recién llegadas en el país mediante la prestación de servicios de asentamiento especializados. El mencionado Programa Piloto sigue contribuyendo a aumentar las oportunidades de participación plena y en igualdad de condiciones en la economía de las mujeres racializadas tanto recién llegadas como refugiadas;</w:t>
      </w:r>
    </w:p>
    <w:p w14:paraId="1119FEC8" w14:textId="733118C6"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El Programa de Ayuda a la Empleabilidad de las Personas con Discapacidad de Manitoba ofrece una amplia gama de servicios centrados en el empleo que ayudan a las personas adultas con discapacidad a prepararse para acceder a un puesto de trabajo, conseguirlo y mantenerlo. Tales servicios abarcan la orientación profesional, la evaluación, la formación y la asistencia en la preparación de currículos y entrevistas;</w:t>
      </w:r>
    </w:p>
    <w:p w14:paraId="2D5002C4" w14:textId="01BFC445"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La División de Servicios del Mercado de Trabajo del Ministerio de Inmigración y Formación Profesional de Saskatchewan cuenta con una amplia oferta de programas especializados en el mercado laboral y orientados a mejorar los resultados de empleo de los grupos marginados de población indígena y recién llegada, así como de las personas con discapacidad;</w:t>
      </w:r>
    </w:p>
    <w:p w14:paraId="7186F74F" w14:textId="57D16068"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El gobierno de Manitoba proporciona financiación básica al Centro de Recursos Arco Iris para respaldar la educación, la orientación, los servicios de biblioteca, los grupos de apoyo y los programas centrados en la juventud diseñados por y para las comunidades de personas biespirituales, lesbianas, gais, bisexuales, transgénero, </w:t>
      </w:r>
      <w:r w:rsidR="00FA3F43" w:rsidRPr="007E0CEF">
        <w:rPr>
          <w:i/>
          <w:iCs/>
          <w:kern w:val="14"/>
          <w:lang w:val="es-ES_tradnl"/>
        </w:rPr>
        <w:t>queer</w:t>
      </w:r>
      <w:r w:rsidR="00FA3F43" w:rsidRPr="007E0CEF">
        <w:rPr>
          <w:kern w:val="14"/>
          <w:lang w:val="es-ES_tradnl"/>
        </w:rPr>
        <w:t xml:space="preserve">, en proceso de cuestionamiento, intersexuales, asexuales y otras de todo el territorio de dicha provincia;  </w:t>
      </w:r>
    </w:p>
    <w:p w14:paraId="61CA974B" w14:textId="775A75F2"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El gobierno de Terranova y Labrador, junto con los gobiernos y las organizaciones indígenas, está diseñando un Sistema de Localización de Datos Administrativos de la Población Indígena para garantizar la localización exacta y exhaustiva de los registros sanitarios de dicha población. Ello permitirá tanto a las comunidades indígenas como a las instancias decisorias mejorar la planificación, ejecución y medición de la eficacia de los programas y servicios, además de realizar un seguimiento de los resultados en materia de salud de la población indígena; </w:t>
      </w:r>
    </w:p>
    <w:p w14:paraId="341B135B" w14:textId="2FCA0535"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La Estrategia de Equidad y Educación Inclusiva de Ontario pretende ayudar a la comunidad educativa a detectar y eliminar los sesgos discriminatorios y los obstáculos sistémicos para contribuir a aumentar el rendimiento académico y el bienestar de los estudiantes. Dicha Estrategia tiene como objetivo promover la educación inclusiva, así como comprender, detectar y eliminar los sesgos, los obstáculos y las dinámicas de poder que limitan las opciones de los estudiantes para aprender, crecer y contribuir plenamente a la sociedad;</w:t>
      </w:r>
    </w:p>
    <w:p w14:paraId="0DC24E3F" w14:textId="47029852"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 xml:space="preserve">En la Ley de Educación de Alberta se contempla específicamente el derecho de los estudiantes a contar con un entorno de aprendizaje acogedor, afectuoso, respetuoso y seguro, que respete la diversidad y fomente el sentimiento de pertenencia y una autopercepción positiva;  </w:t>
      </w:r>
    </w:p>
    <w:p w14:paraId="72408599" w14:textId="1BF67ABC" w:rsidR="00FA3F43" w:rsidRPr="007E0CEF" w:rsidRDefault="009C2D6C" w:rsidP="009C2D6C">
      <w:pPr>
        <w:pStyle w:val="Bullet1G"/>
        <w:tabs>
          <w:tab w:val="num" w:pos="1701"/>
        </w:tabs>
        <w:ind w:left="1701" w:hanging="170"/>
        <w:rPr>
          <w:kern w:val="14"/>
          <w:lang w:val="es-ES_tradnl"/>
        </w:rPr>
      </w:pPr>
      <w:r w:rsidRPr="007E0CEF">
        <w:rPr>
          <w:lang w:val="es-ES_tradnl"/>
        </w:rPr>
        <w:lastRenderedPageBreak/>
        <w:t>•</w:t>
      </w:r>
      <w:r w:rsidRPr="007E0CEF">
        <w:rPr>
          <w:lang w:val="es-ES_tradnl"/>
        </w:rPr>
        <w:tab/>
      </w:r>
      <w:r w:rsidR="00FA3F43" w:rsidRPr="007E0CEF">
        <w:rPr>
          <w:kern w:val="14"/>
          <w:lang w:val="es-ES_tradnl"/>
        </w:rPr>
        <w:t xml:space="preserve">El Programa de Concesión de Capital para la Construcción de Viviendas Destinadas a la Población Indígena de Alberta ofrece más flexibilidad y autonomía a las comunidades indígenas para construir viviendas asequibles. Esta iniciativa ayuda a las familias indígenas afectadas desproporcionadamente por la falta de vivienda y contribuye a que los pueblos indígenas residentes en los asentamientos, fuera de ellos y fuera de las reservas tengan acceso a un lugar seguro, estable y asequible que puedan considerar su hogar; </w:t>
      </w:r>
    </w:p>
    <w:p w14:paraId="3052400F" w14:textId="090B3D71" w:rsidR="00FA3F43" w:rsidRPr="007E0CEF" w:rsidRDefault="009C2D6C" w:rsidP="009C2D6C">
      <w:pPr>
        <w:pStyle w:val="Bullet1G"/>
        <w:tabs>
          <w:tab w:val="num" w:pos="1701"/>
        </w:tabs>
        <w:ind w:left="1701" w:hanging="170"/>
        <w:rPr>
          <w:kern w:val="14"/>
          <w:lang w:val="es-ES_tradnl"/>
        </w:rPr>
      </w:pPr>
      <w:r w:rsidRPr="007E0CEF">
        <w:rPr>
          <w:lang w:val="es-ES_tradnl"/>
        </w:rPr>
        <w:t>•</w:t>
      </w:r>
      <w:r w:rsidRPr="007E0CEF">
        <w:rPr>
          <w:lang w:val="es-ES_tradnl"/>
        </w:rPr>
        <w:tab/>
      </w:r>
      <w:r w:rsidR="00FA3F43" w:rsidRPr="007E0CEF">
        <w:rPr>
          <w:kern w:val="14"/>
          <w:lang w:val="es-ES_tradnl"/>
        </w:rPr>
        <w:t>Como parte de la aplicación de las medidas del Plan de Acción Gubernamental para el Desarrollo Social y Cultural de la Comunidad Inuit y de las Primeras Naciones, el gobierno de Quebec está destinando fondos a proyectos centrados en la gobernanza, el liderazgo y la participación de la población indígena.</w:t>
      </w:r>
    </w:p>
    <w:p w14:paraId="0F40BC05" w14:textId="2B02D344" w:rsidR="009C2D6C" w:rsidRPr="007E0CEF" w:rsidRDefault="009C2D6C" w:rsidP="009C2D6C">
      <w:pPr>
        <w:pStyle w:val="Bullet1G"/>
        <w:tabs>
          <w:tab w:val="num" w:pos="1701"/>
        </w:tabs>
        <w:spacing w:after="0" w:line="120" w:lineRule="exact"/>
        <w:ind w:left="1701" w:hanging="170"/>
        <w:rPr>
          <w:kern w:val="14"/>
          <w:sz w:val="10"/>
          <w:lang w:val="es-ES_tradnl"/>
        </w:rPr>
      </w:pPr>
    </w:p>
    <w:p w14:paraId="266FA39B" w14:textId="23E44B39" w:rsidR="009C2D6C" w:rsidRPr="007E0CEF" w:rsidRDefault="009C2D6C" w:rsidP="009C2D6C">
      <w:pPr>
        <w:pStyle w:val="Bullet1G"/>
        <w:tabs>
          <w:tab w:val="num" w:pos="1701"/>
        </w:tabs>
        <w:spacing w:after="0" w:line="120" w:lineRule="exact"/>
        <w:ind w:left="1701" w:hanging="170"/>
        <w:rPr>
          <w:kern w:val="14"/>
          <w:sz w:val="10"/>
          <w:lang w:val="es-ES_tradnl"/>
        </w:rPr>
      </w:pPr>
    </w:p>
    <w:p w14:paraId="5E70547E" w14:textId="4D2F059A" w:rsidR="00FA3F43" w:rsidRPr="007E0CEF" w:rsidRDefault="00FA3F43" w:rsidP="009C2D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Pregunta 24: Matrimonio y relaciones familiares</w:t>
      </w:r>
    </w:p>
    <w:p w14:paraId="1FF6B38C" w14:textId="5652CA17" w:rsidR="009C2D6C" w:rsidRPr="007E0CEF" w:rsidRDefault="009C2D6C" w:rsidP="009C2D6C">
      <w:pPr>
        <w:pStyle w:val="SingleTxt"/>
        <w:spacing w:after="0" w:line="120" w:lineRule="exact"/>
        <w:rPr>
          <w:sz w:val="10"/>
          <w:lang w:val="es-ES_tradnl"/>
        </w:rPr>
      </w:pPr>
    </w:p>
    <w:p w14:paraId="411FB217" w14:textId="77FFFF1C" w:rsidR="009C2D6C" w:rsidRPr="007E0CEF" w:rsidRDefault="009C2D6C" w:rsidP="009C2D6C">
      <w:pPr>
        <w:pStyle w:val="SingleTxt"/>
        <w:spacing w:after="0" w:line="120" w:lineRule="exact"/>
        <w:rPr>
          <w:sz w:val="10"/>
          <w:lang w:val="es-ES_tradnl"/>
        </w:rPr>
      </w:pPr>
    </w:p>
    <w:p w14:paraId="166645D6" w14:textId="7298FD31"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Reparto de bienes</w:t>
      </w:r>
    </w:p>
    <w:p w14:paraId="72364293" w14:textId="26A4F252" w:rsidR="009C2D6C" w:rsidRPr="007E0CEF" w:rsidRDefault="009C2D6C" w:rsidP="009C2D6C">
      <w:pPr>
        <w:pStyle w:val="SingleTxt"/>
        <w:spacing w:after="0" w:line="120" w:lineRule="exact"/>
        <w:rPr>
          <w:sz w:val="10"/>
          <w:lang w:val="es-ES_tradnl"/>
        </w:rPr>
      </w:pPr>
    </w:p>
    <w:p w14:paraId="20F10371" w14:textId="591DBCBF" w:rsidR="009C2D6C" w:rsidRPr="007E0CEF" w:rsidRDefault="009C2D6C" w:rsidP="009C2D6C">
      <w:pPr>
        <w:pStyle w:val="SingleTxt"/>
        <w:spacing w:after="0" w:line="120" w:lineRule="exact"/>
        <w:rPr>
          <w:sz w:val="10"/>
          <w:lang w:val="es-ES_tradnl"/>
        </w:rPr>
      </w:pPr>
    </w:p>
    <w:p w14:paraId="6C91D0F8" w14:textId="77777777" w:rsidR="00FA3F43" w:rsidRPr="007E0CEF" w:rsidRDefault="00FA3F43" w:rsidP="00BB0090">
      <w:pPr>
        <w:pStyle w:val="SingleTxt"/>
        <w:numPr>
          <w:ilvl w:val="0"/>
          <w:numId w:val="125"/>
        </w:numPr>
        <w:ind w:left="1267"/>
        <w:rPr>
          <w:lang w:val="es-ES_tradnl"/>
        </w:rPr>
      </w:pPr>
      <w:r w:rsidRPr="007E0CEF">
        <w:rPr>
          <w:lang w:val="es-ES_tradnl"/>
        </w:rPr>
        <w:t>Los gobiernos provinciales y territoriales tienen competencia constitucional sobre los bienes y, por consiguiente, sobre su reparto a raíz de la ruptura del matrimonio. La legislación provincial y territorial resulta aplicable a las parejas no casadas o de hecho, así como a las parejas casadas separadas sin divorciarse.</w:t>
      </w:r>
    </w:p>
    <w:p w14:paraId="310ABD12" w14:textId="54B0AC2B" w:rsidR="00FA3F43" w:rsidRPr="007E0CEF" w:rsidRDefault="00FA3F43" w:rsidP="00BB0090">
      <w:pPr>
        <w:pStyle w:val="SingleTxt"/>
        <w:numPr>
          <w:ilvl w:val="0"/>
          <w:numId w:val="125"/>
        </w:numPr>
        <w:ind w:left="1267"/>
        <w:rPr>
          <w:lang w:val="es-ES_tradnl"/>
        </w:rPr>
      </w:pPr>
      <w:r w:rsidRPr="007E0CEF">
        <w:rPr>
          <w:lang w:val="es-ES_tradnl"/>
        </w:rPr>
        <w:t xml:space="preserve">En el caso de Alberta, las cuestiones relativas al reparto de bienes a raíz de la separación, el divorcio o la disolución de las relaciones familiares se resuelven principalmente con arreglo a lo dispuesto en la Ley relativa al Régimen Patrimonial Familiar, que entró en vigor en 2020 en sustitución de la Ley relativa al Régimen Patrimonial del Matrimonio. La Ley relativa al Régimen Patrimonial Familiar promueve la seguridad jurídica contemplada en el derecho procesal y sustancial tanto para los cónyuges casados legalmente como para las parejas adultas interdependientes cuya relación se ha roto, lo que mejora el acceso a la justicia. </w:t>
      </w:r>
    </w:p>
    <w:p w14:paraId="18C9CBF5" w14:textId="10A243C8" w:rsidR="009C2D6C" w:rsidRPr="007E0CEF" w:rsidRDefault="009C2D6C" w:rsidP="009C2D6C">
      <w:pPr>
        <w:pStyle w:val="SingleTxt"/>
        <w:spacing w:after="0" w:line="120" w:lineRule="exact"/>
        <w:rPr>
          <w:sz w:val="10"/>
          <w:lang w:val="es-ES_tradnl"/>
        </w:rPr>
      </w:pPr>
    </w:p>
    <w:p w14:paraId="3C0F17F6" w14:textId="2A171D13" w:rsidR="009C2D6C" w:rsidRPr="007E0CEF" w:rsidRDefault="009C2D6C" w:rsidP="009C2D6C">
      <w:pPr>
        <w:pStyle w:val="SingleTxt"/>
        <w:spacing w:after="0" w:line="120" w:lineRule="exact"/>
        <w:rPr>
          <w:sz w:val="10"/>
          <w:lang w:val="es-ES_tradnl"/>
        </w:rPr>
      </w:pPr>
    </w:p>
    <w:p w14:paraId="04042280" w14:textId="7ECFF3A1"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Procesos judiciales que atañen a la infancia</w:t>
      </w:r>
    </w:p>
    <w:p w14:paraId="0AC26C0A" w14:textId="5FB77B8C" w:rsidR="009C2D6C" w:rsidRPr="007E0CEF" w:rsidRDefault="009C2D6C" w:rsidP="009C2D6C">
      <w:pPr>
        <w:pStyle w:val="SingleTxt"/>
        <w:spacing w:after="0" w:line="120" w:lineRule="exact"/>
        <w:rPr>
          <w:sz w:val="10"/>
          <w:lang w:val="es-ES_tradnl"/>
        </w:rPr>
      </w:pPr>
    </w:p>
    <w:p w14:paraId="1D0B8161" w14:textId="5D6F1FB5" w:rsidR="009C2D6C" w:rsidRPr="007E0CEF" w:rsidRDefault="009C2D6C" w:rsidP="009C2D6C">
      <w:pPr>
        <w:pStyle w:val="SingleTxt"/>
        <w:spacing w:after="0" w:line="120" w:lineRule="exact"/>
        <w:rPr>
          <w:sz w:val="10"/>
          <w:lang w:val="es-ES_tradnl"/>
        </w:rPr>
      </w:pPr>
    </w:p>
    <w:p w14:paraId="2DAC3C80" w14:textId="77777777" w:rsidR="00FA3F43" w:rsidRPr="007E0CEF" w:rsidRDefault="00FA3F43" w:rsidP="00BB0090">
      <w:pPr>
        <w:pStyle w:val="SingleTxt"/>
        <w:numPr>
          <w:ilvl w:val="0"/>
          <w:numId w:val="126"/>
        </w:numPr>
        <w:ind w:left="1267"/>
        <w:rPr>
          <w:bCs/>
          <w:lang w:val="es-ES_tradnl"/>
        </w:rPr>
      </w:pPr>
      <w:r w:rsidRPr="007E0CEF">
        <w:rPr>
          <w:lang w:val="es-ES_tradnl"/>
        </w:rPr>
        <w:t xml:space="preserve">En junio de 2019, el Parlamento del Canadá aprobó el Proyecto de Ley C-78, por el que se modifica la Ley de Divorcio, la Ley de Asistencia en la Ejecución de Órdenes y Acuerdos Familiares y la Ley de Embargo Salarial, Embargo de Bienes y Derivación de Pensiones para promover con más eficacia el interés superior del niño, abordar el problema de la violencia familiar, ayudar a reducir la pobreza infantil y aumentar la accesibilidad y la eficiencia del sistema de justicia de familia del país. Las enmiendas de la Ley de Divorcio entraron en vigor en marzo de 2021, mientras que el resto de las enmiendas lo harán a lo largo de un período de dos o tres años. </w:t>
      </w:r>
    </w:p>
    <w:p w14:paraId="4399D696" w14:textId="77777777" w:rsidR="00FA3F43" w:rsidRPr="007E0CEF" w:rsidRDefault="00FA3F43" w:rsidP="00BB0090">
      <w:pPr>
        <w:pStyle w:val="SingleTxt"/>
        <w:numPr>
          <w:ilvl w:val="0"/>
          <w:numId w:val="126"/>
        </w:numPr>
        <w:ind w:left="1267"/>
        <w:rPr>
          <w:lang w:val="es-ES_tradnl"/>
        </w:rPr>
      </w:pPr>
      <w:r w:rsidRPr="007E0CEF">
        <w:rPr>
          <w:lang w:val="es-ES_tradnl"/>
        </w:rPr>
        <w:t xml:space="preserve">Las enmiendas a la Ley de Divorcio promueven el interés superior del niño estableciendo una serie de factores específicos que los tribunales están obligados a tener en cuenta al adoptar decisiones sobre los acuerdos de guarda y custodia, atendiendo principalmente a la seguridad física, emocional y psicológica del menor. Los criterios relativos a dicho interés superior ayudarán a los tribunales a adaptar los acuerdos de guarda y custodia en función de la situación específica de cada niño. </w:t>
      </w:r>
    </w:p>
    <w:p w14:paraId="7FCA1B65" w14:textId="77777777" w:rsidR="00FA3F43" w:rsidRPr="007E0CEF" w:rsidRDefault="00FA3F43" w:rsidP="00BB0090">
      <w:pPr>
        <w:pStyle w:val="SingleTxt"/>
        <w:numPr>
          <w:ilvl w:val="0"/>
          <w:numId w:val="127"/>
        </w:numPr>
        <w:ind w:left="1267"/>
        <w:rPr>
          <w:lang w:val="es-ES_tradnl"/>
        </w:rPr>
      </w:pPr>
      <w:r w:rsidRPr="007E0CEF">
        <w:rPr>
          <w:lang w:val="es-ES_tradnl"/>
        </w:rPr>
        <w:t xml:space="preserve">El Proyecto de Ley C-78 introdujo una serie de modificaciones en la Ley de Divorcio para hacer frente al problema de la violencia familiar, entre las que figura la definición amplia del concepto de violencia familiar como una conducta violenta o amenazante, que constituye un patrón de comportamiento coercitivo y controlador, o que hace que un miembro de la familia tema por su propia seguridad o por la de otra persona. Dentro de esta definición de violencia familiar se incluye lo siguiente: el </w:t>
      </w:r>
      <w:r w:rsidRPr="007E0CEF">
        <w:rPr>
          <w:lang w:val="es-ES_tradnl"/>
        </w:rPr>
        <w:lastRenderedPageBreak/>
        <w:t xml:space="preserve">abuso físico, sexual, psicológico y financiero; las amenazas de muerte o de causar daños físicos; la desatención de las necesidades básicas, el acoso y el hostigamiento; y las amenazas de matar o causar daños a animales, o bien de causar daños a bienes, así como la materialización efectiva de tales daños. En el caso de los menores, dicha definición engloba asimismo la exposición directa o indirecta a la violencia familiar. A la hora de determinar los acuerdos de guarda y custodia, los jueces deberán tener en cuenta la repercusión de cualquier tipo de violencia familiar en el interés superior del niño. </w:t>
      </w:r>
    </w:p>
    <w:p w14:paraId="0789E8E8" w14:textId="37204779" w:rsidR="00FA3F43" w:rsidRPr="007E0CEF" w:rsidRDefault="00FA3F43" w:rsidP="00BB0090">
      <w:pPr>
        <w:pStyle w:val="SingleTxt"/>
        <w:numPr>
          <w:ilvl w:val="0"/>
          <w:numId w:val="128"/>
        </w:numPr>
        <w:ind w:left="1267"/>
        <w:rPr>
          <w:lang w:val="es-ES_tradnl"/>
        </w:rPr>
      </w:pPr>
      <w:r w:rsidRPr="007E0CEF">
        <w:rPr>
          <w:lang w:val="es-ES_tradnl"/>
        </w:rPr>
        <w:t>El 1 de marzo de 2021 se produjo la entrada en vigor de la Ley de Perfeccionamiento de la Legislación de Familia de Ontario en esta provincia. Las modificaciones incorporadas en dicha Ley simplificaron el por aquel entonces obsoleto y complejo sistema de derecho de familia, modernizando el vocabulario empleado y simplificando las vías de recurso, y cambiaron la terminología relativa a la guarda y custodia de los hijos contemplada en la Ley de Reforma de la Legislación relativa a la Infancia para armonizarla con las modificaciones introducidas en la Ley de Divorcio federal. Asimismo, se han introducido enmiendas por las que se amplían los criterios relativos al interés superior del niño que los tribunales deben tener en cuenta a la hora de dictar una orden de guarda y custodia o de establecimiento de régimen de visitas. Los tribunales han de tener en cuenta la violencia familiar y su influencia en la capacidad y voluntad de cualquier persona implicada en este tipo de actos para cuidar al menor y atender sus necesidades. Asimismo, los tribunales deben plantearse la conveniencia de dictar una orden que obligue a las personas destinatarias de su aplicación a cooperar en las cuestiones que afecten al menor. El tribunal en cuestión tendrá que atender principalmente a la seguridad física, emocional y psicológica del niño, así como a su bienestar.</w:t>
      </w:r>
    </w:p>
    <w:p w14:paraId="6C62CC43" w14:textId="25432858" w:rsidR="009C2D6C" w:rsidRPr="007E0CEF" w:rsidRDefault="009C2D6C" w:rsidP="009C2D6C">
      <w:pPr>
        <w:pStyle w:val="SingleTxt"/>
        <w:spacing w:after="0" w:line="120" w:lineRule="exact"/>
        <w:rPr>
          <w:sz w:val="10"/>
          <w:lang w:val="es-ES_tradnl"/>
        </w:rPr>
      </w:pPr>
    </w:p>
    <w:p w14:paraId="1C6F7124" w14:textId="7A543C41" w:rsidR="009C2D6C" w:rsidRPr="007E0CEF" w:rsidRDefault="009C2D6C" w:rsidP="009C2D6C">
      <w:pPr>
        <w:pStyle w:val="SingleTxt"/>
        <w:spacing w:after="0" w:line="120" w:lineRule="exact"/>
        <w:rPr>
          <w:sz w:val="10"/>
          <w:lang w:val="es-ES_tradnl"/>
        </w:rPr>
      </w:pPr>
    </w:p>
    <w:p w14:paraId="50B8BF75" w14:textId="51E93450" w:rsidR="00FA3F43" w:rsidRPr="007E0CEF" w:rsidRDefault="00FA3F43" w:rsidP="009C2D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Pregunta 25: Información adicional</w:t>
      </w:r>
    </w:p>
    <w:p w14:paraId="7A88B4AE" w14:textId="69886C52" w:rsidR="009C2D6C" w:rsidRPr="007E0CEF" w:rsidRDefault="009C2D6C" w:rsidP="009C2D6C">
      <w:pPr>
        <w:pStyle w:val="SingleTxt"/>
        <w:spacing w:after="0" w:line="120" w:lineRule="exact"/>
        <w:rPr>
          <w:sz w:val="10"/>
          <w:lang w:val="es-ES_tradnl"/>
        </w:rPr>
      </w:pPr>
    </w:p>
    <w:p w14:paraId="31B08265" w14:textId="5B873927" w:rsidR="009C2D6C" w:rsidRPr="007E0CEF" w:rsidRDefault="009C2D6C" w:rsidP="009C2D6C">
      <w:pPr>
        <w:pStyle w:val="SingleTxt"/>
        <w:spacing w:after="0" w:line="120" w:lineRule="exact"/>
        <w:rPr>
          <w:sz w:val="10"/>
          <w:lang w:val="es-ES_tradnl"/>
        </w:rPr>
      </w:pPr>
    </w:p>
    <w:p w14:paraId="5A95C7AA" w14:textId="71593FD3" w:rsidR="00FA3F43" w:rsidRPr="007E0CEF" w:rsidRDefault="00FA3F43" w:rsidP="009C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Incorporación de la perspectiva de género en las iniciativas destinadas a alcanzar los Objetivos de Desarrollo Sostenible</w:t>
      </w:r>
    </w:p>
    <w:p w14:paraId="07F2835B" w14:textId="7DA5FDB7" w:rsidR="009C2D6C" w:rsidRPr="007E0CEF" w:rsidRDefault="009C2D6C" w:rsidP="009C2D6C">
      <w:pPr>
        <w:pStyle w:val="SingleTxt"/>
        <w:spacing w:after="0" w:line="120" w:lineRule="exact"/>
        <w:rPr>
          <w:sz w:val="10"/>
          <w:lang w:val="es-ES_tradnl"/>
        </w:rPr>
      </w:pPr>
    </w:p>
    <w:p w14:paraId="64035681" w14:textId="393FE62E" w:rsidR="009C2D6C" w:rsidRPr="007E0CEF" w:rsidRDefault="009C2D6C" w:rsidP="009C2D6C">
      <w:pPr>
        <w:pStyle w:val="SingleTxt"/>
        <w:spacing w:after="0" w:line="120" w:lineRule="exact"/>
        <w:rPr>
          <w:sz w:val="10"/>
          <w:lang w:val="es-ES_tradnl"/>
        </w:rPr>
      </w:pPr>
    </w:p>
    <w:p w14:paraId="3F19AEA2" w14:textId="4B974EF2" w:rsidR="00FA3F43" w:rsidRPr="007E0CEF" w:rsidRDefault="00FA3F43" w:rsidP="00BB0090">
      <w:pPr>
        <w:pStyle w:val="SingleTxt"/>
        <w:numPr>
          <w:ilvl w:val="0"/>
          <w:numId w:val="129"/>
        </w:numPr>
        <w:ind w:left="1267"/>
        <w:rPr>
          <w:lang w:val="es-ES_tradnl"/>
        </w:rPr>
      </w:pPr>
      <w:bookmarkStart w:id="31" w:name="_Hlk102986965"/>
      <w:r w:rsidRPr="007E0CEF">
        <w:rPr>
          <w:lang w:val="es-ES_tradnl"/>
        </w:rPr>
        <w:t xml:space="preserve">A través de la Estrategia Nacional relativa a la Agenda 2030 y el correspondiente Plan Federal de Implementación, el Gobierno del Canadá ha manifestado su determinación de presentar informes anuales sobre sus avances en la consecución de los ODS, en particular el ODS 5, y está previsto que publique su primer informe en junio de 2022.  </w:t>
      </w:r>
      <w:bookmarkEnd w:id="31"/>
    </w:p>
    <w:p w14:paraId="06BC69DE" w14:textId="05362153" w:rsidR="00BB0090" w:rsidRPr="007E0CEF" w:rsidRDefault="00BB0090" w:rsidP="00BB0090">
      <w:pPr>
        <w:pStyle w:val="SingleTxt"/>
        <w:spacing w:after="0" w:line="120" w:lineRule="exact"/>
        <w:rPr>
          <w:sz w:val="10"/>
          <w:lang w:val="es-ES_tradnl"/>
        </w:rPr>
      </w:pPr>
    </w:p>
    <w:p w14:paraId="08A91F0F" w14:textId="5B1934E0" w:rsidR="00BB0090" w:rsidRPr="007E0CEF" w:rsidRDefault="00BB0090" w:rsidP="00BB0090">
      <w:pPr>
        <w:pStyle w:val="SingleTxt"/>
        <w:spacing w:after="0" w:line="120" w:lineRule="exact"/>
        <w:rPr>
          <w:sz w:val="10"/>
          <w:lang w:val="es-ES_tradnl"/>
        </w:rPr>
      </w:pPr>
    </w:p>
    <w:p w14:paraId="574D4994" w14:textId="4E69127C" w:rsidR="00FA3F43" w:rsidRPr="007E0CEF" w:rsidRDefault="00FA3F43" w:rsidP="00BB00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E0CEF">
        <w:rPr>
          <w:lang w:val="es-ES_tradnl"/>
        </w:rPr>
        <w:tab/>
      </w:r>
      <w:r w:rsidRPr="007E0CEF">
        <w:rPr>
          <w:lang w:val="es-ES_tradnl"/>
        </w:rPr>
        <w:tab/>
        <w:t>Papel del Canadá en el Foro Generación Igualdad</w:t>
      </w:r>
    </w:p>
    <w:p w14:paraId="2FF70E77" w14:textId="33F2C8E4" w:rsidR="00BB0090" w:rsidRPr="007E0CEF" w:rsidRDefault="00BB0090" w:rsidP="00BB0090">
      <w:pPr>
        <w:pStyle w:val="SingleTxt"/>
        <w:spacing w:after="0" w:line="120" w:lineRule="exact"/>
        <w:rPr>
          <w:sz w:val="10"/>
          <w:lang w:val="es-ES_tradnl"/>
        </w:rPr>
      </w:pPr>
    </w:p>
    <w:p w14:paraId="0411AE9F" w14:textId="3564AA6E" w:rsidR="00BB0090" w:rsidRPr="007E0CEF" w:rsidRDefault="00BB0090" w:rsidP="00BB0090">
      <w:pPr>
        <w:pStyle w:val="SingleTxt"/>
        <w:spacing w:after="0" w:line="120" w:lineRule="exact"/>
        <w:rPr>
          <w:sz w:val="10"/>
          <w:lang w:val="es-ES_tradnl"/>
        </w:rPr>
      </w:pPr>
    </w:p>
    <w:p w14:paraId="0FC91517" w14:textId="4B0C8C9B" w:rsidR="000B33C4" w:rsidRPr="007E0CEF" w:rsidRDefault="00FA3F43" w:rsidP="00BB0090">
      <w:pPr>
        <w:pStyle w:val="SingleTxt"/>
        <w:numPr>
          <w:ilvl w:val="0"/>
          <w:numId w:val="129"/>
        </w:numPr>
        <w:ind w:left="1267"/>
        <w:rPr>
          <w:lang w:val="es-ES_tradnl"/>
        </w:rPr>
      </w:pPr>
      <w:r w:rsidRPr="007E0CEF">
        <w:rPr>
          <w:lang w:val="es-ES_tradnl"/>
        </w:rPr>
        <w:t>El Canadá apoya plenamente la organización del Foro Generación Igualdad. El país lidera la Coalición de Acción sobre Movimientos y Liderazgo Feministas y ha asumido varios compromisos de cara a otras Coaliciones de Acción.</w:t>
      </w:r>
    </w:p>
    <w:p w14:paraId="6A106BCE" w14:textId="0781C799" w:rsidR="000B33C4" w:rsidRPr="007E0CEF" w:rsidRDefault="00F565DB" w:rsidP="000B33C4">
      <w:pPr>
        <w:pStyle w:val="SingleTxt"/>
        <w:rPr>
          <w:lang w:val="es-ES_tradnl"/>
        </w:rPr>
      </w:pPr>
      <w:r w:rsidRPr="007E0CEF">
        <w:rPr>
          <w:noProof/>
          <w:w w:val="100"/>
          <w:lang w:val="es-ES_tradnl"/>
        </w:rPr>
        <mc:AlternateContent>
          <mc:Choice Requires="wps">
            <w:drawing>
              <wp:anchor distT="0" distB="0" distL="114300" distR="114300" simplePos="0" relativeHeight="251659264" behindDoc="0" locked="0" layoutInCell="1" allowOverlap="1" wp14:anchorId="18D2FFB1" wp14:editId="4144DCB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9B0F8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0B33C4" w:rsidRPr="007E0CEF" w:rsidSect="000B33C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0T13:06:00Z" w:initials="Start">
    <w:p w14:paraId="6441D91F" w14:textId="77777777" w:rsidR="00AF0B64" w:rsidRPr="000B33C4" w:rsidRDefault="00AF0B64">
      <w:pPr>
        <w:pStyle w:val="CommentText"/>
        <w:rPr>
          <w:lang w:val="en-US"/>
        </w:rPr>
      </w:pPr>
      <w:r>
        <w:rPr>
          <w:rStyle w:val="CommentReference"/>
        </w:rPr>
        <w:annotationRef/>
      </w:r>
      <w:r w:rsidRPr="000B33C4">
        <w:rPr>
          <w:lang w:val="en-US"/>
        </w:rPr>
        <w:t>&lt;&lt;ODS JOB NO&gt;&gt;N2245654S&lt;&lt;ODS JOB NO&gt;&gt;</w:t>
      </w:r>
    </w:p>
    <w:p w14:paraId="4D336BB4" w14:textId="77777777" w:rsidR="00AF0B64" w:rsidRPr="000B33C4" w:rsidRDefault="00AF0B64">
      <w:pPr>
        <w:pStyle w:val="CommentText"/>
        <w:rPr>
          <w:lang w:val="en-US"/>
        </w:rPr>
      </w:pPr>
      <w:r w:rsidRPr="000B33C4">
        <w:rPr>
          <w:lang w:val="en-US"/>
        </w:rPr>
        <w:t>&lt;&lt;ODS DOC SYMBOL1&gt;&gt;CEDAW/C/CAN/10&lt;&lt;ODS DOC SYMBOL1&gt;&gt;</w:t>
      </w:r>
    </w:p>
    <w:p w14:paraId="48B7B261" w14:textId="77777777" w:rsidR="00AF0B64" w:rsidRDefault="00AF0B6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B7B26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775D3" w16cex:dateUtc="2022-11-10T18: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B7B261" w16cid:durableId="271775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BDD06" w14:textId="77777777" w:rsidR="001543EC" w:rsidRDefault="001543EC" w:rsidP="00101B18">
      <w:r>
        <w:separator/>
      </w:r>
    </w:p>
  </w:endnote>
  <w:endnote w:type="continuationSeparator" w:id="0">
    <w:p w14:paraId="423170ED" w14:textId="77777777" w:rsidR="001543EC" w:rsidRDefault="001543E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F0B64" w14:paraId="0E11E6CA" w14:textId="77777777" w:rsidTr="00AF0B64">
      <w:tc>
        <w:tcPr>
          <w:tcW w:w="4920" w:type="dxa"/>
          <w:shd w:val="clear" w:color="auto" w:fill="auto"/>
          <w:vAlign w:val="bottom"/>
        </w:tcPr>
        <w:p w14:paraId="41787452" w14:textId="77777777" w:rsidR="00AF0B64" w:rsidRPr="00AF0B64" w:rsidRDefault="00AF0B64" w:rsidP="00AF0B64">
          <w:pPr>
            <w:pStyle w:val="Footer"/>
            <w:rPr>
              <w:color w:val="000000"/>
            </w:rPr>
          </w:pPr>
          <w:r>
            <w:fldChar w:fldCharType="begin"/>
          </w:r>
          <w:r>
            <w:instrText xml:space="preserve"> PAGE  \* Arabic  \* MERGEFORMAT </w:instrText>
          </w:r>
          <w:r>
            <w:fldChar w:fldCharType="separate"/>
          </w:r>
          <w:r>
            <w:t>3</w:t>
          </w:r>
          <w:r>
            <w:fldChar w:fldCharType="end"/>
          </w:r>
          <w:r>
            <w:t>/</w:t>
          </w:r>
          <w:r w:rsidR="007C5EFA">
            <w:fldChar w:fldCharType="begin"/>
          </w:r>
          <w:r w:rsidR="007C5EFA">
            <w:instrText xml:space="preserve"> NUMPAGES  \* Arabic  \* MERGEFORMAT </w:instrText>
          </w:r>
          <w:r w:rsidR="007C5EFA">
            <w:fldChar w:fldCharType="separate"/>
          </w:r>
          <w:r>
            <w:t>4</w:t>
          </w:r>
          <w:r w:rsidR="007C5EFA">
            <w:fldChar w:fldCharType="end"/>
          </w:r>
        </w:p>
      </w:tc>
      <w:tc>
        <w:tcPr>
          <w:tcW w:w="4920" w:type="dxa"/>
          <w:shd w:val="clear" w:color="auto" w:fill="auto"/>
          <w:vAlign w:val="bottom"/>
        </w:tcPr>
        <w:p w14:paraId="45133CD7" w14:textId="48DF740C" w:rsidR="00AF0B64" w:rsidRPr="00AF0B64" w:rsidRDefault="00AF0B64" w:rsidP="00AF0B6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C5EFA">
            <w:rPr>
              <w:b w:val="0"/>
              <w:color w:val="000000"/>
              <w:sz w:val="14"/>
            </w:rPr>
            <w:t>22-12459</w:t>
          </w:r>
          <w:r>
            <w:rPr>
              <w:b w:val="0"/>
              <w:color w:val="000000"/>
              <w:sz w:val="14"/>
            </w:rPr>
            <w:fldChar w:fldCharType="end"/>
          </w:r>
        </w:p>
      </w:tc>
    </w:tr>
  </w:tbl>
  <w:p w14:paraId="5FCF8F53" w14:textId="77777777" w:rsidR="00AF0B64" w:rsidRPr="00AF0B64" w:rsidRDefault="00AF0B64" w:rsidP="00AF0B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F0B64" w14:paraId="2E82FD01" w14:textId="77777777" w:rsidTr="00AF0B64">
      <w:tc>
        <w:tcPr>
          <w:tcW w:w="4920" w:type="dxa"/>
          <w:shd w:val="clear" w:color="auto" w:fill="auto"/>
          <w:vAlign w:val="bottom"/>
        </w:tcPr>
        <w:p w14:paraId="5D8E9940" w14:textId="55ED718C" w:rsidR="00AF0B64" w:rsidRPr="00AF0B64" w:rsidRDefault="00AF0B64" w:rsidP="00AF0B6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C5EFA">
            <w:rPr>
              <w:b w:val="0"/>
              <w:color w:val="000000"/>
              <w:sz w:val="14"/>
            </w:rPr>
            <w:t>22-12459</w:t>
          </w:r>
          <w:r>
            <w:rPr>
              <w:b w:val="0"/>
              <w:color w:val="000000"/>
              <w:sz w:val="14"/>
            </w:rPr>
            <w:fldChar w:fldCharType="end"/>
          </w:r>
        </w:p>
      </w:tc>
      <w:tc>
        <w:tcPr>
          <w:tcW w:w="4920" w:type="dxa"/>
          <w:shd w:val="clear" w:color="auto" w:fill="auto"/>
          <w:vAlign w:val="bottom"/>
        </w:tcPr>
        <w:p w14:paraId="429A24CF" w14:textId="77777777" w:rsidR="00AF0B64" w:rsidRPr="00AF0B64" w:rsidRDefault="00AF0B64" w:rsidP="00AF0B64">
          <w:pPr>
            <w:pStyle w:val="Footer"/>
            <w:jc w:val="right"/>
          </w:pPr>
          <w:r>
            <w:fldChar w:fldCharType="begin"/>
          </w:r>
          <w:r>
            <w:instrText xml:space="preserve"> PAGE  \* Arabic  \* MERGEFORMAT </w:instrText>
          </w:r>
          <w:r>
            <w:fldChar w:fldCharType="separate"/>
          </w:r>
          <w:r>
            <w:t>2</w:t>
          </w:r>
          <w:r>
            <w:fldChar w:fldCharType="end"/>
          </w:r>
          <w:r>
            <w:t>/</w:t>
          </w:r>
          <w:r w:rsidR="007C5EFA">
            <w:fldChar w:fldCharType="begin"/>
          </w:r>
          <w:r w:rsidR="007C5EFA">
            <w:instrText xml:space="preserve"> NUMPAGES  \* Arabic  \* MERGEFORMAT </w:instrText>
          </w:r>
          <w:r w:rsidR="007C5EFA">
            <w:fldChar w:fldCharType="separate"/>
          </w:r>
          <w:r>
            <w:t>4</w:t>
          </w:r>
          <w:r w:rsidR="007C5EFA">
            <w:fldChar w:fldCharType="end"/>
          </w:r>
        </w:p>
      </w:tc>
    </w:tr>
  </w:tbl>
  <w:p w14:paraId="7230E71A" w14:textId="77777777" w:rsidR="00AF0B64" w:rsidRPr="00AF0B64" w:rsidRDefault="00AF0B64" w:rsidP="00AF0B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AF629" w14:textId="77777777" w:rsidR="00AF0B64" w:rsidRPr="00AF0B64" w:rsidRDefault="00AF0B64" w:rsidP="00AF0B64">
    <w:pPr>
      <w:pStyle w:val="Footer"/>
      <w:spacing w:line="120" w:lineRule="exact"/>
      <w:rPr>
        <w:b w:val="0"/>
        <w:sz w:val="10"/>
      </w:rPr>
    </w:pPr>
    <w:r>
      <w:rPr>
        <w:b w:val="0"/>
        <w:sz w:val="10"/>
      </w:rPr>
      <w:drawing>
        <wp:anchor distT="0" distB="0" distL="114300" distR="114300" simplePos="0" relativeHeight="251658240" behindDoc="0" locked="0" layoutInCell="1" allowOverlap="1" wp14:anchorId="7B4EFF9B" wp14:editId="20B0C65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F0B64" w14:paraId="15D6BDDB" w14:textId="77777777" w:rsidTr="00AF0B64">
      <w:tc>
        <w:tcPr>
          <w:tcW w:w="3830" w:type="dxa"/>
          <w:shd w:val="clear" w:color="auto" w:fill="auto"/>
        </w:tcPr>
        <w:p w14:paraId="1F723446" w14:textId="2F020B8B" w:rsidR="00AF0B64" w:rsidRDefault="00AF0B64" w:rsidP="00AF0B64">
          <w:pPr>
            <w:pStyle w:val="ReleaseDate0"/>
          </w:pPr>
          <w:r>
            <w:t>22-12459</w:t>
          </w:r>
          <w:r w:rsidR="007E0CEF">
            <w:t>X</w:t>
          </w:r>
          <w:r>
            <w:t xml:space="preserve"> (S)    </w:t>
          </w:r>
          <w:r w:rsidR="003065C8">
            <w:t>04</w:t>
          </w:r>
          <w:r>
            <w:t>1122    1</w:t>
          </w:r>
          <w:r w:rsidR="003065C8">
            <w:t>8</w:t>
          </w:r>
          <w:r>
            <w:t>1122</w:t>
          </w:r>
        </w:p>
        <w:p w14:paraId="7B4C2FCD" w14:textId="77777777" w:rsidR="00AF0B64" w:rsidRPr="00AF0B64" w:rsidRDefault="00AF0B64" w:rsidP="00AF0B6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*2212459*</w:t>
          </w:r>
        </w:p>
      </w:tc>
      <w:tc>
        <w:tcPr>
          <w:tcW w:w="4920" w:type="dxa"/>
          <w:shd w:val="clear" w:color="auto" w:fill="auto"/>
        </w:tcPr>
        <w:p w14:paraId="34D2CB87" w14:textId="77777777" w:rsidR="00AF0B64" w:rsidRDefault="00AF0B64" w:rsidP="00AF0B64">
          <w:pPr>
            <w:pStyle w:val="Footer"/>
            <w:jc w:val="right"/>
            <w:rPr>
              <w:b w:val="0"/>
              <w:sz w:val="20"/>
            </w:rPr>
          </w:pPr>
          <w:r>
            <w:rPr>
              <w:b w:val="0"/>
              <w:sz w:val="20"/>
            </w:rPr>
            <w:drawing>
              <wp:inline distT="0" distB="0" distL="0" distR="0" wp14:anchorId="38B68460" wp14:editId="4D011F4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A3E3CCB" w14:textId="77777777" w:rsidR="00AF0B64" w:rsidRPr="00AF0B64" w:rsidRDefault="00AF0B64" w:rsidP="00AF0B6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8DA28" w14:textId="77777777" w:rsidR="001543EC" w:rsidRPr="00FA3F43" w:rsidRDefault="001543EC" w:rsidP="00FA3F43">
      <w:pPr>
        <w:pStyle w:val="Footer"/>
        <w:spacing w:after="80"/>
        <w:ind w:left="792"/>
        <w:rPr>
          <w:sz w:val="16"/>
        </w:rPr>
      </w:pPr>
      <w:r w:rsidRPr="00FA3F43">
        <w:rPr>
          <w:sz w:val="16"/>
        </w:rPr>
        <w:t>__________________</w:t>
      </w:r>
    </w:p>
  </w:footnote>
  <w:footnote w:type="continuationSeparator" w:id="0">
    <w:p w14:paraId="74696279" w14:textId="77777777" w:rsidR="001543EC" w:rsidRPr="00FA3F43" w:rsidRDefault="001543EC" w:rsidP="00FA3F43">
      <w:pPr>
        <w:pStyle w:val="Footer"/>
        <w:spacing w:after="80"/>
        <w:ind w:left="792"/>
        <w:rPr>
          <w:sz w:val="16"/>
        </w:rPr>
      </w:pPr>
      <w:r w:rsidRPr="00FA3F43">
        <w:rPr>
          <w:sz w:val="16"/>
        </w:rPr>
        <w:t>__________________</w:t>
      </w:r>
    </w:p>
  </w:footnote>
  <w:footnote w:id="1">
    <w:p w14:paraId="3B7AE7FB" w14:textId="77777777" w:rsidR="00FA3F43" w:rsidRPr="0087703A" w:rsidRDefault="00FA3F43" w:rsidP="00FA3F43">
      <w:pPr>
        <w:pStyle w:val="FootnoteText"/>
        <w:tabs>
          <w:tab w:val="clear" w:pos="418"/>
          <w:tab w:val="right" w:pos="1195"/>
          <w:tab w:val="left" w:pos="1267"/>
          <w:tab w:val="left" w:pos="1742"/>
          <w:tab w:val="left" w:pos="2218"/>
          <w:tab w:val="left" w:pos="2693"/>
        </w:tabs>
        <w:ind w:left="1267" w:right="1267" w:hanging="432"/>
        <w:rPr>
          <w:szCs w:val="17"/>
        </w:rPr>
      </w:pPr>
      <w:r>
        <w:tab/>
      </w:r>
      <w:r w:rsidRPr="00FA3F43">
        <w:t>*</w:t>
      </w:r>
      <w:r>
        <w:tab/>
        <w:t>La versión original del presente documento no fue objeto de revisión editorial oficial.</w:t>
      </w:r>
    </w:p>
  </w:footnote>
  <w:footnote w:id="2">
    <w:p w14:paraId="75226192" w14:textId="77777777" w:rsidR="00FA3F43" w:rsidRPr="0087703A" w:rsidRDefault="00FA3F43" w:rsidP="00FA3F43">
      <w:pPr>
        <w:pStyle w:val="FootnoteText"/>
        <w:tabs>
          <w:tab w:val="clear" w:pos="418"/>
          <w:tab w:val="right" w:pos="1195"/>
          <w:tab w:val="left" w:pos="1267"/>
          <w:tab w:val="left" w:pos="1742"/>
          <w:tab w:val="left" w:pos="2218"/>
          <w:tab w:val="left" w:pos="2693"/>
        </w:tabs>
        <w:ind w:left="1267" w:right="1267" w:hanging="432"/>
        <w:rPr>
          <w:szCs w:val="18"/>
        </w:rPr>
      </w:pPr>
      <w:r>
        <w:tab/>
      </w:r>
      <w:r w:rsidRPr="00FA3F43">
        <w:t>**</w:t>
      </w:r>
      <w:r>
        <w:tab/>
        <w:t>Los anexos del presente documento pueden consultarse en la página web del Comité.</w:t>
      </w:r>
    </w:p>
  </w:footnote>
  <w:footnote w:id="3">
    <w:p w14:paraId="430612A1" w14:textId="0F039EDB" w:rsidR="00FA3F43" w:rsidRPr="0087703A" w:rsidRDefault="00FA3F43" w:rsidP="00FA3F43">
      <w:pPr>
        <w:pStyle w:val="FootnoteText"/>
        <w:tabs>
          <w:tab w:val="clear" w:pos="418"/>
          <w:tab w:val="right" w:pos="1195"/>
          <w:tab w:val="left" w:pos="1267"/>
          <w:tab w:val="left" w:pos="1742"/>
          <w:tab w:val="left" w:pos="2218"/>
          <w:tab w:val="left" w:pos="2693"/>
        </w:tabs>
        <w:ind w:left="1267" w:right="1267" w:hanging="432"/>
      </w:pPr>
      <w:r>
        <w:tab/>
      </w:r>
      <w:r w:rsidRPr="00D11222">
        <w:rPr>
          <w:rStyle w:val="FootnoteReference"/>
        </w:rPr>
        <w:footnoteRef/>
      </w:r>
      <w:r>
        <w:tab/>
      </w:r>
      <w:hyperlink r:id="rId1" w:history="1">
        <w:r w:rsidRPr="007E0CEF">
          <w:rPr>
            <w:rStyle w:val="Hyperlink"/>
          </w:rPr>
          <w:t>CEDAW/C/CAN/QPR/10</w:t>
        </w:r>
      </w:hyperlink>
      <w:r>
        <w:t xml:space="preserve"> (con fecha de 15 de noviembre de 2019). </w:t>
      </w:r>
    </w:p>
  </w:footnote>
  <w:footnote w:id="4">
    <w:p w14:paraId="5B05763D" w14:textId="77777777" w:rsidR="00FA3F43" w:rsidRPr="0087703A" w:rsidRDefault="00FA3F43" w:rsidP="00FA3F4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Para más información sobre asistencia jurídica, véase el párrafo 167 del Documento Básico Común del Canadá.</w:t>
      </w:r>
    </w:p>
  </w:footnote>
  <w:footnote w:id="5">
    <w:p w14:paraId="7B95F47F" w14:textId="77777777" w:rsidR="00FA3F43" w:rsidRPr="0087703A" w:rsidRDefault="00FA3F43" w:rsidP="00FA3F43">
      <w:pPr>
        <w:pStyle w:val="FootnoteText"/>
        <w:tabs>
          <w:tab w:val="clear" w:pos="418"/>
          <w:tab w:val="right" w:pos="1195"/>
          <w:tab w:val="left" w:pos="1267"/>
          <w:tab w:val="left" w:pos="1742"/>
          <w:tab w:val="left" w:pos="2218"/>
          <w:tab w:val="left" w:pos="2693"/>
        </w:tabs>
        <w:ind w:left="1267" w:right="1267" w:hanging="432"/>
      </w:pPr>
      <w:r>
        <w:rPr>
          <w:iCs/>
        </w:rPr>
        <w:tab/>
      </w:r>
      <w:r>
        <w:rPr>
          <w:rStyle w:val="FootnoteReference"/>
        </w:rPr>
        <w:footnoteRef/>
      </w:r>
      <w:r>
        <w:tab/>
        <w:t xml:space="preserve">Párrafo 83 de la sentencia 18 de 2018 del Tribunal Supremo del Canadá en la causa </w:t>
      </w:r>
      <w:r>
        <w:rPr>
          <w:i/>
          <w:iCs/>
        </w:rPr>
        <w:t>Centrale des syndicats du Québec v. Québec (Attorney General)</w:t>
      </w:r>
      <w:r>
        <w:t xml:space="preserve">; párrafo 9 de la sentencia 17 de 2018 del Tribunal Supremo del Canadá en la causa </w:t>
      </w:r>
      <w:r>
        <w:rPr>
          <w:i/>
          <w:iCs/>
        </w:rPr>
        <w:t>Quebec (Attorney General) v. Alliance du personnel professionnel et technique de la santé et des services sociaux</w:t>
      </w:r>
      <w:r>
        <w:t xml:space="preserve">. </w:t>
      </w:r>
    </w:p>
  </w:footnote>
  <w:footnote w:id="6">
    <w:p w14:paraId="42D1B362" w14:textId="77777777" w:rsidR="00FA3F43" w:rsidRPr="0087703A" w:rsidRDefault="00FA3F43" w:rsidP="00FA3F43">
      <w:pPr>
        <w:pStyle w:val="FootnoteText"/>
        <w:tabs>
          <w:tab w:val="clear" w:pos="418"/>
          <w:tab w:val="right" w:pos="1195"/>
          <w:tab w:val="left" w:pos="1267"/>
          <w:tab w:val="left" w:pos="1742"/>
          <w:tab w:val="left" w:pos="2218"/>
          <w:tab w:val="left" w:pos="2693"/>
        </w:tabs>
        <w:ind w:left="1267" w:right="1267" w:hanging="432"/>
      </w:pPr>
      <w:r w:rsidRPr="00C67998">
        <w:rPr>
          <w:rFonts w:cstheme="minorHAnsi"/>
          <w:i/>
          <w:iCs/>
        </w:rPr>
        <w:tab/>
      </w:r>
      <w:r>
        <w:rPr>
          <w:rStyle w:val="FootnoteReference"/>
        </w:rPr>
        <w:footnoteRef/>
      </w:r>
      <w:r>
        <w:tab/>
        <w:t xml:space="preserve">Párrafo 128 de la sentencia 49 de 2019 del Tribunal Supremo del Canadá en la causa </w:t>
      </w:r>
      <w:r>
        <w:rPr>
          <w:i/>
          <w:iCs/>
        </w:rPr>
        <w:t>R.S. v. P.R</w:t>
      </w:r>
      <w:r>
        <w:t xml:space="preserve">. </w:t>
      </w:r>
    </w:p>
  </w:footnote>
  <w:footnote w:id="7">
    <w:p w14:paraId="01DB8B33" w14:textId="18F20304" w:rsidR="00FA3F43" w:rsidRPr="00CB5FAB" w:rsidRDefault="00FA3F43" w:rsidP="00FA3F43">
      <w:pPr>
        <w:pStyle w:val="FootnoteText"/>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rsidRPr="00CB5FAB">
        <w:rPr>
          <w:lang w:val="fr-FR"/>
        </w:rPr>
        <w:tab/>
        <w:t xml:space="preserve">Véase </w:t>
      </w:r>
      <w:hyperlink r:id="rId2" w:anchor="declaration" w:history="1">
        <w:r w:rsidR="002B389F" w:rsidRPr="00FB5420">
          <w:rPr>
            <w:rStyle w:val="Hyperlink"/>
            <w:lang w:val="fr-FR"/>
          </w:rPr>
          <w:t>https://women-gender-equality.canada.ca/en/gender-based-violence-knowledge-centre/joint-declaration-canada-free-of-gender-based-violence.html#declaration</w:t>
        </w:r>
      </w:hyperlink>
      <w:r w:rsidRPr="00CB5FAB">
        <w:rPr>
          <w:lang w:val="fr-FR"/>
        </w:rPr>
        <w:t>.</w:t>
      </w:r>
      <w:r w:rsidR="002B389F">
        <w:rPr>
          <w:lang w:val="fr-FR"/>
        </w:rPr>
        <w:t xml:space="preserve"> </w:t>
      </w:r>
    </w:p>
  </w:footnote>
  <w:footnote w:id="8">
    <w:p w14:paraId="5E77D9C6" w14:textId="176A608F" w:rsidR="00FA3F43" w:rsidRPr="0087703A" w:rsidRDefault="00FA3F43" w:rsidP="00FA3F43">
      <w:pPr>
        <w:pStyle w:val="FootnoteText"/>
        <w:tabs>
          <w:tab w:val="clear" w:pos="418"/>
          <w:tab w:val="right" w:pos="1195"/>
          <w:tab w:val="left" w:pos="1267"/>
          <w:tab w:val="left" w:pos="1742"/>
          <w:tab w:val="left" w:pos="2218"/>
          <w:tab w:val="left" w:pos="2693"/>
        </w:tabs>
        <w:ind w:left="1267" w:right="1267" w:hanging="432"/>
      </w:pPr>
      <w:r w:rsidRPr="00CB5FAB">
        <w:rPr>
          <w:lang w:val="fr-FR"/>
        </w:rPr>
        <w:tab/>
      </w:r>
      <w:r>
        <w:rPr>
          <w:rStyle w:val="FootnoteReference"/>
        </w:rPr>
        <w:footnoteRef/>
      </w:r>
      <w:r>
        <w:tab/>
        <w:t xml:space="preserve">Quebec respalda los principios generales de la declaración conjunta y seguirá combatiendo activamente la violencia de género priorizando sus propias actuaciones y medidas. Dicha provincia también tiene la intención de mantener el intercambio de información y de las mejores prácticas en esta materia con otros gobiernos. Para más información, véase </w:t>
      </w:r>
      <w:hyperlink r:id="rId3" w:anchor="declaration" w:history="1">
        <w:r w:rsidR="002B389F" w:rsidRPr="00FB5420">
          <w:rPr>
            <w:rStyle w:val="Hyperlink"/>
          </w:rPr>
          <w:t>https://women-gender-equality.canada.ca/en/gender-based-violence-knowledge-centre/joint-declaration-canada-free-of-gender-based-violence.html#declaration</w:t>
        </w:r>
      </w:hyperlink>
      <w:r>
        <w:t>.</w:t>
      </w:r>
      <w:r w:rsidR="002B389F">
        <w:t xml:space="preserve"> </w:t>
      </w:r>
    </w:p>
  </w:footnote>
  <w:footnote w:id="9">
    <w:p w14:paraId="36EA6E41" w14:textId="77777777" w:rsidR="00FA3F43" w:rsidRPr="0087703A" w:rsidRDefault="00FA3F43" w:rsidP="00FA3F4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La información relativa a la primera Estrategia de Reducción de la Pobreza del Gobierno canadiense puede consultarse en el párrafo 9 del Documento Básico Común del Canadá. </w:t>
      </w:r>
    </w:p>
  </w:footnote>
  <w:footnote w:id="10">
    <w:p w14:paraId="5A947E9D" w14:textId="77777777" w:rsidR="00FA3F43" w:rsidRPr="0087703A" w:rsidRDefault="00FA3F43" w:rsidP="00FA3F43">
      <w:pPr>
        <w:pStyle w:val="FootnoteText"/>
        <w:tabs>
          <w:tab w:val="clear" w:pos="418"/>
          <w:tab w:val="right" w:pos="1195"/>
          <w:tab w:val="left" w:pos="1267"/>
          <w:tab w:val="left" w:pos="1742"/>
          <w:tab w:val="left" w:pos="2218"/>
          <w:tab w:val="left" w:pos="2693"/>
        </w:tabs>
        <w:spacing w:after="120"/>
        <w:ind w:left="1267" w:right="1267" w:hanging="432"/>
      </w:pPr>
      <w:r>
        <w:tab/>
      </w:r>
      <w:r>
        <w:rPr>
          <w:rStyle w:val="FootnoteReference"/>
        </w:rPr>
        <w:footnoteRef/>
      </w:r>
      <w:r>
        <w:tab/>
        <w:t>Para más información sobre los delitos de trata de personas en el Canadá, véase www150.statcan.gc.ca/n1/pub/85-002-x/2020001/article/00006-eng.htm.</w:t>
      </w:r>
    </w:p>
  </w:footnote>
  <w:footnote w:id="11">
    <w:p w14:paraId="0DCA466C" w14:textId="77777777" w:rsidR="00FA3F43" w:rsidRPr="0087703A" w:rsidRDefault="00FA3F43" w:rsidP="00FA3F43">
      <w:pPr>
        <w:pStyle w:val="FootnoteText"/>
        <w:tabs>
          <w:tab w:val="clear" w:pos="418"/>
          <w:tab w:val="right" w:pos="1195"/>
          <w:tab w:val="left" w:pos="1267"/>
          <w:tab w:val="left" w:pos="1742"/>
          <w:tab w:val="left" w:pos="2218"/>
          <w:tab w:val="left" w:pos="2693"/>
        </w:tabs>
        <w:spacing w:after="120"/>
        <w:ind w:left="1267" w:right="1267" w:hanging="432"/>
        <w:rPr>
          <w:rFonts w:ascii="Calibri" w:hAnsi="Calibri" w:cs="Calibri"/>
        </w:rPr>
      </w:pPr>
      <w:r>
        <w:tab/>
      </w:r>
      <w:r w:rsidRPr="00506E3C">
        <w:rPr>
          <w:rStyle w:val="FootnoteReference"/>
        </w:rPr>
        <w:footnoteRef/>
      </w:r>
      <w:r>
        <w:tab/>
        <w:t>Las actividades llevadas a cabo abarcan programas de recuperación a largo plazo, divulgación, educación y prevención, apoyo de emergencia y de respuesta ante crisis, programas de tratamiento residencial, apoyo entre iguales, servicios de salud, formación jurídica u orientación para lidiar con el sistema jurídico y servicios de apoyo integral.</w:t>
      </w:r>
    </w:p>
  </w:footnote>
  <w:footnote w:id="12">
    <w:p w14:paraId="23FC5A9A" w14:textId="77777777" w:rsidR="00FA3F43" w:rsidRPr="0087703A" w:rsidRDefault="00FA3F43" w:rsidP="00FA3F43">
      <w:pPr>
        <w:pStyle w:val="FootnoteText"/>
        <w:tabs>
          <w:tab w:val="clear" w:pos="418"/>
          <w:tab w:val="right" w:pos="1195"/>
          <w:tab w:val="left" w:pos="1267"/>
          <w:tab w:val="left" w:pos="1742"/>
          <w:tab w:val="left" w:pos="2218"/>
          <w:tab w:val="left" w:pos="2693"/>
        </w:tabs>
        <w:spacing w:after="120"/>
        <w:ind w:left="1267" w:right="1267" w:hanging="432"/>
      </w:pPr>
      <w:r>
        <w:tab/>
      </w:r>
      <w:r w:rsidRPr="005E5DB0">
        <w:rPr>
          <w:rStyle w:val="FootnoteReference"/>
        </w:rPr>
        <w:footnoteRef/>
      </w:r>
      <w:r>
        <w:tab/>
        <w:t>Las actividades llevadas a cabo engloban la prestación de servicios integrales (como la garantía de centros de acogida de emergencia, cama, transporte, comida y una atención respetuosa con la cultura y basada en el trauma sufrido), la creación de círculos de supervivientes, el asesoramiento, la impartición de enseñanzas culturales, la disponibilidad de personal especializado, la ejecución de programas integrales que incorporen las enseñanzas tradicionales indígenas, la prestación de servicios de divulgación y apoyo basados en la información proporcionada por los supervivientes, la prestación de servicios de tratamiento, la implicación comunitaria y la constitución de grupos de trabajo regionales.</w:t>
      </w:r>
    </w:p>
  </w:footnote>
  <w:footnote w:id="13">
    <w:p w14:paraId="232C96B8" w14:textId="77777777" w:rsidR="00FA3F43" w:rsidRPr="0087703A" w:rsidRDefault="00FA3F43" w:rsidP="00FA3F4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En el caso de Quebec, el sitio web del Ministerio de Salud y Servicios Sociales ofrece diversos datos sobre salud sexual y reproductiva.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F0B64" w14:paraId="3C35BF7C" w14:textId="77777777" w:rsidTr="00AF0B64">
      <w:trPr>
        <w:trHeight w:hRule="exact" w:val="864"/>
      </w:trPr>
      <w:tc>
        <w:tcPr>
          <w:tcW w:w="4920" w:type="dxa"/>
          <w:shd w:val="clear" w:color="auto" w:fill="auto"/>
          <w:vAlign w:val="bottom"/>
        </w:tcPr>
        <w:p w14:paraId="24FE5B08" w14:textId="68F8BCCA" w:rsidR="00AF0B64" w:rsidRPr="00AF0B64" w:rsidRDefault="00AF0B64" w:rsidP="00AF0B64">
          <w:pPr>
            <w:pStyle w:val="Header"/>
            <w:spacing w:after="80"/>
            <w:rPr>
              <w:b/>
            </w:rPr>
          </w:pPr>
          <w:r>
            <w:rPr>
              <w:b/>
            </w:rPr>
            <w:fldChar w:fldCharType="begin"/>
          </w:r>
          <w:r>
            <w:rPr>
              <w:b/>
            </w:rPr>
            <w:instrText xml:space="preserve"> DOCVARIABLE "sss1" \* MERGEFORMAT </w:instrText>
          </w:r>
          <w:r>
            <w:rPr>
              <w:b/>
            </w:rPr>
            <w:fldChar w:fldCharType="separate"/>
          </w:r>
          <w:r w:rsidR="007C5EFA">
            <w:rPr>
              <w:b/>
            </w:rPr>
            <w:t>CEDAW/C/CAN/10</w:t>
          </w:r>
          <w:r>
            <w:rPr>
              <w:b/>
            </w:rPr>
            <w:fldChar w:fldCharType="end"/>
          </w:r>
        </w:p>
      </w:tc>
      <w:tc>
        <w:tcPr>
          <w:tcW w:w="4920" w:type="dxa"/>
          <w:shd w:val="clear" w:color="auto" w:fill="auto"/>
          <w:vAlign w:val="bottom"/>
        </w:tcPr>
        <w:p w14:paraId="4CF7098A" w14:textId="77777777" w:rsidR="00AF0B64" w:rsidRDefault="00AF0B64" w:rsidP="00AF0B64">
          <w:pPr>
            <w:pStyle w:val="Header"/>
          </w:pPr>
        </w:p>
      </w:tc>
    </w:tr>
  </w:tbl>
  <w:p w14:paraId="74FFD568" w14:textId="77777777" w:rsidR="00AF0B64" w:rsidRPr="00AF0B64" w:rsidRDefault="00AF0B64" w:rsidP="00AF0B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F0B64" w14:paraId="2E4EF242" w14:textId="77777777" w:rsidTr="00AF0B64">
      <w:trPr>
        <w:trHeight w:hRule="exact" w:val="864"/>
      </w:trPr>
      <w:tc>
        <w:tcPr>
          <w:tcW w:w="4920" w:type="dxa"/>
          <w:shd w:val="clear" w:color="auto" w:fill="auto"/>
          <w:vAlign w:val="bottom"/>
        </w:tcPr>
        <w:p w14:paraId="56EF600A" w14:textId="77777777" w:rsidR="00AF0B64" w:rsidRDefault="00AF0B64" w:rsidP="00AF0B64">
          <w:pPr>
            <w:pStyle w:val="Header"/>
          </w:pPr>
        </w:p>
      </w:tc>
      <w:tc>
        <w:tcPr>
          <w:tcW w:w="4920" w:type="dxa"/>
          <w:shd w:val="clear" w:color="auto" w:fill="auto"/>
          <w:vAlign w:val="bottom"/>
        </w:tcPr>
        <w:p w14:paraId="3844466F" w14:textId="33CA2BDC" w:rsidR="00AF0B64" w:rsidRPr="00AF0B64" w:rsidRDefault="00AF0B64" w:rsidP="00AF0B64">
          <w:pPr>
            <w:pStyle w:val="Header"/>
            <w:spacing w:after="80"/>
            <w:jc w:val="right"/>
            <w:rPr>
              <w:b/>
            </w:rPr>
          </w:pPr>
          <w:r>
            <w:rPr>
              <w:b/>
            </w:rPr>
            <w:fldChar w:fldCharType="begin"/>
          </w:r>
          <w:r>
            <w:rPr>
              <w:b/>
            </w:rPr>
            <w:instrText xml:space="preserve"> DOCVARIABLE "sss1" \* MERGEFORMAT </w:instrText>
          </w:r>
          <w:r>
            <w:rPr>
              <w:b/>
            </w:rPr>
            <w:fldChar w:fldCharType="separate"/>
          </w:r>
          <w:r w:rsidR="007C5EFA">
            <w:rPr>
              <w:b/>
            </w:rPr>
            <w:t>CEDAW/C/CAN/10</w:t>
          </w:r>
          <w:r>
            <w:rPr>
              <w:b/>
            </w:rPr>
            <w:fldChar w:fldCharType="end"/>
          </w:r>
        </w:p>
      </w:tc>
    </w:tr>
  </w:tbl>
  <w:p w14:paraId="25B090F7" w14:textId="77777777" w:rsidR="00AF0B64" w:rsidRPr="00AF0B64" w:rsidRDefault="00AF0B64" w:rsidP="00AF0B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F0B64" w14:paraId="3F14B8BD" w14:textId="77777777" w:rsidTr="00AF0B64">
      <w:trPr>
        <w:gridAfter w:val="1"/>
        <w:wAfter w:w="15" w:type="dxa"/>
        <w:trHeight w:hRule="exact" w:val="864"/>
      </w:trPr>
      <w:tc>
        <w:tcPr>
          <w:tcW w:w="1267" w:type="dxa"/>
          <w:tcBorders>
            <w:bottom w:val="single" w:sz="4" w:space="0" w:color="auto"/>
          </w:tcBorders>
          <w:shd w:val="clear" w:color="auto" w:fill="auto"/>
          <w:vAlign w:val="bottom"/>
        </w:tcPr>
        <w:p w14:paraId="0C7F75EB" w14:textId="77777777" w:rsidR="00AF0B64" w:rsidRDefault="00AF0B64" w:rsidP="00AF0B64">
          <w:pPr>
            <w:pStyle w:val="Header"/>
            <w:spacing w:after="120"/>
          </w:pPr>
        </w:p>
      </w:tc>
      <w:tc>
        <w:tcPr>
          <w:tcW w:w="2059" w:type="dxa"/>
          <w:tcBorders>
            <w:bottom w:val="single" w:sz="4" w:space="0" w:color="auto"/>
          </w:tcBorders>
          <w:shd w:val="clear" w:color="auto" w:fill="auto"/>
          <w:vAlign w:val="bottom"/>
        </w:tcPr>
        <w:p w14:paraId="10DB63AF" w14:textId="77777777" w:rsidR="00AF0B64" w:rsidRPr="00AF0B64" w:rsidRDefault="00AF0B64" w:rsidP="00AF0B6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B8BE39A" w14:textId="77777777" w:rsidR="00AF0B64" w:rsidRDefault="00AF0B64" w:rsidP="00AF0B64">
          <w:pPr>
            <w:pStyle w:val="Header"/>
            <w:spacing w:after="120"/>
          </w:pPr>
        </w:p>
      </w:tc>
      <w:tc>
        <w:tcPr>
          <w:tcW w:w="6480" w:type="dxa"/>
          <w:gridSpan w:val="3"/>
          <w:tcBorders>
            <w:bottom w:val="single" w:sz="4" w:space="0" w:color="auto"/>
          </w:tcBorders>
          <w:shd w:val="clear" w:color="auto" w:fill="auto"/>
          <w:vAlign w:val="bottom"/>
        </w:tcPr>
        <w:p w14:paraId="50A7592B" w14:textId="77777777" w:rsidR="00AF0B64" w:rsidRPr="00AF0B64" w:rsidRDefault="00AF0B64" w:rsidP="00AF0B64">
          <w:pPr>
            <w:spacing w:after="80" w:line="240" w:lineRule="auto"/>
            <w:jc w:val="right"/>
            <w:rPr>
              <w:position w:val="-4"/>
            </w:rPr>
          </w:pPr>
          <w:r>
            <w:rPr>
              <w:position w:val="-4"/>
              <w:sz w:val="40"/>
            </w:rPr>
            <w:t>CEDAW</w:t>
          </w:r>
          <w:r>
            <w:rPr>
              <w:position w:val="-4"/>
            </w:rPr>
            <w:t>/C/CAN/10</w:t>
          </w:r>
        </w:p>
      </w:tc>
    </w:tr>
    <w:tr w:rsidR="00AF0B64" w:rsidRPr="00AF0B64" w14:paraId="20378854" w14:textId="77777777" w:rsidTr="00AF0B64">
      <w:trPr>
        <w:trHeight w:hRule="exact" w:val="2880"/>
      </w:trPr>
      <w:tc>
        <w:tcPr>
          <w:tcW w:w="1267" w:type="dxa"/>
          <w:tcBorders>
            <w:top w:val="single" w:sz="4" w:space="0" w:color="auto"/>
            <w:bottom w:val="single" w:sz="12" w:space="0" w:color="auto"/>
          </w:tcBorders>
          <w:shd w:val="clear" w:color="auto" w:fill="auto"/>
        </w:tcPr>
        <w:p w14:paraId="18FFF6A4" w14:textId="77777777" w:rsidR="00AF0B64" w:rsidRPr="00AF0B64" w:rsidRDefault="00AF0B64" w:rsidP="00AF0B64">
          <w:pPr>
            <w:pStyle w:val="Header"/>
            <w:spacing w:before="120"/>
            <w:jc w:val="center"/>
          </w:pPr>
          <w:r>
            <w:t xml:space="preserve"> </w:t>
          </w:r>
          <w:r>
            <w:drawing>
              <wp:inline distT="0" distB="0" distL="0" distR="0" wp14:anchorId="37DA71BC" wp14:editId="5249FBD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EA5AC19" w14:textId="77777777" w:rsidR="00AF0B64" w:rsidRPr="00AF0B64" w:rsidRDefault="00AF0B64" w:rsidP="00AF0B6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4C80F9A" w14:textId="77777777" w:rsidR="00AF0B64" w:rsidRPr="000B33C4" w:rsidRDefault="00AF0B64" w:rsidP="00AF0B64">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2A0B5C97" w14:textId="77777777" w:rsidR="00AF0B64" w:rsidRDefault="00AF0B64" w:rsidP="00AF0B64">
          <w:pPr>
            <w:pStyle w:val="Distribution"/>
            <w:spacing w:before="240"/>
          </w:pPr>
          <w:r>
            <w:t>Distr. general</w:t>
          </w:r>
        </w:p>
        <w:p w14:paraId="10EBD7F0" w14:textId="77777777" w:rsidR="00AF0B64" w:rsidRDefault="00AF0B64" w:rsidP="00AF0B64">
          <w:pPr>
            <w:pStyle w:val="Publication"/>
          </w:pPr>
          <w:r>
            <w:t>10 de agosto de 2022</w:t>
          </w:r>
        </w:p>
        <w:p w14:paraId="42C7C5D0" w14:textId="77777777" w:rsidR="00AF0B64" w:rsidRDefault="00AF0B64" w:rsidP="00AF0B64">
          <w:r>
            <w:t>Español</w:t>
          </w:r>
        </w:p>
        <w:p w14:paraId="04FC9C2D" w14:textId="7DD68F75" w:rsidR="00AF0B64" w:rsidRDefault="00AF0B64" w:rsidP="00AF0B64">
          <w:pPr>
            <w:pStyle w:val="Original"/>
          </w:pPr>
          <w:r>
            <w:t>Original: francés</w:t>
          </w:r>
          <w:r w:rsidR="00C67D7B">
            <w:t xml:space="preserve"> e </w:t>
          </w:r>
          <w:r>
            <w:t>inglés</w:t>
          </w:r>
        </w:p>
        <w:p w14:paraId="6A001521" w14:textId="2B4A83BA" w:rsidR="00AF0B64" w:rsidRPr="00AF0B64" w:rsidRDefault="00C67D7B" w:rsidP="00AF0B64">
          <w:r>
            <w:t>Español, francés e inglés únicamente</w:t>
          </w:r>
        </w:p>
      </w:tc>
    </w:tr>
  </w:tbl>
  <w:p w14:paraId="0D75C33A" w14:textId="77777777" w:rsidR="00AF0B64" w:rsidRPr="00C67D7B" w:rsidRDefault="00AF0B64" w:rsidP="00AF0B64">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D1193"/>
    <w:multiLevelType w:val="hybridMultilevel"/>
    <w:tmpl w:val="209C8C5A"/>
    <w:lvl w:ilvl="0" w:tplc="CC8EF380">
      <w:start w:val="1"/>
      <w:numFmt w:val="decimal"/>
      <w:lvlText w:val="%1."/>
      <w:lvlJc w:val="left"/>
      <w:pPr>
        <w:ind w:left="3053" w:hanging="360"/>
      </w:pPr>
      <w:rPr>
        <w:b w:val="0"/>
        <w:bCs/>
        <w:i w:val="0"/>
        <w:iCs w:val="0"/>
      </w:rPr>
    </w:lvl>
    <w:lvl w:ilvl="1" w:tplc="08090019" w:tentative="1">
      <w:start w:val="1"/>
      <w:numFmt w:val="lowerLetter"/>
      <w:lvlText w:val="%2."/>
      <w:lvlJc w:val="left"/>
      <w:pPr>
        <w:ind w:left="3773" w:hanging="360"/>
      </w:pPr>
    </w:lvl>
    <w:lvl w:ilvl="2" w:tplc="0809001B" w:tentative="1">
      <w:start w:val="1"/>
      <w:numFmt w:val="lowerRoman"/>
      <w:lvlText w:val="%3."/>
      <w:lvlJc w:val="right"/>
      <w:pPr>
        <w:ind w:left="4493" w:hanging="180"/>
      </w:pPr>
    </w:lvl>
    <w:lvl w:ilvl="3" w:tplc="0809000F" w:tentative="1">
      <w:start w:val="1"/>
      <w:numFmt w:val="decimal"/>
      <w:lvlText w:val="%4."/>
      <w:lvlJc w:val="left"/>
      <w:pPr>
        <w:ind w:left="5213" w:hanging="360"/>
      </w:pPr>
    </w:lvl>
    <w:lvl w:ilvl="4" w:tplc="08090019" w:tentative="1">
      <w:start w:val="1"/>
      <w:numFmt w:val="lowerLetter"/>
      <w:lvlText w:val="%5."/>
      <w:lvlJc w:val="left"/>
      <w:pPr>
        <w:ind w:left="5933" w:hanging="360"/>
      </w:pPr>
    </w:lvl>
    <w:lvl w:ilvl="5" w:tplc="0809001B" w:tentative="1">
      <w:start w:val="1"/>
      <w:numFmt w:val="lowerRoman"/>
      <w:lvlText w:val="%6."/>
      <w:lvlJc w:val="right"/>
      <w:pPr>
        <w:ind w:left="6653" w:hanging="180"/>
      </w:pPr>
    </w:lvl>
    <w:lvl w:ilvl="6" w:tplc="0809000F" w:tentative="1">
      <w:start w:val="1"/>
      <w:numFmt w:val="decimal"/>
      <w:lvlText w:val="%7."/>
      <w:lvlJc w:val="left"/>
      <w:pPr>
        <w:ind w:left="7373" w:hanging="360"/>
      </w:pPr>
    </w:lvl>
    <w:lvl w:ilvl="7" w:tplc="08090019" w:tentative="1">
      <w:start w:val="1"/>
      <w:numFmt w:val="lowerLetter"/>
      <w:lvlText w:val="%8."/>
      <w:lvlJc w:val="left"/>
      <w:pPr>
        <w:ind w:left="8093" w:hanging="360"/>
      </w:pPr>
    </w:lvl>
    <w:lvl w:ilvl="8" w:tplc="0809001B" w:tentative="1">
      <w:start w:val="1"/>
      <w:numFmt w:val="lowerRoman"/>
      <w:lvlText w:val="%9."/>
      <w:lvlJc w:val="right"/>
      <w:pPr>
        <w:ind w:left="8813"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8AD07B2"/>
    <w:multiLevelType w:val="hybridMultilevel"/>
    <w:tmpl w:val="7FEE3222"/>
    <w:lvl w:ilvl="0" w:tplc="7C4CF3F4">
      <w:start w:val="1"/>
      <w:numFmt w:val="bullet"/>
      <w:lvlText w:val="•"/>
      <w:lvlJc w:val="left"/>
      <w:pPr>
        <w:tabs>
          <w:tab w:val="num" w:pos="1701"/>
        </w:tabs>
        <w:ind w:left="1701" w:hanging="170"/>
      </w:pPr>
      <w:rPr>
        <w:rFonts w:ascii="Times New Roman" w:hAnsi="Times New Roman" w:cs="Times New Roman" w:hint="default"/>
      </w:rPr>
    </w:lvl>
    <w:lvl w:ilvl="1" w:tplc="66822A92" w:tentative="1">
      <w:start w:val="1"/>
      <w:numFmt w:val="bullet"/>
      <w:lvlText w:val="o"/>
      <w:lvlJc w:val="left"/>
      <w:pPr>
        <w:tabs>
          <w:tab w:val="num" w:pos="3141"/>
        </w:tabs>
        <w:ind w:left="3141" w:hanging="360"/>
      </w:pPr>
      <w:rPr>
        <w:rFonts w:ascii="Courier New" w:hAnsi="Courier New" w:hint="default"/>
      </w:rPr>
    </w:lvl>
    <w:lvl w:ilvl="2" w:tplc="67DCD5EE" w:tentative="1">
      <w:start w:val="1"/>
      <w:numFmt w:val="bullet"/>
      <w:lvlText w:val=""/>
      <w:lvlJc w:val="left"/>
      <w:pPr>
        <w:tabs>
          <w:tab w:val="num" w:pos="3861"/>
        </w:tabs>
        <w:ind w:left="3861" w:hanging="360"/>
      </w:pPr>
      <w:rPr>
        <w:rFonts w:ascii="Wingdings" w:hAnsi="Wingdings" w:hint="default"/>
      </w:rPr>
    </w:lvl>
    <w:lvl w:ilvl="3" w:tplc="A88CA72C" w:tentative="1">
      <w:start w:val="1"/>
      <w:numFmt w:val="bullet"/>
      <w:lvlText w:val=""/>
      <w:lvlJc w:val="left"/>
      <w:pPr>
        <w:tabs>
          <w:tab w:val="num" w:pos="4581"/>
        </w:tabs>
        <w:ind w:left="4581" w:hanging="360"/>
      </w:pPr>
      <w:rPr>
        <w:rFonts w:ascii="Symbol" w:hAnsi="Symbol" w:hint="default"/>
      </w:rPr>
    </w:lvl>
    <w:lvl w:ilvl="4" w:tplc="ADEE1DEA" w:tentative="1">
      <w:start w:val="1"/>
      <w:numFmt w:val="bullet"/>
      <w:lvlText w:val="o"/>
      <w:lvlJc w:val="left"/>
      <w:pPr>
        <w:tabs>
          <w:tab w:val="num" w:pos="5301"/>
        </w:tabs>
        <w:ind w:left="5301" w:hanging="360"/>
      </w:pPr>
      <w:rPr>
        <w:rFonts w:ascii="Courier New" w:hAnsi="Courier New" w:hint="default"/>
      </w:rPr>
    </w:lvl>
    <w:lvl w:ilvl="5" w:tplc="112AFA44" w:tentative="1">
      <w:start w:val="1"/>
      <w:numFmt w:val="bullet"/>
      <w:lvlText w:val=""/>
      <w:lvlJc w:val="left"/>
      <w:pPr>
        <w:tabs>
          <w:tab w:val="num" w:pos="6021"/>
        </w:tabs>
        <w:ind w:left="6021" w:hanging="360"/>
      </w:pPr>
      <w:rPr>
        <w:rFonts w:ascii="Wingdings" w:hAnsi="Wingdings" w:hint="default"/>
      </w:rPr>
    </w:lvl>
    <w:lvl w:ilvl="6" w:tplc="A586A6EC" w:tentative="1">
      <w:start w:val="1"/>
      <w:numFmt w:val="bullet"/>
      <w:lvlText w:val=""/>
      <w:lvlJc w:val="left"/>
      <w:pPr>
        <w:tabs>
          <w:tab w:val="num" w:pos="6741"/>
        </w:tabs>
        <w:ind w:left="6741" w:hanging="360"/>
      </w:pPr>
      <w:rPr>
        <w:rFonts w:ascii="Symbol" w:hAnsi="Symbol" w:hint="default"/>
      </w:rPr>
    </w:lvl>
    <w:lvl w:ilvl="7" w:tplc="25266FD4" w:tentative="1">
      <w:start w:val="1"/>
      <w:numFmt w:val="bullet"/>
      <w:lvlText w:val="o"/>
      <w:lvlJc w:val="left"/>
      <w:pPr>
        <w:tabs>
          <w:tab w:val="num" w:pos="7461"/>
        </w:tabs>
        <w:ind w:left="7461" w:hanging="360"/>
      </w:pPr>
      <w:rPr>
        <w:rFonts w:ascii="Courier New" w:hAnsi="Courier New" w:hint="default"/>
      </w:rPr>
    </w:lvl>
    <w:lvl w:ilvl="8" w:tplc="9E6630D8"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2"/>
  </w:num>
  <w:num w:numId="6">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7">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8">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9">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0">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1">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2">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3">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4">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5">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6">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7">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8">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9">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20">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21">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22">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23">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24">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25">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26">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27">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28">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29">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30">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31">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32">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33">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34">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35">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36">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37">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38">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39">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40">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41">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42">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43">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44">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45">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46">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47">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48">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49">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50">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51">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52">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53">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54">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55">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56">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57">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58">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59">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60">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61">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62">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63">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64">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65">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66">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67">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68">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69">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70">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71">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72">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73">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74">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75">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76">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77">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78">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79">
    <w:abstractNumId w:val="6"/>
  </w:num>
  <w:num w:numId="80">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81">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82">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83">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84">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85">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86">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87">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88">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89">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90">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91">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92">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93">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94">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95">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96">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97">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98">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99">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00">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01">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02">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03">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04">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05">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06">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07">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08">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09">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10">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11">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12">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13">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14">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15">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16">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17">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18">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19">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20">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21">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22">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23">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24">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25">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26">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27">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28">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 w:numId="129">
    <w:abstractNumId w:val="0"/>
    <w:lvlOverride w:ilvl="0">
      <w:lvl w:ilvl="0" w:tplc="CC8EF380">
        <w:start w:val="1"/>
        <w:numFmt w:val="decimal"/>
        <w:lvlRestart w:val="0"/>
        <w:lvlText w:val="%1."/>
        <w:lvlJc w:val="left"/>
        <w:pPr>
          <w:tabs>
            <w:tab w:val="num" w:pos="475"/>
          </w:tabs>
          <w:ind w:left="0" w:firstLine="0"/>
        </w:pPr>
        <w:rPr>
          <w:spacing w:val="0"/>
          <w:w w:val="100"/>
        </w:rPr>
      </w:lvl>
    </w:lvlOverride>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59*"/>
    <w:docVar w:name="CreationDt" w:val="10/11/2022 1:06: PM"/>
    <w:docVar w:name="DocCategory" w:val="Doc"/>
    <w:docVar w:name="DocType" w:val="Final"/>
    <w:docVar w:name="DutyStation" w:val="New York"/>
    <w:docVar w:name="FooterJN" w:val="22-12459"/>
    <w:docVar w:name="jobn" w:val="22-12459 (S)"/>
    <w:docVar w:name="jobnDT" w:val="22-12459 (S)   101122"/>
    <w:docVar w:name="jobnDTDT" w:val="22-12459 (S)   101122   101122"/>
    <w:docVar w:name="JobNo" w:val="2212459S"/>
    <w:docVar w:name="JobNo2" w:val="22456541:06: PM"/>
    <w:docVar w:name="LocalDrive" w:val="0"/>
    <w:docVar w:name="OandT" w:val="JMártin/SRebollo"/>
    <w:docVar w:name="sss1" w:val="CEDAW/C/CAN/10"/>
    <w:docVar w:name="sss2" w:val="-"/>
    <w:docVar w:name="Symbol1" w:val="CEDAW/C/CAN/10"/>
    <w:docVar w:name="Symbol2" w:val="-"/>
    <w:docVar w:name="Title1" w:val="_x0009__x0009_Décimo informe periódico que el Canadá debía presentar en 2020 en virtud del artículo 18 de la Convención*,**_x000d_"/>
  </w:docVars>
  <w:rsids>
    <w:rsidRoot w:val="00ED745E"/>
    <w:rsid w:val="00002584"/>
    <w:rsid w:val="00004671"/>
    <w:rsid w:val="000071CA"/>
    <w:rsid w:val="00016A99"/>
    <w:rsid w:val="00017C93"/>
    <w:rsid w:val="00022F6E"/>
    <w:rsid w:val="00023042"/>
    <w:rsid w:val="000301BD"/>
    <w:rsid w:val="0003320E"/>
    <w:rsid w:val="00047E62"/>
    <w:rsid w:val="0005390D"/>
    <w:rsid w:val="00056518"/>
    <w:rsid w:val="0006491F"/>
    <w:rsid w:val="00067B89"/>
    <w:rsid w:val="00071D43"/>
    <w:rsid w:val="000742B1"/>
    <w:rsid w:val="00082144"/>
    <w:rsid w:val="00084E59"/>
    <w:rsid w:val="00094AE4"/>
    <w:rsid w:val="000A7A6E"/>
    <w:rsid w:val="000A7C4B"/>
    <w:rsid w:val="000B09A8"/>
    <w:rsid w:val="000B33C4"/>
    <w:rsid w:val="000B7E9A"/>
    <w:rsid w:val="000C260F"/>
    <w:rsid w:val="000C627B"/>
    <w:rsid w:val="000D35E3"/>
    <w:rsid w:val="000D668D"/>
    <w:rsid w:val="000D6A38"/>
    <w:rsid w:val="000E2864"/>
    <w:rsid w:val="000E2D2E"/>
    <w:rsid w:val="000E6705"/>
    <w:rsid w:val="000F1F99"/>
    <w:rsid w:val="000F2246"/>
    <w:rsid w:val="00101B18"/>
    <w:rsid w:val="00104444"/>
    <w:rsid w:val="00105E4A"/>
    <w:rsid w:val="00114EE8"/>
    <w:rsid w:val="0011690B"/>
    <w:rsid w:val="00117EA0"/>
    <w:rsid w:val="00120168"/>
    <w:rsid w:val="00122A56"/>
    <w:rsid w:val="0012365A"/>
    <w:rsid w:val="001310EC"/>
    <w:rsid w:val="00134FEE"/>
    <w:rsid w:val="00135D35"/>
    <w:rsid w:val="001363BF"/>
    <w:rsid w:val="00146C6A"/>
    <w:rsid w:val="00147570"/>
    <w:rsid w:val="00151388"/>
    <w:rsid w:val="00153828"/>
    <w:rsid w:val="001543EC"/>
    <w:rsid w:val="00156327"/>
    <w:rsid w:val="001563D3"/>
    <w:rsid w:val="001569AC"/>
    <w:rsid w:val="0016053C"/>
    <w:rsid w:val="0016203A"/>
    <w:rsid w:val="00166A0D"/>
    <w:rsid w:val="001709FE"/>
    <w:rsid w:val="001A1E16"/>
    <w:rsid w:val="001C0D72"/>
    <w:rsid w:val="001D2451"/>
    <w:rsid w:val="001D4ADA"/>
    <w:rsid w:val="001D5969"/>
    <w:rsid w:val="001E4B50"/>
    <w:rsid w:val="001F68AF"/>
    <w:rsid w:val="00212B48"/>
    <w:rsid w:val="002135F2"/>
    <w:rsid w:val="00223442"/>
    <w:rsid w:val="00236EED"/>
    <w:rsid w:val="002412D6"/>
    <w:rsid w:val="00241B93"/>
    <w:rsid w:val="00242ABB"/>
    <w:rsid w:val="002478A0"/>
    <w:rsid w:val="0025133C"/>
    <w:rsid w:val="00252060"/>
    <w:rsid w:val="002538E9"/>
    <w:rsid w:val="002600F4"/>
    <w:rsid w:val="00261364"/>
    <w:rsid w:val="00273CFB"/>
    <w:rsid w:val="00277B1B"/>
    <w:rsid w:val="00281925"/>
    <w:rsid w:val="00285E64"/>
    <w:rsid w:val="00296B42"/>
    <w:rsid w:val="00296C6A"/>
    <w:rsid w:val="002A0EC5"/>
    <w:rsid w:val="002A26FC"/>
    <w:rsid w:val="002A5E20"/>
    <w:rsid w:val="002B156D"/>
    <w:rsid w:val="002B389F"/>
    <w:rsid w:val="002D1584"/>
    <w:rsid w:val="002E154D"/>
    <w:rsid w:val="002F5300"/>
    <w:rsid w:val="002F78EB"/>
    <w:rsid w:val="002F7D3D"/>
    <w:rsid w:val="00304428"/>
    <w:rsid w:val="00304F75"/>
    <w:rsid w:val="003055D4"/>
    <w:rsid w:val="003065C8"/>
    <w:rsid w:val="00316504"/>
    <w:rsid w:val="003279FB"/>
    <w:rsid w:val="00327A71"/>
    <w:rsid w:val="003367E0"/>
    <w:rsid w:val="00341E4F"/>
    <w:rsid w:val="00344FB3"/>
    <w:rsid w:val="00353D2D"/>
    <w:rsid w:val="0035575B"/>
    <w:rsid w:val="00356DCA"/>
    <w:rsid w:val="00364AC5"/>
    <w:rsid w:val="00366D21"/>
    <w:rsid w:val="003817EB"/>
    <w:rsid w:val="003849DF"/>
    <w:rsid w:val="0039127C"/>
    <w:rsid w:val="003925BC"/>
    <w:rsid w:val="003931F3"/>
    <w:rsid w:val="00393D7D"/>
    <w:rsid w:val="0039509B"/>
    <w:rsid w:val="00396F46"/>
    <w:rsid w:val="003A675A"/>
    <w:rsid w:val="003A7EE3"/>
    <w:rsid w:val="003B24AA"/>
    <w:rsid w:val="003C2E4D"/>
    <w:rsid w:val="003C507C"/>
    <w:rsid w:val="003C527C"/>
    <w:rsid w:val="003C5C57"/>
    <w:rsid w:val="003D096D"/>
    <w:rsid w:val="003D3022"/>
    <w:rsid w:val="003D427E"/>
    <w:rsid w:val="003E0C0E"/>
    <w:rsid w:val="003E7C74"/>
    <w:rsid w:val="003F02DB"/>
    <w:rsid w:val="003F15DB"/>
    <w:rsid w:val="003F2F19"/>
    <w:rsid w:val="003F61E1"/>
    <w:rsid w:val="003F71F4"/>
    <w:rsid w:val="004059E8"/>
    <w:rsid w:val="0040653D"/>
    <w:rsid w:val="00415E1D"/>
    <w:rsid w:val="00420189"/>
    <w:rsid w:val="0042051B"/>
    <w:rsid w:val="00431E47"/>
    <w:rsid w:val="00435754"/>
    <w:rsid w:val="00440781"/>
    <w:rsid w:val="00440C93"/>
    <w:rsid w:val="0045795D"/>
    <w:rsid w:val="00461D1D"/>
    <w:rsid w:val="00473F9A"/>
    <w:rsid w:val="004776B1"/>
    <w:rsid w:val="00480B84"/>
    <w:rsid w:val="00481248"/>
    <w:rsid w:val="00495F0B"/>
    <w:rsid w:val="004961EE"/>
    <w:rsid w:val="00496CA6"/>
    <w:rsid w:val="004A3E16"/>
    <w:rsid w:val="004B4FFF"/>
    <w:rsid w:val="004B64F9"/>
    <w:rsid w:val="004C1A25"/>
    <w:rsid w:val="004C5456"/>
    <w:rsid w:val="004D4188"/>
    <w:rsid w:val="004D471C"/>
    <w:rsid w:val="004D5396"/>
    <w:rsid w:val="004D6337"/>
    <w:rsid w:val="004D7571"/>
    <w:rsid w:val="004E2143"/>
    <w:rsid w:val="004E4A94"/>
    <w:rsid w:val="004E698C"/>
    <w:rsid w:val="004F0EA9"/>
    <w:rsid w:val="004F7E3E"/>
    <w:rsid w:val="00511BB1"/>
    <w:rsid w:val="00515991"/>
    <w:rsid w:val="005225EC"/>
    <w:rsid w:val="00525097"/>
    <w:rsid w:val="005349BF"/>
    <w:rsid w:val="005368CB"/>
    <w:rsid w:val="0054110E"/>
    <w:rsid w:val="00541113"/>
    <w:rsid w:val="0054493E"/>
    <w:rsid w:val="00544B47"/>
    <w:rsid w:val="00546B18"/>
    <w:rsid w:val="00550719"/>
    <w:rsid w:val="005509B6"/>
    <w:rsid w:val="00571D6C"/>
    <w:rsid w:val="005735F1"/>
    <w:rsid w:val="005817BE"/>
    <w:rsid w:val="005819A9"/>
    <w:rsid w:val="005854C3"/>
    <w:rsid w:val="005A2C09"/>
    <w:rsid w:val="005A3F8E"/>
    <w:rsid w:val="005A77F0"/>
    <w:rsid w:val="005B618F"/>
    <w:rsid w:val="005C1497"/>
    <w:rsid w:val="005C6EA0"/>
    <w:rsid w:val="005C71FF"/>
    <w:rsid w:val="005E3145"/>
    <w:rsid w:val="005E3F43"/>
    <w:rsid w:val="005E57B5"/>
    <w:rsid w:val="005E7FF4"/>
    <w:rsid w:val="005F1F5F"/>
    <w:rsid w:val="00601C59"/>
    <w:rsid w:val="00607BE8"/>
    <w:rsid w:val="00620C48"/>
    <w:rsid w:val="00622288"/>
    <w:rsid w:val="006225D5"/>
    <w:rsid w:val="006236FD"/>
    <w:rsid w:val="006327BA"/>
    <w:rsid w:val="00632C10"/>
    <w:rsid w:val="006415A2"/>
    <w:rsid w:val="006460E4"/>
    <w:rsid w:val="00646A90"/>
    <w:rsid w:val="00651B61"/>
    <w:rsid w:val="00654345"/>
    <w:rsid w:val="00654EDA"/>
    <w:rsid w:val="00657C5A"/>
    <w:rsid w:val="00683EDB"/>
    <w:rsid w:val="00684C8B"/>
    <w:rsid w:val="0068603F"/>
    <w:rsid w:val="00687302"/>
    <w:rsid w:val="00690698"/>
    <w:rsid w:val="00690858"/>
    <w:rsid w:val="00690FBB"/>
    <w:rsid w:val="00692102"/>
    <w:rsid w:val="006A088C"/>
    <w:rsid w:val="006B0A61"/>
    <w:rsid w:val="006B4A4E"/>
    <w:rsid w:val="006B6AA9"/>
    <w:rsid w:val="006C7DEE"/>
    <w:rsid w:val="006E4A4B"/>
    <w:rsid w:val="006F3466"/>
    <w:rsid w:val="00703106"/>
    <w:rsid w:val="00707929"/>
    <w:rsid w:val="00710493"/>
    <w:rsid w:val="007137AF"/>
    <w:rsid w:val="007155BE"/>
    <w:rsid w:val="0072039F"/>
    <w:rsid w:val="00724628"/>
    <w:rsid w:val="0073025A"/>
    <w:rsid w:val="00731FFD"/>
    <w:rsid w:val="00734BB3"/>
    <w:rsid w:val="007459AE"/>
    <w:rsid w:val="00751F4C"/>
    <w:rsid w:val="007526FF"/>
    <w:rsid w:val="007531A5"/>
    <w:rsid w:val="00753D8A"/>
    <w:rsid w:val="00754099"/>
    <w:rsid w:val="00754C01"/>
    <w:rsid w:val="00760CAE"/>
    <w:rsid w:val="007648FE"/>
    <w:rsid w:val="00771C9E"/>
    <w:rsid w:val="00771D46"/>
    <w:rsid w:val="00774018"/>
    <w:rsid w:val="007760EF"/>
    <w:rsid w:val="00783685"/>
    <w:rsid w:val="007904EC"/>
    <w:rsid w:val="0079137B"/>
    <w:rsid w:val="007A2CC4"/>
    <w:rsid w:val="007C1EAC"/>
    <w:rsid w:val="007C2ACD"/>
    <w:rsid w:val="007C5EFA"/>
    <w:rsid w:val="007C649F"/>
    <w:rsid w:val="007E0CEF"/>
    <w:rsid w:val="007E0D64"/>
    <w:rsid w:val="0080424E"/>
    <w:rsid w:val="00807B29"/>
    <w:rsid w:val="0082045E"/>
    <w:rsid w:val="008222A3"/>
    <w:rsid w:val="00822636"/>
    <w:rsid w:val="0082736C"/>
    <w:rsid w:val="00830856"/>
    <w:rsid w:val="0083669C"/>
    <w:rsid w:val="00840664"/>
    <w:rsid w:val="00842A4D"/>
    <w:rsid w:val="00852020"/>
    <w:rsid w:val="0086189E"/>
    <w:rsid w:val="008650C7"/>
    <w:rsid w:val="0086525C"/>
    <w:rsid w:val="00872386"/>
    <w:rsid w:val="0087649B"/>
    <w:rsid w:val="00886017"/>
    <w:rsid w:val="0089036D"/>
    <w:rsid w:val="008A1B47"/>
    <w:rsid w:val="008A40C7"/>
    <w:rsid w:val="008B0A53"/>
    <w:rsid w:val="008B3B5D"/>
    <w:rsid w:val="008B3FC7"/>
    <w:rsid w:val="008C0A71"/>
    <w:rsid w:val="008C2D13"/>
    <w:rsid w:val="008D4373"/>
    <w:rsid w:val="008D4EAF"/>
    <w:rsid w:val="008F2FBE"/>
    <w:rsid w:val="008F3462"/>
    <w:rsid w:val="008F3C0A"/>
    <w:rsid w:val="008F6EAE"/>
    <w:rsid w:val="00901819"/>
    <w:rsid w:val="00903446"/>
    <w:rsid w:val="009034DA"/>
    <w:rsid w:val="0090643D"/>
    <w:rsid w:val="00906FCB"/>
    <w:rsid w:val="00914AD9"/>
    <w:rsid w:val="009236A2"/>
    <w:rsid w:val="009248F5"/>
    <w:rsid w:val="00935932"/>
    <w:rsid w:val="00940929"/>
    <w:rsid w:val="009559A6"/>
    <w:rsid w:val="00955FFA"/>
    <w:rsid w:val="009573EE"/>
    <w:rsid w:val="009610A1"/>
    <w:rsid w:val="00971F7F"/>
    <w:rsid w:val="0097696C"/>
    <w:rsid w:val="009916E6"/>
    <w:rsid w:val="00993CB7"/>
    <w:rsid w:val="009B5020"/>
    <w:rsid w:val="009B693E"/>
    <w:rsid w:val="009B71C5"/>
    <w:rsid w:val="009C2D6C"/>
    <w:rsid w:val="009C6767"/>
    <w:rsid w:val="009D0EE3"/>
    <w:rsid w:val="009D24F1"/>
    <w:rsid w:val="009E7145"/>
    <w:rsid w:val="009F3D83"/>
    <w:rsid w:val="009F4607"/>
    <w:rsid w:val="00A1038C"/>
    <w:rsid w:val="00A145EA"/>
    <w:rsid w:val="00A2494D"/>
    <w:rsid w:val="00A27AEF"/>
    <w:rsid w:val="00A31C1D"/>
    <w:rsid w:val="00A3201A"/>
    <w:rsid w:val="00A34315"/>
    <w:rsid w:val="00A45646"/>
    <w:rsid w:val="00A536A1"/>
    <w:rsid w:val="00A55818"/>
    <w:rsid w:val="00A578F4"/>
    <w:rsid w:val="00A72CF6"/>
    <w:rsid w:val="00A772AD"/>
    <w:rsid w:val="00A82539"/>
    <w:rsid w:val="00A90866"/>
    <w:rsid w:val="00A9759E"/>
    <w:rsid w:val="00AA06C8"/>
    <w:rsid w:val="00AA2E65"/>
    <w:rsid w:val="00AA7661"/>
    <w:rsid w:val="00AB0B7D"/>
    <w:rsid w:val="00AB6644"/>
    <w:rsid w:val="00AB7406"/>
    <w:rsid w:val="00AB7850"/>
    <w:rsid w:val="00AD075C"/>
    <w:rsid w:val="00AD4F88"/>
    <w:rsid w:val="00AD5F2F"/>
    <w:rsid w:val="00AE1E84"/>
    <w:rsid w:val="00AE26CF"/>
    <w:rsid w:val="00AF0B64"/>
    <w:rsid w:val="00AF4336"/>
    <w:rsid w:val="00B013BF"/>
    <w:rsid w:val="00B04A62"/>
    <w:rsid w:val="00B10337"/>
    <w:rsid w:val="00B114E4"/>
    <w:rsid w:val="00B12CBF"/>
    <w:rsid w:val="00B2012E"/>
    <w:rsid w:val="00B21BE8"/>
    <w:rsid w:val="00B307FA"/>
    <w:rsid w:val="00B334D9"/>
    <w:rsid w:val="00B33FDC"/>
    <w:rsid w:val="00B34E81"/>
    <w:rsid w:val="00B35265"/>
    <w:rsid w:val="00B56BDA"/>
    <w:rsid w:val="00B63315"/>
    <w:rsid w:val="00B659E9"/>
    <w:rsid w:val="00B7114F"/>
    <w:rsid w:val="00B85387"/>
    <w:rsid w:val="00B858D5"/>
    <w:rsid w:val="00B94D66"/>
    <w:rsid w:val="00BB0090"/>
    <w:rsid w:val="00BB1EA3"/>
    <w:rsid w:val="00BB462D"/>
    <w:rsid w:val="00BB4ECD"/>
    <w:rsid w:val="00BC1090"/>
    <w:rsid w:val="00BC538B"/>
    <w:rsid w:val="00BC61F4"/>
    <w:rsid w:val="00BD113B"/>
    <w:rsid w:val="00BD34CF"/>
    <w:rsid w:val="00BE3FA0"/>
    <w:rsid w:val="00BF0037"/>
    <w:rsid w:val="00BF2011"/>
    <w:rsid w:val="00C00465"/>
    <w:rsid w:val="00C026EE"/>
    <w:rsid w:val="00C07FF6"/>
    <w:rsid w:val="00C11CCB"/>
    <w:rsid w:val="00C1533C"/>
    <w:rsid w:val="00C15DC5"/>
    <w:rsid w:val="00C2563D"/>
    <w:rsid w:val="00C26CF3"/>
    <w:rsid w:val="00C32BC2"/>
    <w:rsid w:val="00C33008"/>
    <w:rsid w:val="00C350F5"/>
    <w:rsid w:val="00C35F41"/>
    <w:rsid w:val="00C43505"/>
    <w:rsid w:val="00C47826"/>
    <w:rsid w:val="00C5036A"/>
    <w:rsid w:val="00C537CD"/>
    <w:rsid w:val="00C54E6F"/>
    <w:rsid w:val="00C64D51"/>
    <w:rsid w:val="00C66348"/>
    <w:rsid w:val="00C67D7B"/>
    <w:rsid w:val="00C7124B"/>
    <w:rsid w:val="00C7749F"/>
    <w:rsid w:val="00C777AD"/>
    <w:rsid w:val="00C77A00"/>
    <w:rsid w:val="00C82FCC"/>
    <w:rsid w:val="00C9404D"/>
    <w:rsid w:val="00C941DD"/>
    <w:rsid w:val="00C964AE"/>
    <w:rsid w:val="00CA099F"/>
    <w:rsid w:val="00CA1BAE"/>
    <w:rsid w:val="00CA2064"/>
    <w:rsid w:val="00CB06FB"/>
    <w:rsid w:val="00CB63C5"/>
    <w:rsid w:val="00CC2ED7"/>
    <w:rsid w:val="00CC372F"/>
    <w:rsid w:val="00CC3D5A"/>
    <w:rsid w:val="00CE1E0F"/>
    <w:rsid w:val="00CE2AEA"/>
    <w:rsid w:val="00CE417C"/>
    <w:rsid w:val="00D0035F"/>
    <w:rsid w:val="00D0296E"/>
    <w:rsid w:val="00D12051"/>
    <w:rsid w:val="00D14790"/>
    <w:rsid w:val="00D21447"/>
    <w:rsid w:val="00D21A11"/>
    <w:rsid w:val="00D3073B"/>
    <w:rsid w:val="00D30EED"/>
    <w:rsid w:val="00D3562B"/>
    <w:rsid w:val="00D473EB"/>
    <w:rsid w:val="00D61793"/>
    <w:rsid w:val="00D65629"/>
    <w:rsid w:val="00D80EFD"/>
    <w:rsid w:val="00D81189"/>
    <w:rsid w:val="00D8322C"/>
    <w:rsid w:val="00D843DB"/>
    <w:rsid w:val="00D870F7"/>
    <w:rsid w:val="00D942B2"/>
    <w:rsid w:val="00DA3DAC"/>
    <w:rsid w:val="00DA617E"/>
    <w:rsid w:val="00DB32F0"/>
    <w:rsid w:val="00DB66DE"/>
    <w:rsid w:val="00DC0273"/>
    <w:rsid w:val="00DC7881"/>
    <w:rsid w:val="00DD5701"/>
    <w:rsid w:val="00DE0A2F"/>
    <w:rsid w:val="00DE25C3"/>
    <w:rsid w:val="00DF03E9"/>
    <w:rsid w:val="00DF2173"/>
    <w:rsid w:val="00DF2D19"/>
    <w:rsid w:val="00DF4F8C"/>
    <w:rsid w:val="00E0520F"/>
    <w:rsid w:val="00E06B65"/>
    <w:rsid w:val="00E117BC"/>
    <w:rsid w:val="00E17B0C"/>
    <w:rsid w:val="00E230D3"/>
    <w:rsid w:val="00E2358B"/>
    <w:rsid w:val="00E30CDF"/>
    <w:rsid w:val="00E32816"/>
    <w:rsid w:val="00E343A6"/>
    <w:rsid w:val="00E42AAD"/>
    <w:rsid w:val="00E443AC"/>
    <w:rsid w:val="00E47A1E"/>
    <w:rsid w:val="00E517AD"/>
    <w:rsid w:val="00E7105F"/>
    <w:rsid w:val="00E71D1E"/>
    <w:rsid w:val="00E818DE"/>
    <w:rsid w:val="00E96D36"/>
    <w:rsid w:val="00E97E7B"/>
    <w:rsid w:val="00EA1D58"/>
    <w:rsid w:val="00EB229B"/>
    <w:rsid w:val="00EC1C76"/>
    <w:rsid w:val="00EC24B0"/>
    <w:rsid w:val="00EC4B68"/>
    <w:rsid w:val="00ED0E56"/>
    <w:rsid w:val="00ED471D"/>
    <w:rsid w:val="00ED745E"/>
    <w:rsid w:val="00EE37EC"/>
    <w:rsid w:val="00EE4CEE"/>
    <w:rsid w:val="00EF2DFA"/>
    <w:rsid w:val="00F0704E"/>
    <w:rsid w:val="00F07172"/>
    <w:rsid w:val="00F129FC"/>
    <w:rsid w:val="00F1410F"/>
    <w:rsid w:val="00F22F55"/>
    <w:rsid w:val="00F241B6"/>
    <w:rsid w:val="00F272D7"/>
    <w:rsid w:val="00F30288"/>
    <w:rsid w:val="00F313F6"/>
    <w:rsid w:val="00F46A86"/>
    <w:rsid w:val="00F5012D"/>
    <w:rsid w:val="00F51853"/>
    <w:rsid w:val="00F562F7"/>
    <w:rsid w:val="00F565DB"/>
    <w:rsid w:val="00F619A6"/>
    <w:rsid w:val="00F70FBE"/>
    <w:rsid w:val="00F73093"/>
    <w:rsid w:val="00F7455C"/>
    <w:rsid w:val="00F74628"/>
    <w:rsid w:val="00F844EE"/>
    <w:rsid w:val="00F873D4"/>
    <w:rsid w:val="00F87679"/>
    <w:rsid w:val="00F92D6C"/>
    <w:rsid w:val="00FA3D05"/>
    <w:rsid w:val="00FA3F43"/>
    <w:rsid w:val="00FA5CC9"/>
    <w:rsid w:val="00FB0A2C"/>
    <w:rsid w:val="00FB2215"/>
    <w:rsid w:val="00FB30DB"/>
    <w:rsid w:val="00FB6AC8"/>
    <w:rsid w:val="00FB7FC1"/>
    <w:rsid w:val="00FC0635"/>
    <w:rsid w:val="00FC0A53"/>
    <w:rsid w:val="00FC59F1"/>
    <w:rsid w:val="00FC617C"/>
    <w:rsid w:val="00FD27F5"/>
    <w:rsid w:val="00FD5745"/>
    <w:rsid w:val="00FE1656"/>
    <w:rsid w:val="00FE3C75"/>
    <w:rsid w:val="00FF4F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18EC49"/>
  <w15:chartTrackingRefBased/>
  <w15:docId w15:val="{3D84300A-09B3-4D33-943C-23EF5AEFD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8C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5368CB"/>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368CB"/>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368CB"/>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368CB"/>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368CB"/>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368CB"/>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368CB"/>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368CB"/>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368CB"/>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368C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368CB"/>
    <w:pPr>
      <w:spacing w:line="360" w:lineRule="exact"/>
    </w:pPr>
    <w:rPr>
      <w:spacing w:val="-3"/>
      <w:w w:val="99"/>
      <w:sz w:val="34"/>
    </w:rPr>
  </w:style>
  <w:style w:type="paragraph" w:customStyle="1" w:styleId="H23">
    <w:name w:val="_ H_2/3"/>
    <w:basedOn w:val="H1"/>
    <w:next w:val="Normal"/>
    <w:qFormat/>
    <w:rsid w:val="005368CB"/>
    <w:pPr>
      <w:spacing w:line="240" w:lineRule="exact"/>
      <w:outlineLvl w:val="1"/>
    </w:pPr>
    <w:rPr>
      <w:spacing w:val="2"/>
      <w:sz w:val="20"/>
    </w:rPr>
  </w:style>
  <w:style w:type="paragraph" w:customStyle="1" w:styleId="H4">
    <w:name w:val="_ H_4"/>
    <w:basedOn w:val="Normal"/>
    <w:next w:val="SingleTxt"/>
    <w:qFormat/>
    <w:rsid w:val="005368CB"/>
    <w:pPr>
      <w:keepNext/>
      <w:keepLines/>
      <w:tabs>
        <w:tab w:val="right" w:pos="360"/>
      </w:tabs>
      <w:outlineLvl w:val="3"/>
    </w:pPr>
    <w:rPr>
      <w:i/>
      <w:spacing w:val="3"/>
      <w:kern w:val="14"/>
    </w:rPr>
  </w:style>
  <w:style w:type="paragraph" w:customStyle="1" w:styleId="H56">
    <w:name w:val="_ H_5/6"/>
    <w:basedOn w:val="Normal"/>
    <w:next w:val="Normal"/>
    <w:qFormat/>
    <w:rsid w:val="005368CB"/>
    <w:pPr>
      <w:keepNext/>
      <w:keepLines/>
      <w:tabs>
        <w:tab w:val="right" w:pos="360"/>
      </w:tabs>
      <w:outlineLvl w:val="4"/>
    </w:pPr>
    <w:rPr>
      <w:kern w:val="14"/>
    </w:rPr>
  </w:style>
  <w:style w:type="paragraph" w:customStyle="1" w:styleId="DualTxt">
    <w:name w:val="__Dual Txt"/>
    <w:basedOn w:val="Normal"/>
    <w:qFormat/>
    <w:rsid w:val="005368C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368C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368CB"/>
    <w:pPr>
      <w:spacing w:line="540" w:lineRule="exact"/>
    </w:pPr>
    <w:rPr>
      <w:spacing w:val="-8"/>
      <w:w w:val="96"/>
      <w:sz w:val="57"/>
    </w:rPr>
  </w:style>
  <w:style w:type="paragraph" w:customStyle="1" w:styleId="SS">
    <w:name w:val="__S_S"/>
    <w:basedOn w:val="HCh0"/>
    <w:next w:val="Normal"/>
    <w:qFormat/>
    <w:rsid w:val="005368CB"/>
    <w:pPr>
      <w:ind w:left="1267" w:right="1267"/>
    </w:pPr>
  </w:style>
  <w:style w:type="paragraph" w:customStyle="1" w:styleId="SingleTxt">
    <w:name w:val="__Single Txt"/>
    <w:basedOn w:val="Normal"/>
    <w:link w:val="SingleTxtChar"/>
    <w:qFormat/>
    <w:rsid w:val="005368C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368C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368C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368C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368CB"/>
    <w:rPr>
      <w:rFonts w:ascii="Tahoma" w:hAnsi="Tahoma" w:cs="Tahoma"/>
      <w:sz w:val="16"/>
      <w:szCs w:val="16"/>
    </w:rPr>
  </w:style>
  <w:style w:type="character" w:customStyle="1" w:styleId="BalloonTextChar">
    <w:name w:val="Balloon Text Char"/>
    <w:basedOn w:val="DefaultParagraphFont"/>
    <w:link w:val="BalloonText"/>
    <w:semiHidden/>
    <w:rsid w:val="005368CB"/>
    <w:rPr>
      <w:rFonts w:ascii="Tahoma" w:eastAsiaTheme="minorHAnsi" w:hAnsi="Tahoma" w:cs="Tahoma"/>
      <w:spacing w:val="4"/>
      <w:w w:val="103"/>
      <w:sz w:val="16"/>
      <w:szCs w:val="16"/>
      <w:lang w:val="es-ES" w:eastAsia="en-US"/>
    </w:rPr>
  </w:style>
  <w:style w:type="paragraph" w:customStyle="1" w:styleId="Bullet1">
    <w:name w:val="Bullet 1"/>
    <w:basedOn w:val="Normal"/>
    <w:qFormat/>
    <w:rsid w:val="005368CB"/>
    <w:pPr>
      <w:numPr>
        <w:numId w:val="1"/>
      </w:numPr>
      <w:spacing w:after="120"/>
      <w:ind w:right="1264"/>
      <w:jc w:val="both"/>
    </w:pPr>
  </w:style>
  <w:style w:type="paragraph" w:customStyle="1" w:styleId="Bullet2">
    <w:name w:val="Bullet 2"/>
    <w:basedOn w:val="Normal"/>
    <w:qFormat/>
    <w:rsid w:val="005368CB"/>
    <w:pPr>
      <w:numPr>
        <w:numId w:val="2"/>
      </w:numPr>
      <w:spacing w:after="120"/>
      <w:ind w:right="1264"/>
      <w:jc w:val="both"/>
    </w:pPr>
  </w:style>
  <w:style w:type="paragraph" w:customStyle="1" w:styleId="Bullet3">
    <w:name w:val="Bullet 3"/>
    <w:basedOn w:val="SingleTxt"/>
    <w:qFormat/>
    <w:rsid w:val="005368C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368C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5368C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368CB"/>
    <w:pPr>
      <w:spacing w:after="80"/>
    </w:pPr>
  </w:style>
  <w:style w:type="character" w:customStyle="1" w:styleId="EndnoteTextChar">
    <w:name w:val="Endnote Text Char"/>
    <w:basedOn w:val="DefaultParagraphFont"/>
    <w:link w:val="EndnoteText"/>
    <w:semiHidden/>
    <w:rsid w:val="005368CB"/>
    <w:rPr>
      <w:rFonts w:ascii="Times New Roman" w:eastAsiaTheme="minorHAnsi" w:hAnsi="Times New Roman" w:cs="Times New Roman"/>
      <w:spacing w:val="5"/>
      <w:w w:val="104"/>
      <w:sz w:val="17"/>
      <w:lang w:val="es-ES" w:eastAsia="en-US"/>
    </w:rPr>
  </w:style>
  <w:style w:type="paragraph" w:styleId="Footer">
    <w:name w:val="footer"/>
    <w:link w:val="FooterChar"/>
    <w:qFormat/>
    <w:rsid w:val="005368C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5368CB"/>
    <w:rPr>
      <w:rFonts w:ascii="Times New Roman" w:eastAsiaTheme="minorHAnsi" w:hAnsi="Times New Roman" w:cs="Times New Roman"/>
      <w:b/>
      <w:noProof/>
      <w:sz w:val="17"/>
      <w:lang w:val="en-US" w:eastAsia="en-US"/>
    </w:rPr>
  </w:style>
  <w:style w:type="character" w:styleId="FootnoteReference">
    <w:name w:val="footnote reference"/>
    <w:semiHidden/>
    <w:rsid w:val="005368C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368C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368CB"/>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368C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5368C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368C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368C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368C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5368C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5368C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5368C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368C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368C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368CB"/>
    <w:rPr>
      <w:rFonts w:ascii="Cambria" w:eastAsia="Times New Roman" w:hAnsi="Cambria" w:cs="Times New Roman"/>
      <w:i/>
      <w:iCs/>
      <w:spacing w:val="5"/>
      <w:w w:val="103"/>
      <w:sz w:val="20"/>
      <w:szCs w:val="20"/>
      <w:lang w:val="es-ES" w:eastAsia="en-US"/>
    </w:rPr>
  </w:style>
  <w:style w:type="character" w:styleId="LineNumber">
    <w:name w:val="line number"/>
    <w:qFormat/>
    <w:rsid w:val="005368C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368CB"/>
    <w:pPr>
      <w:spacing w:line="240" w:lineRule="auto"/>
    </w:pPr>
  </w:style>
  <w:style w:type="paragraph" w:customStyle="1" w:styleId="Original">
    <w:name w:val="Original"/>
    <w:next w:val="Normal"/>
    <w:autoRedefine/>
    <w:qFormat/>
    <w:rsid w:val="005368C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5368C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368CB"/>
    <w:pPr>
      <w:tabs>
        <w:tab w:val="right" w:pos="9965"/>
      </w:tabs>
      <w:spacing w:line="210" w:lineRule="exact"/>
    </w:pPr>
    <w:rPr>
      <w:spacing w:val="5"/>
      <w:w w:val="104"/>
      <w:kern w:val="14"/>
      <w:sz w:val="17"/>
    </w:rPr>
  </w:style>
  <w:style w:type="paragraph" w:customStyle="1" w:styleId="SmallX">
    <w:name w:val="SmallX"/>
    <w:basedOn w:val="Small"/>
    <w:next w:val="Normal"/>
    <w:qFormat/>
    <w:rsid w:val="005368C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368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368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368C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5368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5368CB"/>
    <w:pPr>
      <w:spacing w:line="300" w:lineRule="exact"/>
    </w:pPr>
    <w:rPr>
      <w:spacing w:val="-2"/>
      <w:sz w:val="28"/>
    </w:rPr>
  </w:style>
  <w:style w:type="paragraph" w:styleId="Caption">
    <w:name w:val="caption"/>
    <w:basedOn w:val="Normal"/>
    <w:next w:val="Normal"/>
    <w:uiPriority w:val="35"/>
    <w:semiHidden/>
    <w:unhideWhenUsed/>
    <w:rsid w:val="005368CB"/>
    <w:pPr>
      <w:spacing w:line="240" w:lineRule="auto"/>
    </w:pPr>
    <w:rPr>
      <w:b/>
      <w:bCs/>
      <w:color w:val="4F81BD"/>
      <w:sz w:val="18"/>
      <w:szCs w:val="18"/>
    </w:rPr>
  </w:style>
  <w:style w:type="character" w:styleId="CommentReference">
    <w:name w:val="annotation reference"/>
    <w:semiHidden/>
    <w:rsid w:val="005368CB"/>
    <w:rPr>
      <w:sz w:val="6"/>
    </w:rPr>
  </w:style>
  <w:style w:type="paragraph" w:customStyle="1" w:styleId="HdBanner">
    <w:name w:val="Hd Banner"/>
    <w:basedOn w:val="Normal"/>
    <w:next w:val="Normal"/>
    <w:qFormat/>
    <w:rsid w:val="005368C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368C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368CB"/>
    <w:pPr>
      <w:spacing w:before="240"/>
    </w:pPr>
    <w:rPr>
      <w:b/>
      <w:spacing w:val="-2"/>
      <w:w w:val="100"/>
    </w:rPr>
  </w:style>
  <w:style w:type="paragraph" w:customStyle="1" w:styleId="HdChapterBdLg">
    <w:name w:val="Hd Chapter Bd Lg"/>
    <w:basedOn w:val="HdChapterBD"/>
    <w:next w:val="Normal"/>
    <w:qFormat/>
    <w:rsid w:val="005368CB"/>
    <w:rPr>
      <w:spacing w:val="-3"/>
      <w:w w:val="99"/>
      <w:kern w:val="14"/>
      <w:sz w:val="34"/>
      <w:szCs w:val="34"/>
    </w:rPr>
  </w:style>
  <w:style w:type="paragraph" w:customStyle="1" w:styleId="JournalHeading1">
    <w:name w:val="Journal_Heading1"/>
    <w:basedOn w:val="Normal"/>
    <w:next w:val="Normal"/>
    <w:qFormat/>
    <w:rsid w:val="005368CB"/>
    <w:pPr>
      <w:keepNext/>
      <w:spacing w:before="190" w:line="270" w:lineRule="exact"/>
    </w:pPr>
    <w:rPr>
      <w:b/>
      <w:kern w:val="14"/>
      <w:sz w:val="24"/>
    </w:rPr>
  </w:style>
  <w:style w:type="paragraph" w:customStyle="1" w:styleId="JournalHeading2">
    <w:name w:val="Journal_Heading2"/>
    <w:basedOn w:val="Normal"/>
    <w:next w:val="Normal"/>
    <w:qFormat/>
    <w:rsid w:val="005368CB"/>
    <w:pPr>
      <w:keepNext/>
      <w:keepLines/>
      <w:spacing w:before="240"/>
      <w:outlineLvl w:val="1"/>
    </w:pPr>
    <w:rPr>
      <w:b/>
      <w:spacing w:val="2"/>
      <w:kern w:val="14"/>
    </w:rPr>
  </w:style>
  <w:style w:type="paragraph" w:customStyle="1" w:styleId="JournalHeading4">
    <w:name w:val="Journal_Heading4"/>
    <w:basedOn w:val="Normal"/>
    <w:next w:val="Normal"/>
    <w:qFormat/>
    <w:rsid w:val="005368CB"/>
    <w:pPr>
      <w:keepNext/>
      <w:keepLines/>
      <w:spacing w:before="240"/>
      <w:outlineLvl w:val="3"/>
    </w:pPr>
    <w:rPr>
      <w:i/>
      <w:kern w:val="14"/>
    </w:rPr>
  </w:style>
  <w:style w:type="paragraph" w:customStyle="1" w:styleId="NormalBullet">
    <w:name w:val="Normal Bullet"/>
    <w:basedOn w:val="Normal"/>
    <w:next w:val="Normal"/>
    <w:qFormat/>
    <w:rsid w:val="005368C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368CB"/>
    <w:pPr>
      <w:tabs>
        <w:tab w:val="left" w:leader="dot" w:pos="2218"/>
        <w:tab w:val="left" w:pos="2707"/>
        <w:tab w:val="right" w:leader="dot" w:pos="9835"/>
      </w:tabs>
    </w:pPr>
    <w:rPr>
      <w:kern w:val="14"/>
    </w:rPr>
  </w:style>
  <w:style w:type="paragraph" w:customStyle="1" w:styleId="ReleaseDate0">
    <w:name w:val="ReleaseDate"/>
    <w:next w:val="Footer"/>
    <w:autoRedefine/>
    <w:qFormat/>
    <w:rsid w:val="005368C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368C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368CB"/>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AF0B64"/>
    <w:pPr>
      <w:spacing w:line="240" w:lineRule="auto"/>
    </w:pPr>
    <w:rPr>
      <w:szCs w:val="20"/>
    </w:rPr>
  </w:style>
  <w:style w:type="character" w:customStyle="1" w:styleId="CommentTextChar">
    <w:name w:val="Comment Text Char"/>
    <w:basedOn w:val="DefaultParagraphFont"/>
    <w:link w:val="CommentText"/>
    <w:uiPriority w:val="99"/>
    <w:semiHidden/>
    <w:rsid w:val="00AF0B6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F0B64"/>
    <w:rPr>
      <w:b/>
      <w:bCs/>
    </w:rPr>
  </w:style>
  <w:style w:type="character" w:customStyle="1" w:styleId="CommentSubjectChar">
    <w:name w:val="Comment Subject Char"/>
    <w:basedOn w:val="CommentTextChar"/>
    <w:link w:val="CommentSubject"/>
    <w:uiPriority w:val="99"/>
    <w:semiHidden/>
    <w:rsid w:val="00AF0B64"/>
    <w:rPr>
      <w:rFonts w:ascii="Times New Roman" w:eastAsiaTheme="minorHAnsi" w:hAnsi="Times New Roman" w:cs="Times New Roman"/>
      <w:b/>
      <w:bCs/>
      <w:spacing w:val="4"/>
      <w:w w:val="103"/>
      <w:sz w:val="20"/>
      <w:szCs w:val="20"/>
      <w:lang w:val="es-ES" w:eastAsia="en-US"/>
    </w:rPr>
  </w:style>
  <w:style w:type="paragraph" w:customStyle="1" w:styleId="Bullet1G">
    <w:name w:val="_Bullet 1_G"/>
    <w:basedOn w:val="Normal"/>
    <w:qFormat/>
    <w:rsid w:val="006415A2"/>
    <w:p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4A3E16"/>
    <w:p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styleId="Revision">
    <w:name w:val="Revision"/>
    <w:hidden/>
    <w:uiPriority w:val="99"/>
    <w:semiHidden/>
    <w:rsid w:val="003065C8"/>
    <w:pPr>
      <w:spacing w:after="0" w:line="240" w:lineRule="auto"/>
    </w:pPr>
    <w:rPr>
      <w:rFonts w:ascii="Times New Roman" w:eastAsiaTheme="minorHAnsi"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7E0C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AT/C/CAN/FCO/7"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omen-gender-equality.canada.ca/en/gender-based-violence-knowledge-centre/joint-declaration-canada-free-of-gender-based-violence.html" TargetMode="External"/><Relationship Id="rId2" Type="http://schemas.openxmlformats.org/officeDocument/2006/relationships/hyperlink" Target="https://women-gender-equality.canada.ca/en/gender-based-violence-knowledge-centre/joint-declaration-canada-free-of-gender-based-violence.html" TargetMode="External"/><Relationship Id="rId1" Type="http://schemas.openxmlformats.org/officeDocument/2006/relationships/hyperlink" Target="https://undocs.org/es/CEDAW/C/CAN/QPR/1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21695</Words>
  <Characters>123665</Characters>
  <Application>Microsoft Office Word</Application>
  <DocSecurity>0</DocSecurity>
  <Lines>1030</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Maria Cristina Arias Bal</cp:lastModifiedBy>
  <cp:revision>3</cp:revision>
  <cp:lastPrinted>2022-11-18T20:02:00Z</cp:lastPrinted>
  <dcterms:created xsi:type="dcterms:W3CDTF">2022-11-18T20:02:00Z</dcterms:created>
  <dcterms:modified xsi:type="dcterms:W3CDTF">2022-11-18T20:02:00Z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2212459</vt:lpwstr>
  </property>
  <property fmtid="{D5CDD505-2E9C-101B-9397-08002B2CF9AE}" pid="3" name="ODSRefJobNo">
    <vt:lpwstr>2245654</vt:lpwstr>
  </property>
  <property fmtid="{D5CDD505-2E9C-101B-9397-08002B2CF9AE}" pid="4" name="Symbol1">
    <vt:lpwstr>CEDAW/C/CAN/10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Décimo informe periódico que el Canadá debía presentar en 2020 en virtud del artículo 18 de la Convención*,**_x000d_</vt:lpwstr>
  </property>
  <property fmtid="{D5CDD505-2E9C-101B-9397-08002B2CF9AE}" pid="9" name="Comment">
    <vt:lpwstr>from 2212459S_Quality control of external TR_EDIT_QC COMP OK_x000d_
TUve que dar formato y hacer web link. real time 70 min total</vt:lpwstr>
  </property>
  <property fmtid="{D5CDD505-2E9C-101B-9397-08002B2CF9AE}" pid="10" name="DraftPages">
    <vt:lpwstr>43</vt:lpwstr>
  </property>
  <property fmtid="{D5CDD505-2E9C-101B-9397-08002B2CF9AE}" pid="11" name="Operator">
    <vt:lpwstr>JMártin</vt:lpwstr>
  </property>
  <property fmtid="{D5CDD505-2E9C-101B-9397-08002B2CF9AE}" pid="12" name="Translator">
    <vt:lpwstr>SRebollo</vt:lpwstr>
  </property>
</Properties>
</file>