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7ED0911" w14:textId="77777777" w:rsidTr="00281242">
        <w:trPr>
          <w:trHeight w:hRule="exact" w:val="851"/>
        </w:trPr>
        <w:tc>
          <w:tcPr>
            <w:tcW w:w="1274" w:type="dxa"/>
            <w:tcBorders>
              <w:bottom w:val="single" w:sz="4" w:space="0" w:color="auto"/>
            </w:tcBorders>
            <w:shd w:val="clear" w:color="auto" w:fill="auto"/>
          </w:tcPr>
          <w:p w14:paraId="7F550DC4"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7CFE1D92"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3BC17688" w14:textId="77777777" w:rsidR="006B3E27" w:rsidRPr="00281242" w:rsidRDefault="008B6861" w:rsidP="0019726F">
            <w:pPr>
              <w:bidi w:val="0"/>
              <w:spacing w:after="20"/>
              <w:jc w:val="left"/>
              <w:rPr>
                <w:szCs w:val="20"/>
              </w:rPr>
            </w:pPr>
            <w:r w:rsidRPr="008B6861">
              <w:rPr>
                <w:sz w:val="40"/>
                <w:szCs w:val="20"/>
              </w:rPr>
              <w:t>C</w:t>
            </w:r>
            <w:r w:rsidRPr="0019726F">
              <w:rPr>
                <w:sz w:val="40"/>
                <w:szCs w:val="20"/>
              </w:rPr>
              <w:t>ED</w:t>
            </w:r>
            <w:r>
              <w:rPr>
                <w:szCs w:val="20"/>
              </w:rPr>
              <w:t>/C/</w:t>
            </w:r>
            <w:r w:rsidRPr="003C4339">
              <w:rPr>
                <w:szCs w:val="20"/>
              </w:rPr>
              <w:t>19</w:t>
            </w:r>
            <w:r>
              <w:rPr>
                <w:szCs w:val="20"/>
              </w:rPr>
              <w:t>/</w:t>
            </w:r>
            <w:r w:rsidRPr="003C4339">
              <w:rPr>
                <w:szCs w:val="20"/>
              </w:rPr>
              <w:t>2</w:t>
            </w:r>
          </w:p>
        </w:tc>
      </w:tr>
      <w:tr w:rsidR="006B3E27" w:rsidRPr="00ED7442" w14:paraId="0C73C930" w14:textId="77777777" w:rsidTr="00281242">
        <w:trPr>
          <w:trHeight w:hRule="exact" w:val="2835"/>
        </w:trPr>
        <w:tc>
          <w:tcPr>
            <w:tcW w:w="1274" w:type="dxa"/>
            <w:tcBorders>
              <w:top w:val="single" w:sz="4" w:space="0" w:color="auto"/>
              <w:bottom w:val="single" w:sz="12" w:space="0" w:color="auto"/>
            </w:tcBorders>
            <w:shd w:val="clear" w:color="auto" w:fill="auto"/>
          </w:tcPr>
          <w:p w14:paraId="2B81737F" w14:textId="369307FC" w:rsidR="006B3E27" w:rsidRPr="00281242" w:rsidRDefault="00142F35" w:rsidP="00281242">
            <w:pPr>
              <w:jc w:val="center"/>
              <w:rPr>
                <w:sz w:val="56"/>
                <w:szCs w:val="56"/>
                <w:rtl/>
              </w:rPr>
            </w:pPr>
            <w:r>
              <w:rPr>
                <w:noProof/>
                <w:sz w:val="56"/>
                <w:szCs w:val="56"/>
              </w:rPr>
              <w:drawing>
                <wp:inline distT="0" distB="0" distL="0" distR="0" wp14:anchorId="1EEE595A" wp14:editId="473E280B">
                  <wp:extent cx="631190" cy="61468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31190" cy="61468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03889F5" w14:textId="51490563" w:rsidR="006B3E27" w:rsidRPr="00281242" w:rsidRDefault="00A2287B" w:rsidP="00A2287B">
            <w:pPr>
              <w:spacing w:before="120" w:after="40" w:line="640" w:lineRule="exact"/>
              <w:ind w:right="138"/>
              <w:rPr>
                <w:b/>
                <w:bCs/>
                <w:sz w:val="56"/>
                <w:szCs w:val="56"/>
              </w:rPr>
            </w:pPr>
            <w:r w:rsidRPr="000D7E23">
              <w:rPr>
                <w:rFonts w:hint="cs"/>
                <w:b/>
                <w:bCs/>
                <w:spacing w:val="-2"/>
                <w:sz w:val="56"/>
                <w:szCs w:val="56"/>
                <w:rtl/>
              </w:rPr>
              <w:t>الاتفاقيـة الدوليـة لحماية جميع الأشخاص من الاختفاء القسري</w:t>
            </w:r>
          </w:p>
        </w:tc>
        <w:tc>
          <w:tcPr>
            <w:tcW w:w="3402" w:type="dxa"/>
            <w:tcBorders>
              <w:top w:val="single" w:sz="4" w:space="0" w:color="auto"/>
              <w:bottom w:val="single" w:sz="12" w:space="0" w:color="auto"/>
            </w:tcBorders>
            <w:shd w:val="clear" w:color="auto" w:fill="auto"/>
          </w:tcPr>
          <w:p w14:paraId="1FB85A96" w14:textId="77777777" w:rsidR="00C7148C" w:rsidRPr="00C7148C" w:rsidRDefault="00C7148C" w:rsidP="00C7148C">
            <w:pPr>
              <w:bidi w:val="0"/>
              <w:spacing w:before="240" w:line="240" w:lineRule="auto"/>
              <w:jc w:val="left"/>
              <w:rPr>
                <w:rFonts w:eastAsia="SimSun" w:cs="Times New Roman"/>
                <w:szCs w:val="20"/>
                <w:lang w:val="en-GB" w:eastAsia="zh-CN"/>
              </w:rPr>
            </w:pPr>
            <w:r w:rsidRPr="00C7148C">
              <w:rPr>
                <w:rFonts w:eastAsia="SimSun" w:cs="Times New Roman"/>
                <w:szCs w:val="20"/>
                <w:lang w:val="en-GB" w:eastAsia="zh-CN"/>
              </w:rPr>
              <w:t>Distr.: General</w:t>
            </w:r>
          </w:p>
          <w:p w14:paraId="7E77E0CA" w14:textId="77777777" w:rsidR="00C7148C" w:rsidRPr="00C7148C" w:rsidRDefault="00C7148C" w:rsidP="00C7148C">
            <w:pPr>
              <w:bidi w:val="0"/>
              <w:spacing w:line="240" w:lineRule="auto"/>
              <w:jc w:val="left"/>
              <w:rPr>
                <w:rFonts w:eastAsia="SimSun" w:cs="Times New Roman"/>
                <w:szCs w:val="20"/>
                <w:lang w:val="en-GB" w:eastAsia="zh-CN"/>
              </w:rPr>
            </w:pPr>
            <w:r w:rsidRPr="003C4339">
              <w:rPr>
                <w:rFonts w:eastAsia="SimSun" w:cs="Times New Roman"/>
                <w:szCs w:val="20"/>
                <w:lang w:val="en-GB" w:eastAsia="zh-CN"/>
              </w:rPr>
              <w:t>29</w:t>
            </w:r>
            <w:r w:rsidRPr="00C7148C">
              <w:rPr>
                <w:rFonts w:eastAsia="SimSun" w:cs="Times New Roman"/>
                <w:szCs w:val="20"/>
                <w:lang w:val="en-GB" w:eastAsia="zh-CN"/>
              </w:rPr>
              <w:t xml:space="preserve"> October </w:t>
            </w:r>
            <w:r w:rsidRPr="003C4339">
              <w:rPr>
                <w:rFonts w:eastAsia="SimSun" w:cs="Times New Roman"/>
                <w:szCs w:val="20"/>
                <w:lang w:val="en-GB" w:eastAsia="zh-CN"/>
              </w:rPr>
              <w:t>2020</w:t>
            </w:r>
          </w:p>
          <w:p w14:paraId="57F79D58" w14:textId="103B284B" w:rsidR="00C7148C" w:rsidRPr="00C7148C" w:rsidRDefault="00C7148C" w:rsidP="00C7148C">
            <w:pPr>
              <w:bidi w:val="0"/>
              <w:spacing w:line="240" w:lineRule="auto"/>
              <w:jc w:val="left"/>
              <w:rPr>
                <w:rFonts w:eastAsia="SimSun" w:cs="Times New Roman"/>
                <w:szCs w:val="20"/>
                <w:lang w:val="en-GB" w:eastAsia="zh-CN"/>
              </w:rPr>
            </w:pPr>
            <w:r>
              <w:rPr>
                <w:rFonts w:eastAsia="SimSun" w:cs="Times New Roman"/>
                <w:szCs w:val="20"/>
                <w:lang w:val="en-GB" w:eastAsia="zh-CN"/>
              </w:rPr>
              <w:t>Arabic</w:t>
            </w:r>
          </w:p>
          <w:p w14:paraId="0EB68E0A" w14:textId="515C0B77" w:rsidR="0019726F" w:rsidRPr="00C7148C" w:rsidRDefault="00C7148C" w:rsidP="00C7148C">
            <w:pPr>
              <w:bidi w:val="0"/>
              <w:jc w:val="left"/>
              <w:rPr>
                <w:szCs w:val="20"/>
                <w:lang w:val="en-GB"/>
              </w:rPr>
            </w:pPr>
            <w:r w:rsidRPr="00C7148C">
              <w:rPr>
                <w:rFonts w:eastAsia="SimSun" w:cs="Times New Roman"/>
                <w:szCs w:val="20"/>
                <w:lang w:val="en-GB" w:eastAsia="zh-CN"/>
              </w:rPr>
              <w:t>Original: English</w:t>
            </w:r>
          </w:p>
        </w:tc>
      </w:tr>
    </w:tbl>
    <w:p w14:paraId="50F9E8B7" w14:textId="5521B68F" w:rsidR="0019726F" w:rsidRDefault="0019726F" w:rsidP="00C7148C">
      <w:pPr>
        <w:pStyle w:val="SingleTxtGA"/>
        <w:spacing w:before="120" w:after="0"/>
        <w:ind w:left="0"/>
        <w:rPr>
          <w:b/>
          <w:bCs/>
          <w:sz w:val="36"/>
          <w:szCs w:val="36"/>
          <w:rtl/>
        </w:rPr>
      </w:pPr>
      <w:r w:rsidRPr="0019726F">
        <w:rPr>
          <w:b/>
          <w:bCs/>
          <w:sz w:val="36"/>
          <w:szCs w:val="36"/>
          <w:rtl/>
        </w:rPr>
        <w:t>اللجنة المعنية بحالات الاختفاء القسري</w:t>
      </w:r>
    </w:p>
    <w:p w14:paraId="1BC0EDA7" w14:textId="35F54F6C" w:rsidR="0019726F" w:rsidRPr="00A705A5" w:rsidRDefault="0019726F" w:rsidP="0019726F">
      <w:pPr>
        <w:pStyle w:val="HChGA"/>
        <w:rPr>
          <w:rtl/>
        </w:rPr>
      </w:pPr>
      <w:r>
        <w:rPr>
          <w:rtl/>
        </w:rPr>
        <w:tab/>
      </w:r>
      <w:r>
        <w:rPr>
          <w:rtl/>
        </w:rPr>
        <w:tab/>
      </w:r>
      <w:r w:rsidRPr="00A705A5">
        <w:rPr>
          <w:rtl/>
        </w:rPr>
        <w:t xml:space="preserve">تقرير عن طلبات الإجراءات العاجلة المقدمة بموجب المادة </w:t>
      </w:r>
      <w:r w:rsidRPr="00A705A5">
        <w:rPr>
          <w:szCs w:val="28"/>
          <w:rtl/>
        </w:rPr>
        <w:t>30</w:t>
      </w:r>
      <w:r w:rsidRPr="00A705A5">
        <w:rPr>
          <w:rtl/>
        </w:rPr>
        <w:t xml:space="preserve"> من الاتفاقية</w:t>
      </w:r>
      <w:r w:rsidR="00C7148C" w:rsidRPr="00A705A5">
        <w:rPr>
          <w:rStyle w:val="FootnoteReference"/>
          <w:sz w:val="36"/>
          <w:szCs w:val="30"/>
          <w:vertAlign w:val="baseline"/>
          <w:rtl/>
        </w:rPr>
        <w:footnoteReference w:customMarkFollows="1" w:id="1"/>
        <w:t>*</w:t>
      </w:r>
    </w:p>
    <w:p w14:paraId="5369D0BF" w14:textId="096565B8" w:rsidR="0019726F" w:rsidRPr="00A705A5" w:rsidRDefault="0019726F" w:rsidP="0019726F">
      <w:pPr>
        <w:pStyle w:val="H1GA"/>
        <w:rPr>
          <w:rtl/>
        </w:rPr>
      </w:pPr>
      <w:r w:rsidRPr="00A705A5">
        <w:rPr>
          <w:rtl/>
        </w:rPr>
        <w:tab/>
        <w:t>ألف-</w:t>
      </w:r>
      <w:r w:rsidRPr="00A705A5">
        <w:rPr>
          <w:rtl/>
        </w:rPr>
        <w:tab/>
        <w:t>مقدمة</w:t>
      </w:r>
    </w:p>
    <w:p w14:paraId="1D7A0841" w14:textId="5AD5844F" w:rsidR="0019726F" w:rsidRPr="00A705A5" w:rsidRDefault="0019726F" w:rsidP="0019726F">
      <w:pPr>
        <w:pStyle w:val="SingleTxtGA"/>
        <w:rPr>
          <w:rtl/>
        </w:rPr>
      </w:pPr>
      <w:r w:rsidRPr="00A705A5">
        <w:rPr>
          <w:szCs w:val="20"/>
          <w:rtl/>
        </w:rPr>
        <w:t>1</w:t>
      </w:r>
      <w:r w:rsidRPr="00A705A5">
        <w:rPr>
          <w:rtl/>
        </w:rPr>
        <w:t>-</w:t>
      </w:r>
      <w:r w:rsidRPr="00A705A5">
        <w:rPr>
          <w:rtl/>
        </w:rPr>
        <w:tab/>
        <w:t xml:space="preserve">تنص المادتان </w:t>
      </w:r>
      <w:r w:rsidRPr="00A705A5">
        <w:rPr>
          <w:szCs w:val="20"/>
          <w:rtl/>
        </w:rPr>
        <w:t>57</w:t>
      </w:r>
      <w:r w:rsidRPr="00A705A5">
        <w:rPr>
          <w:rtl/>
        </w:rPr>
        <w:t xml:space="preserve"> و</w:t>
      </w:r>
      <w:r w:rsidRPr="00A705A5">
        <w:rPr>
          <w:szCs w:val="20"/>
          <w:rtl/>
        </w:rPr>
        <w:t>58</w:t>
      </w:r>
      <w:r w:rsidRPr="00A705A5">
        <w:rPr>
          <w:rtl/>
        </w:rPr>
        <w:t xml:space="preserve"> من النظام الداخلي للجنة على توجيه نظر اللجنة إلى جميع طلبات الإجراءات العاجلة المقدمة لكي تنظر فيها وفقاً للمادة </w:t>
      </w:r>
      <w:r w:rsidRPr="00A705A5">
        <w:rPr>
          <w:szCs w:val="20"/>
          <w:rtl/>
        </w:rPr>
        <w:t>30</w:t>
      </w:r>
      <w:r w:rsidRPr="00A705A5">
        <w:rPr>
          <w:rtl/>
        </w:rPr>
        <w:t xml:space="preserve"> من الاتفاقية. ويمكن أن يُتاح لأي عضو من أعضاء اللجنة، بناءً على طلبه، النص الكامل لأي طلب من هذا القبيل باللغة التي قُدِّم بها. ويوجز هذا التقرير المسائل الرئيسية التي تم التطرق إليها فيما يتعلق بطلبات الإجراءات العاجلة التي</w:t>
      </w:r>
      <w:r w:rsidR="00A2287B" w:rsidRPr="00A705A5">
        <w:rPr>
          <w:rFonts w:hint="cs"/>
          <w:rtl/>
        </w:rPr>
        <w:t> </w:t>
      </w:r>
      <w:r w:rsidRPr="00A705A5">
        <w:rPr>
          <w:rtl/>
        </w:rPr>
        <w:t xml:space="preserve">تلقتها اللجنة بموجب المادة </w:t>
      </w:r>
      <w:r w:rsidRPr="00A705A5">
        <w:rPr>
          <w:szCs w:val="20"/>
          <w:rtl/>
        </w:rPr>
        <w:t>30</w:t>
      </w:r>
      <w:r w:rsidRPr="00A705A5">
        <w:rPr>
          <w:rtl/>
        </w:rPr>
        <w:t xml:space="preserve"> من الاتفاقية، والقرارات المتخذة بشأن تلك الطلبات منذ الدورة السابعة عشرة.</w:t>
      </w:r>
    </w:p>
    <w:p w14:paraId="6D9B696C" w14:textId="11FBE830" w:rsidR="0019726F" w:rsidRPr="00A705A5" w:rsidRDefault="0019726F" w:rsidP="0019726F">
      <w:pPr>
        <w:pStyle w:val="H1GA"/>
        <w:rPr>
          <w:rtl/>
        </w:rPr>
      </w:pPr>
      <w:r w:rsidRPr="00A705A5">
        <w:rPr>
          <w:rtl/>
        </w:rPr>
        <w:tab/>
        <w:t>باء-</w:t>
      </w:r>
      <w:r w:rsidRPr="00A705A5">
        <w:rPr>
          <w:rtl/>
        </w:rPr>
        <w:tab/>
        <w:t>طلبات الإجراءات العاجلة الواردة منذ الدورة السابعة عشرة للجنة</w:t>
      </w:r>
    </w:p>
    <w:p w14:paraId="7E283CD5" w14:textId="44CA800F" w:rsidR="0019726F" w:rsidRPr="00A705A5" w:rsidRDefault="0019726F" w:rsidP="0019726F">
      <w:pPr>
        <w:pStyle w:val="SingleTxtGA"/>
        <w:rPr>
          <w:spacing w:val="2"/>
          <w:rtl/>
        </w:rPr>
      </w:pPr>
      <w:r w:rsidRPr="00A705A5">
        <w:rPr>
          <w:spacing w:val="2"/>
          <w:szCs w:val="20"/>
          <w:rtl/>
        </w:rPr>
        <w:t>2</w:t>
      </w:r>
      <w:r w:rsidRPr="00A705A5">
        <w:rPr>
          <w:spacing w:val="2"/>
          <w:rtl/>
        </w:rPr>
        <w:t>-</w:t>
      </w:r>
      <w:r w:rsidRPr="00A705A5">
        <w:rPr>
          <w:spacing w:val="-2"/>
          <w:rtl/>
        </w:rPr>
        <w:tab/>
        <w:t>بيّنت اللجنة، في تقريرها المتعلق بطلبات الإجراءات العاجلة والمعتمد في دورتها السابعة عشرة</w:t>
      </w:r>
      <w:r w:rsidR="00A2287B" w:rsidRPr="00A705A5">
        <w:rPr>
          <w:rFonts w:hint="cs"/>
          <w:spacing w:val="-2"/>
          <w:rtl/>
        </w:rPr>
        <w:t xml:space="preserve"> </w:t>
      </w:r>
      <w:r w:rsidR="00A2287B" w:rsidRPr="00A705A5">
        <w:rPr>
          <w:spacing w:val="2"/>
        </w:rPr>
        <w:t>(CED/C/17/2)</w:t>
      </w:r>
      <w:r w:rsidRPr="00A705A5">
        <w:rPr>
          <w:spacing w:val="2"/>
          <w:rtl/>
        </w:rPr>
        <w:t xml:space="preserve">، القرارات التي اتُّخذت بشأن طلبات الإجراءات العاجلة المسجّلة حتى </w:t>
      </w:r>
      <w:r w:rsidRPr="00A705A5">
        <w:rPr>
          <w:spacing w:val="2"/>
          <w:szCs w:val="20"/>
          <w:rtl/>
        </w:rPr>
        <w:t>30</w:t>
      </w:r>
      <w:r w:rsidRPr="00A705A5">
        <w:rPr>
          <w:spacing w:val="2"/>
          <w:rtl/>
        </w:rPr>
        <w:t xml:space="preserve"> أيلول/</w:t>
      </w:r>
      <w:r w:rsidR="00A2287B" w:rsidRPr="00A705A5">
        <w:rPr>
          <w:rFonts w:hint="cs"/>
          <w:spacing w:val="2"/>
          <w:rtl/>
        </w:rPr>
        <w:t xml:space="preserve">  </w:t>
      </w:r>
      <w:r w:rsidRPr="00A705A5">
        <w:rPr>
          <w:spacing w:val="2"/>
          <w:rtl/>
        </w:rPr>
        <w:t xml:space="preserve">سبتمبر </w:t>
      </w:r>
      <w:r w:rsidRPr="00A705A5">
        <w:rPr>
          <w:spacing w:val="2"/>
          <w:szCs w:val="20"/>
          <w:rtl/>
        </w:rPr>
        <w:t>2019</w:t>
      </w:r>
      <w:r w:rsidRPr="00A705A5">
        <w:rPr>
          <w:spacing w:val="2"/>
          <w:rtl/>
        </w:rPr>
        <w:t xml:space="preserve">، والبالغ عددها </w:t>
      </w:r>
      <w:r w:rsidRPr="00A705A5">
        <w:rPr>
          <w:spacing w:val="2"/>
          <w:szCs w:val="20"/>
          <w:rtl/>
        </w:rPr>
        <w:t>782</w:t>
      </w:r>
      <w:r w:rsidRPr="00A705A5">
        <w:rPr>
          <w:spacing w:val="2"/>
          <w:rtl/>
        </w:rPr>
        <w:t xml:space="preserve"> طلباً. وفي الفترة من ذلك التاريخ حتى </w:t>
      </w:r>
      <w:r w:rsidRPr="00A705A5">
        <w:rPr>
          <w:spacing w:val="2"/>
          <w:szCs w:val="20"/>
          <w:rtl/>
        </w:rPr>
        <w:t>31</w:t>
      </w:r>
      <w:r w:rsidRPr="00A705A5">
        <w:rPr>
          <w:spacing w:val="2"/>
          <w:rtl/>
        </w:rPr>
        <w:t xml:space="preserve"> آب/أغسطس </w:t>
      </w:r>
      <w:r w:rsidRPr="00A705A5">
        <w:rPr>
          <w:spacing w:val="2"/>
          <w:szCs w:val="20"/>
          <w:rtl/>
        </w:rPr>
        <w:t>2020</w:t>
      </w:r>
      <w:r w:rsidRPr="00A705A5">
        <w:rPr>
          <w:spacing w:val="2"/>
          <w:rtl/>
        </w:rPr>
        <w:t xml:space="preserve">، تلقّت اللجنة </w:t>
      </w:r>
      <w:r w:rsidRPr="00A705A5">
        <w:rPr>
          <w:spacing w:val="2"/>
          <w:szCs w:val="20"/>
          <w:rtl/>
        </w:rPr>
        <w:t>187</w:t>
      </w:r>
      <w:r w:rsidRPr="00A705A5">
        <w:rPr>
          <w:spacing w:val="2"/>
          <w:rtl/>
        </w:rPr>
        <w:t xml:space="preserve"> طلباً جديداً لاتخاذ الإجراءات العاجلة، سُجل منها </w:t>
      </w:r>
      <w:r w:rsidRPr="00A705A5">
        <w:rPr>
          <w:spacing w:val="2"/>
          <w:szCs w:val="20"/>
          <w:rtl/>
        </w:rPr>
        <w:t>186</w:t>
      </w:r>
      <w:r w:rsidRPr="00A705A5">
        <w:rPr>
          <w:spacing w:val="2"/>
          <w:rtl/>
        </w:rPr>
        <w:t xml:space="preserve"> طلباً. ولم يُسجل طلب واحد يتعلق بتشيكيا. وتتعلق الطلبات الجديدة المسجلة البالغ عددها </w:t>
      </w:r>
      <w:r w:rsidRPr="00A705A5">
        <w:rPr>
          <w:spacing w:val="2"/>
          <w:szCs w:val="20"/>
          <w:rtl/>
        </w:rPr>
        <w:t>186</w:t>
      </w:r>
      <w:r w:rsidRPr="00A705A5">
        <w:rPr>
          <w:spacing w:val="2"/>
          <w:rtl/>
        </w:rPr>
        <w:t xml:space="preserve"> طلباً بحالات اختفاء في</w:t>
      </w:r>
      <w:r w:rsidR="00A2287B" w:rsidRPr="00A705A5">
        <w:rPr>
          <w:rFonts w:hint="cs"/>
          <w:spacing w:val="2"/>
          <w:rtl/>
        </w:rPr>
        <w:t> </w:t>
      </w:r>
      <w:r w:rsidRPr="00A705A5">
        <w:rPr>
          <w:spacing w:val="2"/>
          <w:rtl/>
        </w:rPr>
        <w:t xml:space="preserve">بوليفيا (دولة - المتعددة القوميات) وسلوفاكيا والعراق وكمبوديا وكوبا وكولومبيا وليتوانيا ومالي والمكسيك والنيجر وهندوراس. ويتضمن هذا التقرير قائمة بطلبات الإجراءات العاجلة المسجلة (انظر الجدول </w:t>
      </w:r>
      <w:r w:rsidRPr="00A705A5">
        <w:rPr>
          <w:spacing w:val="2"/>
          <w:szCs w:val="20"/>
          <w:rtl/>
        </w:rPr>
        <w:t>1</w:t>
      </w:r>
      <w:r w:rsidRPr="00A705A5">
        <w:rPr>
          <w:spacing w:val="2"/>
          <w:rtl/>
        </w:rPr>
        <w:t>).</w:t>
      </w:r>
    </w:p>
    <w:p w14:paraId="68B2A718" w14:textId="77777777" w:rsidR="0019726F" w:rsidRPr="00A705A5" w:rsidRDefault="0019726F" w:rsidP="0019726F">
      <w:pPr>
        <w:pStyle w:val="SingleTxtGA"/>
        <w:rPr>
          <w:rtl/>
        </w:rPr>
      </w:pPr>
      <w:r w:rsidRPr="00A705A5">
        <w:rPr>
          <w:szCs w:val="20"/>
          <w:rtl/>
        </w:rPr>
        <w:t>3</w:t>
      </w:r>
      <w:r w:rsidRPr="00A705A5">
        <w:rPr>
          <w:rtl/>
        </w:rPr>
        <w:t>-</w:t>
      </w:r>
      <w:r w:rsidRPr="00A705A5">
        <w:rPr>
          <w:rtl/>
        </w:rPr>
        <w:tab/>
        <w:t xml:space="preserve">وفي الفترة من عام </w:t>
      </w:r>
      <w:r w:rsidRPr="00A705A5">
        <w:rPr>
          <w:szCs w:val="20"/>
          <w:rtl/>
        </w:rPr>
        <w:t>2012</w:t>
      </w:r>
      <w:r w:rsidRPr="00A705A5">
        <w:rPr>
          <w:rtl/>
        </w:rPr>
        <w:t xml:space="preserve"> إلى </w:t>
      </w:r>
      <w:r w:rsidRPr="00A705A5">
        <w:rPr>
          <w:szCs w:val="20"/>
          <w:rtl/>
        </w:rPr>
        <w:t>31</w:t>
      </w:r>
      <w:r w:rsidRPr="00A705A5">
        <w:rPr>
          <w:rtl/>
        </w:rPr>
        <w:t xml:space="preserve"> آب/أغسطس </w:t>
      </w:r>
      <w:r w:rsidRPr="00A705A5">
        <w:rPr>
          <w:szCs w:val="20"/>
          <w:rtl/>
        </w:rPr>
        <w:t>2020</w:t>
      </w:r>
      <w:r w:rsidRPr="00A705A5">
        <w:rPr>
          <w:rtl/>
        </w:rPr>
        <w:t xml:space="preserve">، سجلت اللجنة ما مجموعه </w:t>
      </w:r>
      <w:r w:rsidRPr="00A705A5">
        <w:rPr>
          <w:szCs w:val="20"/>
          <w:rtl/>
        </w:rPr>
        <w:t>969</w:t>
      </w:r>
      <w:r w:rsidRPr="00A705A5">
        <w:rPr>
          <w:rtl/>
        </w:rPr>
        <w:t xml:space="preserve"> طلباً لاتخاذ الإجراءات العاجلة، على النحو المبين في الجدول </w:t>
      </w:r>
      <w:r w:rsidRPr="00A705A5">
        <w:rPr>
          <w:szCs w:val="20"/>
          <w:rtl/>
        </w:rPr>
        <w:t>1</w:t>
      </w:r>
      <w:r w:rsidRPr="00A705A5">
        <w:rPr>
          <w:rtl/>
        </w:rPr>
        <w:t>.</w:t>
      </w:r>
    </w:p>
    <w:p w14:paraId="1E6189C0" w14:textId="68B4BB28" w:rsidR="00673245" w:rsidRPr="00A705A5" w:rsidRDefault="00C7148C" w:rsidP="00C7148C">
      <w:pPr>
        <w:pStyle w:val="SingleTxtGA"/>
        <w:rPr>
          <w:b/>
          <w:bCs/>
          <w:rtl/>
        </w:rPr>
      </w:pPr>
      <w:r w:rsidRPr="00A705A5">
        <w:rPr>
          <w:rtl/>
        </w:rPr>
        <w:br w:type="page"/>
      </w:r>
      <w:r w:rsidR="0019726F" w:rsidRPr="00A705A5">
        <w:rPr>
          <w:rtl/>
        </w:rPr>
        <w:lastRenderedPageBreak/>
        <w:t xml:space="preserve">الجدول </w:t>
      </w:r>
      <w:r w:rsidR="0019726F" w:rsidRPr="00A705A5">
        <w:rPr>
          <w:szCs w:val="20"/>
          <w:rtl/>
        </w:rPr>
        <w:t>1</w:t>
      </w:r>
      <w:r w:rsidRPr="00A705A5">
        <w:rPr>
          <w:rtl/>
        </w:rPr>
        <w:tab/>
      </w:r>
      <w:r w:rsidRPr="00A705A5">
        <w:rPr>
          <w:rtl/>
        </w:rPr>
        <w:br/>
      </w:r>
      <w:r w:rsidR="0019726F" w:rsidRPr="00A705A5">
        <w:rPr>
          <w:b/>
          <w:bCs/>
          <w:rtl/>
        </w:rPr>
        <w:t xml:space="preserve">طلبات الإجراءات العاجلة المسجلة حتى </w:t>
      </w:r>
      <w:r w:rsidR="0019726F" w:rsidRPr="00A705A5">
        <w:rPr>
          <w:b/>
          <w:bCs/>
          <w:szCs w:val="20"/>
          <w:rtl/>
        </w:rPr>
        <w:t>31</w:t>
      </w:r>
      <w:r w:rsidR="0019726F" w:rsidRPr="00A705A5">
        <w:rPr>
          <w:b/>
          <w:bCs/>
          <w:rtl/>
        </w:rPr>
        <w:t xml:space="preserve"> آب/أغسطس </w:t>
      </w:r>
      <w:r w:rsidR="0019726F" w:rsidRPr="00A705A5">
        <w:rPr>
          <w:b/>
          <w:bCs/>
          <w:szCs w:val="20"/>
          <w:rtl/>
        </w:rPr>
        <w:t>2020</w:t>
      </w:r>
      <w:r w:rsidR="0019726F" w:rsidRPr="00A705A5">
        <w:rPr>
          <w:b/>
          <w:bCs/>
          <w:rtl/>
        </w:rPr>
        <w:t>، لكل سنة ولكل دولة طرف</w:t>
      </w:r>
    </w:p>
    <w:tbl>
      <w:tblPr>
        <w:bidiVisual/>
        <w:tblW w:w="999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4"/>
        <w:gridCol w:w="281"/>
        <w:gridCol w:w="311"/>
        <w:gridCol w:w="743"/>
        <w:gridCol w:w="358"/>
        <w:gridCol w:w="357"/>
        <w:gridCol w:w="537"/>
        <w:gridCol w:w="357"/>
        <w:gridCol w:w="535"/>
        <w:gridCol w:w="537"/>
        <w:gridCol w:w="357"/>
        <w:gridCol w:w="358"/>
        <w:gridCol w:w="356"/>
        <w:gridCol w:w="357"/>
        <w:gridCol w:w="535"/>
        <w:gridCol w:w="358"/>
        <w:gridCol w:w="356"/>
        <w:gridCol w:w="358"/>
        <w:gridCol w:w="358"/>
        <w:gridCol w:w="356"/>
        <w:gridCol w:w="358"/>
        <w:gridCol w:w="427"/>
        <w:gridCol w:w="643"/>
      </w:tblGrid>
      <w:tr w:rsidR="00A2287B" w:rsidRPr="00A705A5" w14:paraId="1FC4F7B5" w14:textId="77777777" w:rsidTr="00A2287B">
        <w:trPr>
          <w:cantSplit/>
          <w:trHeight w:val="1274"/>
          <w:tblHeader/>
        </w:trPr>
        <w:tc>
          <w:tcPr>
            <w:tcW w:w="804" w:type="dxa"/>
            <w:tcBorders>
              <w:top w:val="single" w:sz="4" w:space="0" w:color="auto"/>
              <w:bottom w:val="single" w:sz="12" w:space="0" w:color="auto"/>
            </w:tcBorders>
            <w:shd w:val="clear" w:color="auto" w:fill="auto"/>
            <w:vAlign w:val="bottom"/>
          </w:tcPr>
          <w:p w14:paraId="58D38DD5" w14:textId="6F253432" w:rsidR="00A2287B" w:rsidRPr="00A705A5" w:rsidRDefault="00A2287B" w:rsidP="00A2287B">
            <w:pPr>
              <w:pStyle w:val="SingleTxtG"/>
              <w:bidi/>
              <w:spacing w:before="80" w:after="80" w:line="200" w:lineRule="exact"/>
              <w:ind w:left="0" w:right="113"/>
              <w:jc w:val="left"/>
              <w:rPr>
                <w:i/>
                <w:sz w:val="16"/>
              </w:rPr>
            </w:pPr>
            <w:r w:rsidRPr="00A705A5">
              <w:rPr>
                <w:i/>
                <w:iCs/>
                <w:sz w:val="26"/>
                <w:szCs w:val="26"/>
                <w:rtl/>
              </w:rPr>
              <w:t>السنة</w:t>
            </w:r>
          </w:p>
        </w:tc>
        <w:tc>
          <w:tcPr>
            <w:tcW w:w="281" w:type="dxa"/>
            <w:tcBorders>
              <w:top w:val="single" w:sz="4" w:space="0" w:color="auto"/>
              <w:bottom w:val="single" w:sz="12" w:space="0" w:color="auto"/>
            </w:tcBorders>
            <w:shd w:val="clear" w:color="auto" w:fill="auto"/>
            <w:textDirection w:val="btLr"/>
            <w:vAlign w:val="bottom"/>
          </w:tcPr>
          <w:p w14:paraId="46F51885" w14:textId="70726755"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الأرجنتين</w:t>
            </w:r>
          </w:p>
        </w:tc>
        <w:tc>
          <w:tcPr>
            <w:tcW w:w="311" w:type="dxa"/>
            <w:tcBorders>
              <w:top w:val="single" w:sz="4" w:space="0" w:color="auto"/>
              <w:bottom w:val="single" w:sz="12" w:space="0" w:color="auto"/>
            </w:tcBorders>
            <w:shd w:val="clear" w:color="auto" w:fill="auto"/>
            <w:textDirection w:val="btLr"/>
            <w:vAlign w:val="bottom"/>
          </w:tcPr>
          <w:p w14:paraId="43BA6E9F" w14:textId="5EBA1AEC"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أرمينيا</w:t>
            </w:r>
          </w:p>
        </w:tc>
        <w:tc>
          <w:tcPr>
            <w:tcW w:w="743" w:type="dxa"/>
            <w:tcBorders>
              <w:top w:val="single" w:sz="4" w:space="0" w:color="auto"/>
              <w:bottom w:val="single" w:sz="12" w:space="0" w:color="auto"/>
            </w:tcBorders>
            <w:shd w:val="clear" w:color="auto" w:fill="auto"/>
            <w:textDirection w:val="btLr"/>
            <w:vAlign w:val="bottom"/>
          </w:tcPr>
          <w:p w14:paraId="6232AE77" w14:textId="1B89B6CC"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 xml:space="preserve">بوليفيا (دولة </w:t>
            </w:r>
            <w:r w:rsidR="001413D9" w:rsidRPr="00A705A5">
              <w:rPr>
                <w:i/>
                <w:iCs/>
                <w:sz w:val="26"/>
                <w:szCs w:val="26"/>
                <w:rtl/>
              </w:rPr>
              <w:t>-</w:t>
            </w:r>
            <w:r w:rsidRPr="00A705A5">
              <w:rPr>
                <w:i/>
                <w:iCs/>
                <w:sz w:val="26"/>
                <w:szCs w:val="26"/>
                <w:rtl/>
              </w:rPr>
              <w:t xml:space="preserve"> المتعددة القوميات)</w:t>
            </w:r>
          </w:p>
        </w:tc>
        <w:tc>
          <w:tcPr>
            <w:tcW w:w="358" w:type="dxa"/>
            <w:tcBorders>
              <w:top w:val="single" w:sz="4" w:space="0" w:color="auto"/>
              <w:bottom w:val="single" w:sz="12" w:space="0" w:color="auto"/>
            </w:tcBorders>
            <w:shd w:val="clear" w:color="auto" w:fill="auto"/>
            <w:textDirection w:val="btLr"/>
            <w:vAlign w:val="bottom"/>
          </w:tcPr>
          <w:p w14:paraId="4D5BE9DD" w14:textId="1CB6A11D"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البرازيل</w:t>
            </w:r>
          </w:p>
        </w:tc>
        <w:tc>
          <w:tcPr>
            <w:tcW w:w="357" w:type="dxa"/>
            <w:tcBorders>
              <w:top w:val="single" w:sz="4" w:space="0" w:color="auto"/>
              <w:bottom w:val="single" w:sz="12" w:space="0" w:color="auto"/>
            </w:tcBorders>
            <w:shd w:val="clear" w:color="auto" w:fill="auto"/>
            <w:textDirection w:val="btLr"/>
            <w:vAlign w:val="bottom"/>
          </w:tcPr>
          <w:p w14:paraId="5A27ACEF" w14:textId="7B7559A6"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كمبوديا</w:t>
            </w:r>
          </w:p>
        </w:tc>
        <w:tc>
          <w:tcPr>
            <w:tcW w:w="537" w:type="dxa"/>
            <w:tcBorders>
              <w:top w:val="single" w:sz="4" w:space="0" w:color="auto"/>
              <w:bottom w:val="single" w:sz="12" w:space="0" w:color="auto"/>
            </w:tcBorders>
            <w:shd w:val="clear" w:color="auto" w:fill="auto"/>
            <w:textDirection w:val="btLr"/>
            <w:vAlign w:val="bottom"/>
          </w:tcPr>
          <w:p w14:paraId="3F222B02" w14:textId="1022CC2A"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كولومبيا</w:t>
            </w:r>
          </w:p>
        </w:tc>
        <w:tc>
          <w:tcPr>
            <w:tcW w:w="357" w:type="dxa"/>
            <w:tcBorders>
              <w:top w:val="single" w:sz="4" w:space="0" w:color="auto"/>
              <w:bottom w:val="single" w:sz="12" w:space="0" w:color="auto"/>
            </w:tcBorders>
            <w:shd w:val="clear" w:color="auto" w:fill="auto"/>
            <w:textDirection w:val="btLr"/>
            <w:vAlign w:val="bottom"/>
          </w:tcPr>
          <w:p w14:paraId="1CD8D1EE" w14:textId="5685A3DE"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كوبا</w:t>
            </w:r>
          </w:p>
        </w:tc>
        <w:tc>
          <w:tcPr>
            <w:tcW w:w="535" w:type="dxa"/>
            <w:tcBorders>
              <w:top w:val="single" w:sz="4" w:space="0" w:color="auto"/>
              <w:bottom w:val="single" w:sz="12" w:space="0" w:color="auto"/>
            </w:tcBorders>
            <w:shd w:val="clear" w:color="auto" w:fill="auto"/>
            <w:textDirection w:val="btLr"/>
            <w:vAlign w:val="bottom"/>
          </w:tcPr>
          <w:p w14:paraId="44FA6802" w14:textId="0AA6766B"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هندوراس</w:t>
            </w:r>
          </w:p>
        </w:tc>
        <w:tc>
          <w:tcPr>
            <w:tcW w:w="537" w:type="dxa"/>
            <w:tcBorders>
              <w:top w:val="single" w:sz="4" w:space="0" w:color="auto"/>
              <w:bottom w:val="single" w:sz="12" w:space="0" w:color="auto"/>
            </w:tcBorders>
            <w:shd w:val="clear" w:color="auto" w:fill="auto"/>
            <w:textDirection w:val="btLr"/>
            <w:vAlign w:val="bottom"/>
          </w:tcPr>
          <w:p w14:paraId="5574F8AE" w14:textId="0628E427"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العراق</w:t>
            </w:r>
          </w:p>
        </w:tc>
        <w:tc>
          <w:tcPr>
            <w:tcW w:w="357" w:type="dxa"/>
            <w:tcBorders>
              <w:top w:val="single" w:sz="4" w:space="0" w:color="auto"/>
              <w:bottom w:val="single" w:sz="12" w:space="0" w:color="auto"/>
            </w:tcBorders>
            <w:shd w:val="clear" w:color="auto" w:fill="auto"/>
            <w:textDirection w:val="btLr"/>
            <w:vAlign w:val="bottom"/>
          </w:tcPr>
          <w:p w14:paraId="037510E5" w14:textId="52FEB99B"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كازاخستان</w:t>
            </w:r>
          </w:p>
        </w:tc>
        <w:tc>
          <w:tcPr>
            <w:tcW w:w="358" w:type="dxa"/>
            <w:tcBorders>
              <w:top w:val="single" w:sz="4" w:space="0" w:color="auto"/>
              <w:bottom w:val="single" w:sz="12" w:space="0" w:color="auto"/>
            </w:tcBorders>
            <w:shd w:val="clear" w:color="auto" w:fill="auto"/>
            <w:textDirection w:val="btLr"/>
            <w:vAlign w:val="bottom"/>
          </w:tcPr>
          <w:p w14:paraId="3D15C0F6" w14:textId="12696097"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ليتوانيا</w:t>
            </w:r>
          </w:p>
        </w:tc>
        <w:tc>
          <w:tcPr>
            <w:tcW w:w="356" w:type="dxa"/>
            <w:tcBorders>
              <w:top w:val="single" w:sz="4" w:space="0" w:color="auto"/>
              <w:bottom w:val="single" w:sz="12" w:space="0" w:color="auto"/>
            </w:tcBorders>
            <w:shd w:val="clear" w:color="auto" w:fill="auto"/>
            <w:textDirection w:val="btLr"/>
            <w:vAlign w:val="bottom"/>
          </w:tcPr>
          <w:p w14:paraId="069877CF" w14:textId="188475B7"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مالي</w:t>
            </w:r>
          </w:p>
        </w:tc>
        <w:tc>
          <w:tcPr>
            <w:tcW w:w="357" w:type="dxa"/>
            <w:tcBorders>
              <w:top w:val="single" w:sz="4" w:space="0" w:color="auto"/>
              <w:bottom w:val="single" w:sz="12" w:space="0" w:color="auto"/>
            </w:tcBorders>
            <w:shd w:val="clear" w:color="auto" w:fill="auto"/>
            <w:textDirection w:val="btLr"/>
            <w:vAlign w:val="bottom"/>
          </w:tcPr>
          <w:p w14:paraId="2238FCE5" w14:textId="42F36659"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موريتانيا</w:t>
            </w:r>
          </w:p>
        </w:tc>
        <w:tc>
          <w:tcPr>
            <w:tcW w:w="535" w:type="dxa"/>
            <w:tcBorders>
              <w:top w:val="single" w:sz="4" w:space="0" w:color="auto"/>
              <w:bottom w:val="single" w:sz="12" w:space="0" w:color="auto"/>
            </w:tcBorders>
            <w:shd w:val="clear" w:color="auto" w:fill="auto"/>
            <w:textDirection w:val="btLr"/>
            <w:vAlign w:val="bottom"/>
          </w:tcPr>
          <w:p w14:paraId="7F4A959C" w14:textId="34706C09"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المكسيك</w:t>
            </w:r>
          </w:p>
        </w:tc>
        <w:tc>
          <w:tcPr>
            <w:tcW w:w="358" w:type="dxa"/>
            <w:tcBorders>
              <w:top w:val="single" w:sz="4" w:space="0" w:color="auto"/>
              <w:bottom w:val="single" w:sz="12" w:space="0" w:color="auto"/>
            </w:tcBorders>
            <w:shd w:val="clear" w:color="auto" w:fill="auto"/>
            <w:textDirection w:val="btLr"/>
            <w:vAlign w:val="bottom"/>
          </w:tcPr>
          <w:p w14:paraId="6B5A7941" w14:textId="4AAF9823"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المغرب</w:t>
            </w:r>
          </w:p>
        </w:tc>
        <w:tc>
          <w:tcPr>
            <w:tcW w:w="356" w:type="dxa"/>
            <w:tcBorders>
              <w:top w:val="single" w:sz="4" w:space="0" w:color="auto"/>
              <w:bottom w:val="single" w:sz="12" w:space="0" w:color="auto"/>
            </w:tcBorders>
            <w:shd w:val="clear" w:color="auto" w:fill="auto"/>
            <w:textDirection w:val="btLr"/>
            <w:vAlign w:val="bottom"/>
          </w:tcPr>
          <w:p w14:paraId="08EAAEEC" w14:textId="4FB7251E"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النيجر</w:t>
            </w:r>
          </w:p>
        </w:tc>
        <w:tc>
          <w:tcPr>
            <w:tcW w:w="358" w:type="dxa"/>
            <w:tcBorders>
              <w:top w:val="single" w:sz="4" w:space="0" w:color="auto"/>
              <w:bottom w:val="single" w:sz="12" w:space="0" w:color="auto"/>
            </w:tcBorders>
            <w:textDirection w:val="btLr"/>
          </w:tcPr>
          <w:p w14:paraId="2E455466" w14:textId="6ECDC4DC"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بيرو</w:t>
            </w:r>
          </w:p>
        </w:tc>
        <w:tc>
          <w:tcPr>
            <w:tcW w:w="358" w:type="dxa"/>
            <w:tcBorders>
              <w:top w:val="single" w:sz="4" w:space="0" w:color="auto"/>
              <w:bottom w:val="single" w:sz="12" w:space="0" w:color="auto"/>
            </w:tcBorders>
            <w:shd w:val="clear" w:color="auto" w:fill="auto"/>
            <w:textDirection w:val="btLr"/>
            <w:vAlign w:val="bottom"/>
          </w:tcPr>
          <w:p w14:paraId="34C39D87" w14:textId="71172D8B"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سري لانكا</w:t>
            </w:r>
          </w:p>
        </w:tc>
        <w:tc>
          <w:tcPr>
            <w:tcW w:w="356" w:type="dxa"/>
            <w:tcBorders>
              <w:top w:val="single" w:sz="4" w:space="0" w:color="auto"/>
              <w:bottom w:val="single" w:sz="12" w:space="0" w:color="auto"/>
            </w:tcBorders>
            <w:shd w:val="clear" w:color="auto" w:fill="auto"/>
            <w:textDirection w:val="btLr"/>
            <w:vAlign w:val="bottom"/>
          </w:tcPr>
          <w:p w14:paraId="4F7F2107" w14:textId="75EAA2A2"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سلوفاكيا</w:t>
            </w:r>
          </w:p>
        </w:tc>
        <w:tc>
          <w:tcPr>
            <w:tcW w:w="358" w:type="dxa"/>
            <w:tcBorders>
              <w:top w:val="single" w:sz="4" w:space="0" w:color="auto"/>
              <w:bottom w:val="single" w:sz="12" w:space="0" w:color="auto"/>
            </w:tcBorders>
            <w:shd w:val="clear" w:color="auto" w:fill="auto"/>
            <w:textDirection w:val="btLr"/>
            <w:vAlign w:val="bottom"/>
          </w:tcPr>
          <w:p w14:paraId="5B22F357" w14:textId="29173487"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توغو</w:t>
            </w:r>
          </w:p>
        </w:tc>
        <w:tc>
          <w:tcPr>
            <w:tcW w:w="427" w:type="dxa"/>
            <w:tcBorders>
              <w:top w:val="single" w:sz="4" w:space="0" w:color="auto"/>
              <w:bottom w:val="single" w:sz="12" w:space="0" w:color="auto"/>
            </w:tcBorders>
            <w:shd w:val="clear" w:color="auto" w:fill="auto"/>
            <w:textDirection w:val="btLr"/>
            <w:vAlign w:val="bottom"/>
          </w:tcPr>
          <w:p w14:paraId="66DE3CBA" w14:textId="0C658EB4" w:rsidR="00A2287B" w:rsidRPr="00A705A5" w:rsidRDefault="00A2287B" w:rsidP="00A2287B">
            <w:pPr>
              <w:pStyle w:val="SingleTxtG"/>
              <w:bidi/>
              <w:spacing w:before="80" w:after="80" w:line="200" w:lineRule="exact"/>
              <w:ind w:left="113" w:right="113"/>
              <w:jc w:val="left"/>
              <w:rPr>
                <w:i/>
                <w:sz w:val="16"/>
              </w:rPr>
            </w:pPr>
            <w:r w:rsidRPr="00A705A5">
              <w:rPr>
                <w:i/>
                <w:iCs/>
                <w:sz w:val="26"/>
                <w:szCs w:val="26"/>
                <w:rtl/>
              </w:rPr>
              <w:t>تونس</w:t>
            </w:r>
          </w:p>
        </w:tc>
        <w:tc>
          <w:tcPr>
            <w:tcW w:w="643" w:type="dxa"/>
            <w:tcBorders>
              <w:top w:val="single" w:sz="4" w:space="0" w:color="auto"/>
              <w:bottom w:val="single" w:sz="12" w:space="0" w:color="auto"/>
            </w:tcBorders>
            <w:shd w:val="clear" w:color="auto" w:fill="auto"/>
            <w:tcMar>
              <w:right w:w="28" w:type="dxa"/>
            </w:tcMar>
            <w:vAlign w:val="bottom"/>
          </w:tcPr>
          <w:p w14:paraId="76CC8987" w14:textId="058F3ADB" w:rsidR="00A2287B" w:rsidRPr="00A705A5" w:rsidRDefault="00A2287B" w:rsidP="00A2287B">
            <w:pPr>
              <w:pStyle w:val="SingleTxtG"/>
              <w:bidi/>
              <w:spacing w:before="80" w:after="80" w:line="200" w:lineRule="exact"/>
              <w:ind w:left="0" w:right="113"/>
              <w:jc w:val="left"/>
              <w:rPr>
                <w:i/>
                <w:sz w:val="16"/>
              </w:rPr>
            </w:pPr>
            <w:r w:rsidRPr="00A705A5">
              <w:rPr>
                <w:i/>
                <w:iCs/>
                <w:sz w:val="26"/>
                <w:szCs w:val="26"/>
                <w:rtl/>
              </w:rPr>
              <w:t>المجموع</w:t>
            </w:r>
          </w:p>
        </w:tc>
      </w:tr>
      <w:tr w:rsidR="00A2287B" w:rsidRPr="00A705A5" w14:paraId="19E4858A" w14:textId="77777777" w:rsidTr="00A2287B">
        <w:trPr>
          <w:trHeight w:val="240"/>
        </w:trPr>
        <w:tc>
          <w:tcPr>
            <w:tcW w:w="804" w:type="dxa"/>
            <w:tcBorders>
              <w:top w:val="single" w:sz="12" w:space="0" w:color="auto"/>
            </w:tcBorders>
            <w:shd w:val="clear" w:color="auto" w:fill="auto"/>
          </w:tcPr>
          <w:p w14:paraId="625F9160" w14:textId="77777777" w:rsidR="00A2287B" w:rsidRPr="00A705A5" w:rsidRDefault="00A2287B" w:rsidP="00A2287B">
            <w:pPr>
              <w:pStyle w:val="SingleTxtG"/>
              <w:bidi/>
              <w:spacing w:before="40" w:after="40" w:line="220" w:lineRule="exact"/>
              <w:ind w:left="0" w:right="113"/>
              <w:jc w:val="left"/>
              <w:rPr>
                <w:sz w:val="18"/>
              </w:rPr>
            </w:pPr>
            <w:r w:rsidRPr="00A705A5">
              <w:rPr>
                <w:sz w:val="18"/>
              </w:rPr>
              <w:t>2012</w:t>
            </w:r>
          </w:p>
        </w:tc>
        <w:tc>
          <w:tcPr>
            <w:tcW w:w="281" w:type="dxa"/>
            <w:tcBorders>
              <w:top w:val="single" w:sz="12" w:space="0" w:color="auto"/>
            </w:tcBorders>
            <w:shd w:val="clear" w:color="auto" w:fill="auto"/>
            <w:tcMar>
              <w:right w:w="28" w:type="dxa"/>
            </w:tcMar>
            <w:vAlign w:val="bottom"/>
          </w:tcPr>
          <w:p w14:paraId="0758F9AD" w14:textId="411DA325"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11" w:type="dxa"/>
            <w:tcBorders>
              <w:top w:val="single" w:sz="12" w:space="0" w:color="auto"/>
            </w:tcBorders>
            <w:shd w:val="clear" w:color="auto" w:fill="auto"/>
            <w:tcMar>
              <w:right w:w="28" w:type="dxa"/>
            </w:tcMar>
            <w:vAlign w:val="bottom"/>
          </w:tcPr>
          <w:p w14:paraId="7B6F279A" w14:textId="48AB5B7C"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743" w:type="dxa"/>
            <w:tcBorders>
              <w:top w:val="single" w:sz="12" w:space="0" w:color="auto"/>
            </w:tcBorders>
            <w:shd w:val="clear" w:color="auto" w:fill="auto"/>
            <w:vAlign w:val="bottom"/>
          </w:tcPr>
          <w:p w14:paraId="724F4344" w14:textId="1778EA30"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single" w:sz="12" w:space="0" w:color="auto"/>
            </w:tcBorders>
            <w:shd w:val="clear" w:color="auto" w:fill="auto"/>
            <w:tcMar>
              <w:right w:w="28" w:type="dxa"/>
            </w:tcMar>
            <w:vAlign w:val="bottom"/>
          </w:tcPr>
          <w:p w14:paraId="65D47F83" w14:textId="3151C9E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top w:val="single" w:sz="12" w:space="0" w:color="auto"/>
            </w:tcBorders>
            <w:shd w:val="clear" w:color="auto" w:fill="auto"/>
            <w:tcMar>
              <w:right w:w="28" w:type="dxa"/>
            </w:tcMar>
            <w:vAlign w:val="bottom"/>
          </w:tcPr>
          <w:p w14:paraId="242CAF84" w14:textId="7A908AFF"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tcBorders>
              <w:top w:val="single" w:sz="12" w:space="0" w:color="auto"/>
            </w:tcBorders>
            <w:shd w:val="clear" w:color="auto" w:fill="auto"/>
            <w:tcMar>
              <w:right w:w="28" w:type="dxa"/>
            </w:tcMar>
            <w:vAlign w:val="bottom"/>
          </w:tcPr>
          <w:p w14:paraId="61561625" w14:textId="7EB3FBA4"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top w:val="single" w:sz="12" w:space="0" w:color="auto"/>
            </w:tcBorders>
            <w:shd w:val="clear" w:color="auto" w:fill="auto"/>
            <w:tcMar>
              <w:right w:w="28" w:type="dxa"/>
            </w:tcMar>
            <w:vAlign w:val="bottom"/>
          </w:tcPr>
          <w:p w14:paraId="3E9C7650" w14:textId="2C566393"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top w:val="single" w:sz="12" w:space="0" w:color="auto"/>
            </w:tcBorders>
            <w:shd w:val="clear" w:color="auto" w:fill="auto"/>
            <w:tcMar>
              <w:right w:w="28" w:type="dxa"/>
            </w:tcMar>
            <w:vAlign w:val="bottom"/>
          </w:tcPr>
          <w:p w14:paraId="1373B1FB" w14:textId="15C54EB6"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tcBorders>
              <w:top w:val="single" w:sz="12" w:space="0" w:color="auto"/>
            </w:tcBorders>
            <w:shd w:val="clear" w:color="auto" w:fill="auto"/>
            <w:tcMar>
              <w:right w:w="28" w:type="dxa"/>
            </w:tcMar>
            <w:vAlign w:val="bottom"/>
          </w:tcPr>
          <w:p w14:paraId="587FB8A2" w14:textId="5C2DAB3E"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top w:val="single" w:sz="12" w:space="0" w:color="auto"/>
            </w:tcBorders>
            <w:shd w:val="clear" w:color="auto" w:fill="auto"/>
            <w:tcMar>
              <w:right w:w="28" w:type="dxa"/>
            </w:tcMar>
            <w:vAlign w:val="bottom"/>
          </w:tcPr>
          <w:p w14:paraId="36DAFF83" w14:textId="6A301A95"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single" w:sz="12" w:space="0" w:color="auto"/>
            </w:tcBorders>
            <w:shd w:val="clear" w:color="auto" w:fill="auto"/>
            <w:tcMar>
              <w:right w:w="28" w:type="dxa"/>
            </w:tcMar>
            <w:vAlign w:val="bottom"/>
          </w:tcPr>
          <w:p w14:paraId="0A890435" w14:textId="799D9341"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top w:val="single" w:sz="12" w:space="0" w:color="auto"/>
            </w:tcBorders>
            <w:shd w:val="clear" w:color="auto" w:fill="auto"/>
            <w:vAlign w:val="bottom"/>
          </w:tcPr>
          <w:p w14:paraId="457320E6" w14:textId="4E71FDA4"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top w:val="single" w:sz="12" w:space="0" w:color="auto"/>
            </w:tcBorders>
            <w:shd w:val="clear" w:color="auto" w:fill="auto"/>
            <w:tcMar>
              <w:right w:w="28" w:type="dxa"/>
            </w:tcMar>
            <w:vAlign w:val="bottom"/>
          </w:tcPr>
          <w:p w14:paraId="6CC1E182" w14:textId="072C440F"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top w:val="single" w:sz="12" w:space="0" w:color="auto"/>
            </w:tcBorders>
            <w:shd w:val="clear" w:color="auto" w:fill="auto"/>
            <w:tcMar>
              <w:right w:w="28" w:type="dxa"/>
            </w:tcMar>
            <w:vAlign w:val="bottom"/>
          </w:tcPr>
          <w:p w14:paraId="64F51CC7" w14:textId="77777777" w:rsidR="00A2287B" w:rsidRPr="00A705A5" w:rsidRDefault="00A2287B" w:rsidP="00A2287B">
            <w:pPr>
              <w:pStyle w:val="SingleTxtG"/>
              <w:bidi/>
              <w:spacing w:before="40" w:after="40" w:line="220" w:lineRule="exact"/>
              <w:ind w:left="0" w:right="113"/>
              <w:jc w:val="left"/>
              <w:rPr>
                <w:sz w:val="18"/>
              </w:rPr>
            </w:pPr>
            <w:r w:rsidRPr="00A705A5">
              <w:rPr>
                <w:sz w:val="18"/>
              </w:rPr>
              <w:t>5</w:t>
            </w:r>
          </w:p>
        </w:tc>
        <w:tc>
          <w:tcPr>
            <w:tcW w:w="358" w:type="dxa"/>
            <w:tcBorders>
              <w:top w:val="single" w:sz="12" w:space="0" w:color="auto"/>
            </w:tcBorders>
            <w:shd w:val="clear" w:color="auto" w:fill="auto"/>
            <w:tcMar>
              <w:right w:w="28" w:type="dxa"/>
            </w:tcMar>
            <w:vAlign w:val="bottom"/>
          </w:tcPr>
          <w:p w14:paraId="2A5DF581" w14:textId="30E7A1A5"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top w:val="single" w:sz="12" w:space="0" w:color="auto"/>
            </w:tcBorders>
            <w:shd w:val="clear" w:color="auto" w:fill="auto"/>
            <w:vAlign w:val="bottom"/>
          </w:tcPr>
          <w:p w14:paraId="71A02F53" w14:textId="113B4765"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single" w:sz="12" w:space="0" w:color="auto"/>
            </w:tcBorders>
          </w:tcPr>
          <w:p w14:paraId="29447EB6" w14:textId="58FB2B0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single" w:sz="12" w:space="0" w:color="auto"/>
            </w:tcBorders>
            <w:shd w:val="clear" w:color="auto" w:fill="auto"/>
            <w:tcMar>
              <w:right w:w="28" w:type="dxa"/>
            </w:tcMar>
            <w:vAlign w:val="bottom"/>
          </w:tcPr>
          <w:p w14:paraId="43BDD3D3" w14:textId="5FB2F89C"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top w:val="single" w:sz="12" w:space="0" w:color="auto"/>
            </w:tcBorders>
            <w:shd w:val="clear" w:color="auto" w:fill="auto"/>
            <w:vAlign w:val="bottom"/>
          </w:tcPr>
          <w:p w14:paraId="647418F9" w14:textId="25F50C95"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single" w:sz="12" w:space="0" w:color="auto"/>
            </w:tcBorders>
            <w:shd w:val="clear" w:color="auto" w:fill="auto"/>
            <w:tcMar>
              <w:right w:w="28" w:type="dxa"/>
            </w:tcMar>
            <w:vAlign w:val="bottom"/>
          </w:tcPr>
          <w:p w14:paraId="54EEE1B2" w14:textId="55ED7A2F"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427" w:type="dxa"/>
            <w:tcBorders>
              <w:top w:val="single" w:sz="12" w:space="0" w:color="auto"/>
            </w:tcBorders>
            <w:shd w:val="clear" w:color="auto" w:fill="auto"/>
            <w:tcMar>
              <w:right w:w="28" w:type="dxa"/>
            </w:tcMar>
            <w:vAlign w:val="bottom"/>
          </w:tcPr>
          <w:p w14:paraId="6B555050" w14:textId="39B6936B"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643" w:type="dxa"/>
            <w:tcBorders>
              <w:top w:val="single" w:sz="12" w:space="0" w:color="auto"/>
            </w:tcBorders>
            <w:shd w:val="clear" w:color="auto" w:fill="auto"/>
            <w:tcMar>
              <w:right w:w="28" w:type="dxa"/>
            </w:tcMar>
            <w:vAlign w:val="bottom"/>
          </w:tcPr>
          <w:p w14:paraId="42F7076C" w14:textId="77777777" w:rsidR="00A2287B" w:rsidRPr="00A705A5" w:rsidRDefault="00A2287B" w:rsidP="00A2287B">
            <w:pPr>
              <w:pStyle w:val="SingleTxtG"/>
              <w:bidi/>
              <w:spacing w:before="40" w:after="40" w:line="220" w:lineRule="exact"/>
              <w:ind w:left="0" w:right="113"/>
              <w:jc w:val="left"/>
              <w:rPr>
                <w:sz w:val="18"/>
              </w:rPr>
            </w:pPr>
            <w:r w:rsidRPr="00A705A5">
              <w:rPr>
                <w:sz w:val="18"/>
              </w:rPr>
              <w:t>5</w:t>
            </w:r>
          </w:p>
        </w:tc>
      </w:tr>
      <w:tr w:rsidR="00A2287B" w:rsidRPr="00A705A5" w14:paraId="464F7029" w14:textId="77777777" w:rsidTr="00A2287B">
        <w:trPr>
          <w:trHeight w:val="240"/>
        </w:trPr>
        <w:tc>
          <w:tcPr>
            <w:tcW w:w="804" w:type="dxa"/>
            <w:shd w:val="clear" w:color="auto" w:fill="auto"/>
          </w:tcPr>
          <w:p w14:paraId="6EE3C7A9" w14:textId="77777777" w:rsidR="00A2287B" w:rsidRPr="00A705A5" w:rsidRDefault="00A2287B" w:rsidP="00A2287B">
            <w:pPr>
              <w:pStyle w:val="SingleTxtG"/>
              <w:bidi/>
              <w:spacing w:before="40" w:after="40" w:line="220" w:lineRule="exact"/>
              <w:ind w:left="0" w:right="113"/>
              <w:jc w:val="left"/>
              <w:rPr>
                <w:sz w:val="18"/>
              </w:rPr>
            </w:pPr>
            <w:r w:rsidRPr="00A705A5">
              <w:rPr>
                <w:sz w:val="18"/>
              </w:rPr>
              <w:t>2013</w:t>
            </w:r>
          </w:p>
        </w:tc>
        <w:tc>
          <w:tcPr>
            <w:tcW w:w="281" w:type="dxa"/>
            <w:shd w:val="clear" w:color="auto" w:fill="auto"/>
            <w:tcMar>
              <w:right w:w="28" w:type="dxa"/>
            </w:tcMar>
            <w:vAlign w:val="bottom"/>
          </w:tcPr>
          <w:p w14:paraId="336F9801" w14:textId="0291C525"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11" w:type="dxa"/>
            <w:shd w:val="clear" w:color="auto" w:fill="auto"/>
            <w:tcMar>
              <w:right w:w="28" w:type="dxa"/>
            </w:tcMar>
            <w:vAlign w:val="bottom"/>
          </w:tcPr>
          <w:p w14:paraId="5B2730B5" w14:textId="410F1CE5" w:rsidR="00A2287B" w:rsidRPr="00A705A5" w:rsidRDefault="001413D9" w:rsidP="00A2287B">
            <w:pPr>
              <w:pStyle w:val="SingleTxtG"/>
              <w:bidi/>
              <w:spacing w:before="40" w:after="40" w:line="220" w:lineRule="exact"/>
              <w:ind w:left="0" w:right="113"/>
              <w:jc w:val="left"/>
              <w:rPr>
                <w:rFonts w:hint="cs"/>
                <w:sz w:val="18"/>
              </w:rPr>
            </w:pPr>
            <w:r w:rsidRPr="00A705A5">
              <w:rPr>
                <w:sz w:val="18"/>
                <w:szCs w:val="26"/>
                <w:rtl/>
              </w:rPr>
              <w:t>-</w:t>
            </w:r>
          </w:p>
        </w:tc>
        <w:tc>
          <w:tcPr>
            <w:tcW w:w="743" w:type="dxa"/>
            <w:shd w:val="clear" w:color="auto" w:fill="auto"/>
            <w:vAlign w:val="bottom"/>
          </w:tcPr>
          <w:p w14:paraId="09848180" w14:textId="1B60C7FD"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3B68B4A3" w14:textId="6A8BB17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shd w:val="clear" w:color="auto" w:fill="auto"/>
            <w:tcMar>
              <w:right w:w="28" w:type="dxa"/>
            </w:tcMar>
            <w:vAlign w:val="bottom"/>
          </w:tcPr>
          <w:p w14:paraId="3AE6A057" w14:textId="419FBAB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shd w:val="clear" w:color="auto" w:fill="auto"/>
            <w:tcMar>
              <w:right w:w="28" w:type="dxa"/>
            </w:tcMar>
            <w:vAlign w:val="bottom"/>
          </w:tcPr>
          <w:p w14:paraId="3CA1FC40"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57" w:type="dxa"/>
            <w:shd w:val="clear" w:color="auto" w:fill="auto"/>
            <w:tcMar>
              <w:right w:w="28" w:type="dxa"/>
            </w:tcMar>
            <w:vAlign w:val="bottom"/>
          </w:tcPr>
          <w:p w14:paraId="2D570A81" w14:textId="0EA223F8"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shd w:val="clear" w:color="auto" w:fill="auto"/>
            <w:tcMar>
              <w:right w:w="28" w:type="dxa"/>
            </w:tcMar>
            <w:vAlign w:val="bottom"/>
          </w:tcPr>
          <w:p w14:paraId="7F3AB5E0" w14:textId="3412559B"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shd w:val="clear" w:color="auto" w:fill="auto"/>
            <w:tcMar>
              <w:right w:w="28" w:type="dxa"/>
            </w:tcMar>
            <w:vAlign w:val="bottom"/>
          </w:tcPr>
          <w:p w14:paraId="0A60495D" w14:textId="2560261A"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shd w:val="clear" w:color="auto" w:fill="auto"/>
            <w:tcMar>
              <w:right w:w="28" w:type="dxa"/>
            </w:tcMar>
            <w:vAlign w:val="bottom"/>
          </w:tcPr>
          <w:p w14:paraId="2AEB3959" w14:textId="1A9A40A0"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1D03C687" w14:textId="7060DD8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shd w:val="clear" w:color="auto" w:fill="auto"/>
            <w:vAlign w:val="bottom"/>
          </w:tcPr>
          <w:p w14:paraId="34E3EF8D" w14:textId="6771639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shd w:val="clear" w:color="auto" w:fill="auto"/>
            <w:tcMar>
              <w:right w:w="28" w:type="dxa"/>
            </w:tcMar>
            <w:vAlign w:val="bottom"/>
          </w:tcPr>
          <w:p w14:paraId="2769CB24" w14:textId="08135685"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shd w:val="clear" w:color="auto" w:fill="auto"/>
            <w:tcMar>
              <w:right w:w="28" w:type="dxa"/>
            </w:tcMar>
            <w:vAlign w:val="bottom"/>
          </w:tcPr>
          <w:p w14:paraId="20A2F288" w14:textId="77777777" w:rsidR="00A2287B" w:rsidRPr="00A705A5" w:rsidRDefault="00A2287B" w:rsidP="00A2287B">
            <w:pPr>
              <w:pStyle w:val="SingleTxtG"/>
              <w:bidi/>
              <w:spacing w:before="40" w:after="40" w:line="220" w:lineRule="exact"/>
              <w:ind w:left="0" w:right="113"/>
              <w:jc w:val="left"/>
              <w:rPr>
                <w:sz w:val="18"/>
              </w:rPr>
            </w:pPr>
            <w:r w:rsidRPr="00A705A5">
              <w:rPr>
                <w:sz w:val="18"/>
              </w:rPr>
              <w:t>5</w:t>
            </w:r>
          </w:p>
        </w:tc>
        <w:tc>
          <w:tcPr>
            <w:tcW w:w="358" w:type="dxa"/>
            <w:shd w:val="clear" w:color="auto" w:fill="auto"/>
            <w:tcMar>
              <w:right w:w="28" w:type="dxa"/>
            </w:tcMar>
            <w:vAlign w:val="bottom"/>
          </w:tcPr>
          <w:p w14:paraId="263F05B4" w14:textId="13D4F4BA"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shd w:val="clear" w:color="auto" w:fill="auto"/>
            <w:vAlign w:val="bottom"/>
          </w:tcPr>
          <w:p w14:paraId="5ACA8A01" w14:textId="541E02BB"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Pr>
          <w:p w14:paraId="271D2A5F" w14:textId="3B6C0F80"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24EF4878" w14:textId="53737155"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shd w:val="clear" w:color="auto" w:fill="auto"/>
            <w:vAlign w:val="bottom"/>
          </w:tcPr>
          <w:p w14:paraId="0ABBE1CA" w14:textId="5140FF10"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64D1ACB7" w14:textId="3E601ACE"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427" w:type="dxa"/>
            <w:shd w:val="clear" w:color="auto" w:fill="auto"/>
            <w:tcMar>
              <w:right w:w="28" w:type="dxa"/>
            </w:tcMar>
            <w:vAlign w:val="bottom"/>
          </w:tcPr>
          <w:p w14:paraId="5ADBDA5F" w14:textId="46C325C4"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643" w:type="dxa"/>
            <w:shd w:val="clear" w:color="auto" w:fill="auto"/>
            <w:tcMar>
              <w:right w:w="28" w:type="dxa"/>
            </w:tcMar>
            <w:vAlign w:val="bottom"/>
          </w:tcPr>
          <w:p w14:paraId="3F554BF3" w14:textId="77777777" w:rsidR="00A2287B" w:rsidRPr="00A705A5" w:rsidRDefault="00A2287B" w:rsidP="00A2287B">
            <w:pPr>
              <w:pStyle w:val="SingleTxtG"/>
              <w:bidi/>
              <w:spacing w:before="40" w:after="40" w:line="220" w:lineRule="exact"/>
              <w:ind w:left="0" w:right="113"/>
              <w:jc w:val="left"/>
              <w:rPr>
                <w:sz w:val="18"/>
              </w:rPr>
            </w:pPr>
            <w:r w:rsidRPr="00A705A5">
              <w:rPr>
                <w:sz w:val="18"/>
              </w:rPr>
              <w:t>6</w:t>
            </w:r>
          </w:p>
        </w:tc>
      </w:tr>
      <w:tr w:rsidR="00A2287B" w:rsidRPr="00A705A5" w14:paraId="7A21075A" w14:textId="77777777" w:rsidTr="00A2287B">
        <w:trPr>
          <w:trHeight w:val="240"/>
        </w:trPr>
        <w:tc>
          <w:tcPr>
            <w:tcW w:w="804" w:type="dxa"/>
            <w:tcBorders>
              <w:bottom w:val="nil"/>
            </w:tcBorders>
            <w:shd w:val="clear" w:color="auto" w:fill="auto"/>
          </w:tcPr>
          <w:p w14:paraId="708EA849" w14:textId="77777777" w:rsidR="00A2287B" w:rsidRPr="00A705A5" w:rsidRDefault="00A2287B" w:rsidP="00A2287B">
            <w:pPr>
              <w:pStyle w:val="SingleTxtG"/>
              <w:bidi/>
              <w:spacing w:before="40" w:after="40" w:line="220" w:lineRule="exact"/>
              <w:ind w:left="0" w:right="113"/>
              <w:jc w:val="left"/>
              <w:rPr>
                <w:sz w:val="18"/>
              </w:rPr>
            </w:pPr>
            <w:r w:rsidRPr="00A705A5">
              <w:rPr>
                <w:sz w:val="18"/>
              </w:rPr>
              <w:t>2014</w:t>
            </w:r>
          </w:p>
        </w:tc>
        <w:tc>
          <w:tcPr>
            <w:tcW w:w="281" w:type="dxa"/>
            <w:tcBorders>
              <w:bottom w:val="nil"/>
            </w:tcBorders>
            <w:shd w:val="clear" w:color="auto" w:fill="auto"/>
            <w:tcMar>
              <w:right w:w="28" w:type="dxa"/>
            </w:tcMar>
            <w:vAlign w:val="bottom"/>
          </w:tcPr>
          <w:p w14:paraId="2BDAFF18" w14:textId="79F6FE94"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11" w:type="dxa"/>
            <w:tcBorders>
              <w:bottom w:val="nil"/>
            </w:tcBorders>
            <w:shd w:val="clear" w:color="auto" w:fill="auto"/>
            <w:tcMar>
              <w:right w:w="28" w:type="dxa"/>
            </w:tcMar>
            <w:vAlign w:val="bottom"/>
          </w:tcPr>
          <w:p w14:paraId="0B78F7E4" w14:textId="4E823E2F"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743" w:type="dxa"/>
            <w:tcBorders>
              <w:bottom w:val="nil"/>
            </w:tcBorders>
            <w:shd w:val="clear" w:color="auto" w:fill="auto"/>
            <w:vAlign w:val="bottom"/>
          </w:tcPr>
          <w:p w14:paraId="3ACA93D6" w14:textId="7507F0A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bottom w:val="nil"/>
            </w:tcBorders>
            <w:shd w:val="clear" w:color="auto" w:fill="auto"/>
            <w:tcMar>
              <w:right w:w="28" w:type="dxa"/>
            </w:tcMar>
            <w:vAlign w:val="bottom"/>
          </w:tcPr>
          <w:p w14:paraId="08964074"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57" w:type="dxa"/>
            <w:tcBorders>
              <w:bottom w:val="nil"/>
            </w:tcBorders>
            <w:shd w:val="clear" w:color="auto" w:fill="auto"/>
            <w:tcMar>
              <w:right w:w="28" w:type="dxa"/>
            </w:tcMar>
            <w:vAlign w:val="bottom"/>
          </w:tcPr>
          <w:p w14:paraId="07334F1A"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537" w:type="dxa"/>
            <w:tcBorders>
              <w:bottom w:val="nil"/>
            </w:tcBorders>
            <w:shd w:val="clear" w:color="auto" w:fill="auto"/>
            <w:tcMar>
              <w:right w:w="28" w:type="dxa"/>
            </w:tcMar>
            <w:vAlign w:val="bottom"/>
          </w:tcPr>
          <w:p w14:paraId="566E4B52"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57" w:type="dxa"/>
            <w:tcBorders>
              <w:bottom w:val="nil"/>
            </w:tcBorders>
            <w:shd w:val="clear" w:color="auto" w:fill="auto"/>
            <w:tcMar>
              <w:right w:w="28" w:type="dxa"/>
            </w:tcMar>
            <w:vAlign w:val="bottom"/>
          </w:tcPr>
          <w:p w14:paraId="604C6F70" w14:textId="4BC3918B"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bottom w:val="nil"/>
            </w:tcBorders>
            <w:shd w:val="clear" w:color="auto" w:fill="auto"/>
            <w:tcMar>
              <w:right w:w="28" w:type="dxa"/>
            </w:tcMar>
            <w:vAlign w:val="bottom"/>
          </w:tcPr>
          <w:p w14:paraId="6F5C160B" w14:textId="0684043C"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tcBorders>
              <w:bottom w:val="nil"/>
            </w:tcBorders>
            <w:shd w:val="clear" w:color="auto" w:fill="auto"/>
            <w:tcMar>
              <w:right w:w="28" w:type="dxa"/>
            </w:tcMar>
            <w:vAlign w:val="bottom"/>
          </w:tcPr>
          <w:p w14:paraId="3AC69597" w14:textId="77777777" w:rsidR="00A2287B" w:rsidRPr="00A705A5" w:rsidRDefault="00A2287B" w:rsidP="00A2287B">
            <w:pPr>
              <w:pStyle w:val="SingleTxtG"/>
              <w:bidi/>
              <w:spacing w:before="40" w:after="40" w:line="220" w:lineRule="exact"/>
              <w:ind w:left="0" w:right="113"/>
              <w:jc w:val="left"/>
              <w:rPr>
                <w:sz w:val="18"/>
              </w:rPr>
            </w:pPr>
            <w:r w:rsidRPr="00A705A5">
              <w:rPr>
                <w:sz w:val="18"/>
              </w:rPr>
              <w:t>5</w:t>
            </w:r>
          </w:p>
        </w:tc>
        <w:tc>
          <w:tcPr>
            <w:tcW w:w="357" w:type="dxa"/>
            <w:tcBorders>
              <w:bottom w:val="nil"/>
            </w:tcBorders>
            <w:shd w:val="clear" w:color="auto" w:fill="auto"/>
            <w:tcMar>
              <w:right w:w="28" w:type="dxa"/>
            </w:tcMar>
            <w:vAlign w:val="bottom"/>
          </w:tcPr>
          <w:p w14:paraId="6F65836A" w14:textId="38F3F5F5"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bottom w:val="nil"/>
            </w:tcBorders>
            <w:shd w:val="clear" w:color="auto" w:fill="auto"/>
            <w:tcMar>
              <w:right w:w="28" w:type="dxa"/>
            </w:tcMar>
            <w:vAlign w:val="bottom"/>
          </w:tcPr>
          <w:p w14:paraId="246F773D" w14:textId="76CCB3B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bottom w:val="nil"/>
            </w:tcBorders>
            <w:shd w:val="clear" w:color="auto" w:fill="auto"/>
            <w:vAlign w:val="bottom"/>
          </w:tcPr>
          <w:p w14:paraId="633E3134" w14:textId="50D6CAB3"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bottom w:val="nil"/>
            </w:tcBorders>
            <w:shd w:val="clear" w:color="auto" w:fill="auto"/>
            <w:tcMar>
              <w:right w:w="28" w:type="dxa"/>
            </w:tcMar>
            <w:vAlign w:val="bottom"/>
          </w:tcPr>
          <w:p w14:paraId="63F2941F" w14:textId="1D311478"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bottom w:val="nil"/>
            </w:tcBorders>
            <w:shd w:val="clear" w:color="auto" w:fill="auto"/>
            <w:tcMar>
              <w:right w:w="28" w:type="dxa"/>
            </w:tcMar>
            <w:vAlign w:val="bottom"/>
          </w:tcPr>
          <w:p w14:paraId="6C29493E" w14:textId="77777777" w:rsidR="00A2287B" w:rsidRPr="00A705A5" w:rsidRDefault="00A2287B" w:rsidP="00A2287B">
            <w:pPr>
              <w:pStyle w:val="SingleTxtG"/>
              <w:bidi/>
              <w:spacing w:before="40" w:after="40" w:line="220" w:lineRule="exact"/>
              <w:ind w:left="0" w:right="113"/>
              <w:jc w:val="left"/>
              <w:rPr>
                <w:sz w:val="18"/>
              </w:rPr>
            </w:pPr>
            <w:r w:rsidRPr="00A705A5">
              <w:rPr>
                <w:sz w:val="18"/>
              </w:rPr>
              <w:t>43</w:t>
            </w:r>
          </w:p>
        </w:tc>
        <w:tc>
          <w:tcPr>
            <w:tcW w:w="358" w:type="dxa"/>
            <w:tcBorders>
              <w:bottom w:val="nil"/>
            </w:tcBorders>
            <w:shd w:val="clear" w:color="auto" w:fill="auto"/>
            <w:tcMar>
              <w:right w:w="28" w:type="dxa"/>
            </w:tcMar>
            <w:vAlign w:val="bottom"/>
          </w:tcPr>
          <w:p w14:paraId="06EBC384" w14:textId="1AD4392A"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bottom w:val="nil"/>
            </w:tcBorders>
            <w:shd w:val="clear" w:color="auto" w:fill="auto"/>
            <w:vAlign w:val="bottom"/>
          </w:tcPr>
          <w:p w14:paraId="1DB85953" w14:textId="0AE0294C"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bottom w:val="nil"/>
            </w:tcBorders>
          </w:tcPr>
          <w:p w14:paraId="44478BBC" w14:textId="257FA9AA"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bottom w:val="nil"/>
            </w:tcBorders>
            <w:shd w:val="clear" w:color="auto" w:fill="auto"/>
            <w:tcMar>
              <w:right w:w="28" w:type="dxa"/>
            </w:tcMar>
            <w:vAlign w:val="bottom"/>
          </w:tcPr>
          <w:p w14:paraId="07C88930" w14:textId="7051580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bottom w:val="nil"/>
            </w:tcBorders>
            <w:shd w:val="clear" w:color="auto" w:fill="auto"/>
            <w:vAlign w:val="bottom"/>
          </w:tcPr>
          <w:p w14:paraId="33439A67" w14:textId="68C57D7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bottom w:val="nil"/>
            </w:tcBorders>
            <w:shd w:val="clear" w:color="auto" w:fill="auto"/>
            <w:tcMar>
              <w:right w:w="28" w:type="dxa"/>
            </w:tcMar>
            <w:vAlign w:val="bottom"/>
          </w:tcPr>
          <w:p w14:paraId="43874273" w14:textId="3BE4EEF9"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427" w:type="dxa"/>
            <w:tcBorders>
              <w:bottom w:val="nil"/>
            </w:tcBorders>
            <w:shd w:val="clear" w:color="auto" w:fill="auto"/>
            <w:tcMar>
              <w:right w:w="28" w:type="dxa"/>
            </w:tcMar>
            <w:vAlign w:val="bottom"/>
          </w:tcPr>
          <w:p w14:paraId="370D183C" w14:textId="09D762BC"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643" w:type="dxa"/>
            <w:tcBorders>
              <w:bottom w:val="nil"/>
            </w:tcBorders>
            <w:shd w:val="clear" w:color="auto" w:fill="auto"/>
            <w:tcMar>
              <w:right w:w="28" w:type="dxa"/>
            </w:tcMar>
            <w:vAlign w:val="bottom"/>
          </w:tcPr>
          <w:p w14:paraId="0C678334" w14:textId="77777777" w:rsidR="00A2287B" w:rsidRPr="00A705A5" w:rsidRDefault="00A2287B" w:rsidP="00A2287B">
            <w:pPr>
              <w:pStyle w:val="SingleTxtG"/>
              <w:bidi/>
              <w:spacing w:before="40" w:after="40" w:line="220" w:lineRule="exact"/>
              <w:ind w:left="0" w:right="113"/>
              <w:jc w:val="left"/>
              <w:rPr>
                <w:sz w:val="18"/>
              </w:rPr>
            </w:pPr>
            <w:r w:rsidRPr="00A705A5">
              <w:rPr>
                <w:sz w:val="18"/>
              </w:rPr>
              <w:t>51</w:t>
            </w:r>
          </w:p>
        </w:tc>
      </w:tr>
      <w:tr w:rsidR="00A2287B" w:rsidRPr="00A705A5" w14:paraId="4627D06B" w14:textId="77777777" w:rsidTr="00A2287B">
        <w:trPr>
          <w:trHeight w:val="240"/>
        </w:trPr>
        <w:tc>
          <w:tcPr>
            <w:tcW w:w="804" w:type="dxa"/>
            <w:tcBorders>
              <w:top w:val="nil"/>
              <w:bottom w:val="nil"/>
            </w:tcBorders>
            <w:shd w:val="clear" w:color="auto" w:fill="auto"/>
          </w:tcPr>
          <w:p w14:paraId="60240101" w14:textId="77777777" w:rsidR="00A2287B" w:rsidRPr="00A705A5" w:rsidRDefault="00A2287B" w:rsidP="00A2287B">
            <w:pPr>
              <w:pStyle w:val="SingleTxtG"/>
              <w:bidi/>
              <w:spacing w:before="40" w:after="40" w:line="220" w:lineRule="exact"/>
              <w:ind w:left="0" w:right="113"/>
              <w:jc w:val="left"/>
              <w:rPr>
                <w:sz w:val="18"/>
              </w:rPr>
            </w:pPr>
            <w:r w:rsidRPr="00A705A5">
              <w:rPr>
                <w:sz w:val="18"/>
              </w:rPr>
              <w:t>2015</w:t>
            </w:r>
          </w:p>
        </w:tc>
        <w:tc>
          <w:tcPr>
            <w:tcW w:w="281" w:type="dxa"/>
            <w:tcBorders>
              <w:top w:val="nil"/>
              <w:bottom w:val="nil"/>
            </w:tcBorders>
            <w:shd w:val="clear" w:color="auto" w:fill="auto"/>
            <w:tcMar>
              <w:right w:w="28" w:type="dxa"/>
            </w:tcMar>
            <w:vAlign w:val="bottom"/>
          </w:tcPr>
          <w:p w14:paraId="60476033" w14:textId="667F27FF"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11" w:type="dxa"/>
            <w:tcBorders>
              <w:top w:val="nil"/>
              <w:bottom w:val="nil"/>
            </w:tcBorders>
            <w:shd w:val="clear" w:color="auto" w:fill="auto"/>
            <w:tcMar>
              <w:right w:w="28" w:type="dxa"/>
            </w:tcMar>
            <w:vAlign w:val="bottom"/>
          </w:tcPr>
          <w:p w14:paraId="2D426064" w14:textId="04B4FD19"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743" w:type="dxa"/>
            <w:tcBorders>
              <w:top w:val="nil"/>
              <w:bottom w:val="nil"/>
            </w:tcBorders>
            <w:shd w:val="clear" w:color="auto" w:fill="auto"/>
            <w:vAlign w:val="bottom"/>
          </w:tcPr>
          <w:p w14:paraId="6678AA54" w14:textId="758687A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bottom w:val="nil"/>
            </w:tcBorders>
            <w:shd w:val="clear" w:color="auto" w:fill="auto"/>
            <w:tcMar>
              <w:right w:w="28" w:type="dxa"/>
            </w:tcMar>
            <w:vAlign w:val="bottom"/>
          </w:tcPr>
          <w:p w14:paraId="3E2B35BA" w14:textId="5282A86B"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top w:val="nil"/>
              <w:bottom w:val="nil"/>
            </w:tcBorders>
            <w:shd w:val="clear" w:color="auto" w:fill="auto"/>
            <w:tcMar>
              <w:right w:w="28" w:type="dxa"/>
            </w:tcMar>
            <w:vAlign w:val="bottom"/>
          </w:tcPr>
          <w:p w14:paraId="1AB8F8EA" w14:textId="53FE433B"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tcBorders>
              <w:top w:val="nil"/>
              <w:bottom w:val="nil"/>
            </w:tcBorders>
            <w:shd w:val="clear" w:color="auto" w:fill="auto"/>
            <w:tcMar>
              <w:right w:w="28" w:type="dxa"/>
            </w:tcMar>
            <w:vAlign w:val="bottom"/>
          </w:tcPr>
          <w:p w14:paraId="4531E267" w14:textId="77777777" w:rsidR="00A2287B" w:rsidRPr="00A705A5" w:rsidRDefault="00A2287B" w:rsidP="00A2287B">
            <w:pPr>
              <w:pStyle w:val="SingleTxtG"/>
              <w:bidi/>
              <w:spacing w:before="40" w:after="40" w:line="220" w:lineRule="exact"/>
              <w:ind w:left="0" w:right="113"/>
              <w:jc w:val="left"/>
              <w:rPr>
                <w:sz w:val="18"/>
              </w:rPr>
            </w:pPr>
            <w:r w:rsidRPr="00A705A5">
              <w:rPr>
                <w:sz w:val="18"/>
              </w:rPr>
              <w:t>3</w:t>
            </w:r>
          </w:p>
        </w:tc>
        <w:tc>
          <w:tcPr>
            <w:tcW w:w="357" w:type="dxa"/>
            <w:tcBorders>
              <w:top w:val="nil"/>
              <w:bottom w:val="nil"/>
            </w:tcBorders>
            <w:shd w:val="clear" w:color="auto" w:fill="auto"/>
            <w:tcMar>
              <w:right w:w="28" w:type="dxa"/>
            </w:tcMar>
            <w:vAlign w:val="bottom"/>
          </w:tcPr>
          <w:p w14:paraId="25C76881" w14:textId="50610239"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top w:val="nil"/>
              <w:bottom w:val="nil"/>
            </w:tcBorders>
            <w:shd w:val="clear" w:color="auto" w:fill="auto"/>
            <w:tcMar>
              <w:right w:w="28" w:type="dxa"/>
            </w:tcMar>
            <w:vAlign w:val="bottom"/>
          </w:tcPr>
          <w:p w14:paraId="6E00E398" w14:textId="58B1238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tcBorders>
              <w:top w:val="nil"/>
              <w:bottom w:val="nil"/>
            </w:tcBorders>
            <w:shd w:val="clear" w:color="auto" w:fill="auto"/>
            <w:tcMar>
              <w:right w:w="28" w:type="dxa"/>
            </w:tcMar>
            <w:vAlign w:val="bottom"/>
          </w:tcPr>
          <w:p w14:paraId="33282A0B" w14:textId="77777777" w:rsidR="00A2287B" w:rsidRPr="00A705A5" w:rsidRDefault="00A2287B" w:rsidP="00A2287B">
            <w:pPr>
              <w:pStyle w:val="SingleTxtG"/>
              <w:bidi/>
              <w:spacing w:before="40" w:after="40" w:line="220" w:lineRule="exact"/>
              <w:ind w:left="0" w:right="113"/>
              <w:jc w:val="left"/>
              <w:rPr>
                <w:sz w:val="18"/>
              </w:rPr>
            </w:pPr>
            <w:r w:rsidRPr="00A705A5">
              <w:rPr>
                <w:sz w:val="18"/>
              </w:rPr>
              <w:t>42</w:t>
            </w:r>
          </w:p>
        </w:tc>
        <w:tc>
          <w:tcPr>
            <w:tcW w:w="357" w:type="dxa"/>
            <w:tcBorders>
              <w:top w:val="nil"/>
              <w:bottom w:val="nil"/>
            </w:tcBorders>
            <w:shd w:val="clear" w:color="auto" w:fill="auto"/>
            <w:tcMar>
              <w:right w:w="28" w:type="dxa"/>
            </w:tcMar>
            <w:vAlign w:val="bottom"/>
          </w:tcPr>
          <w:p w14:paraId="26E1AA29" w14:textId="691E8BDA"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bottom w:val="nil"/>
            </w:tcBorders>
            <w:shd w:val="clear" w:color="auto" w:fill="auto"/>
            <w:tcMar>
              <w:right w:w="28" w:type="dxa"/>
            </w:tcMar>
            <w:vAlign w:val="bottom"/>
          </w:tcPr>
          <w:p w14:paraId="3A49A948" w14:textId="0C985DC4"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top w:val="nil"/>
              <w:bottom w:val="nil"/>
            </w:tcBorders>
            <w:shd w:val="clear" w:color="auto" w:fill="auto"/>
            <w:vAlign w:val="bottom"/>
          </w:tcPr>
          <w:p w14:paraId="36F00673" w14:textId="7A853DF8"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top w:val="nil"/>
              <w:bottom w:val="nil"/>
            </w:tcBorders>
            <w:shd w:val="clear" w:color="auto" w:fill="auto"/>
            <w:tcMar>
              <w:right w:w="28" w:type="dxa"/>
            </w:tcMar>
            <w:vAlign w:val="bottom"/>
          </w:tcPr>
          <w:p w14:paraId="313434B5" w14:textId="7E900641"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top w:val="nil"/>
              <w:bottom w:val="nil"/>
            </w:tcBorders>
            <w:shd w:val="clear" w:color="auto" w:fill="auto"/>
            <w:tcMar>
              <w:right w:w="28" w:type="dxa"/>
            </w:tcMar>
            <w:vAlign w:val="bottom"/>
          </w:tcPr>
          <w:p w14:paraId="3AD6CFCF" w14:textId="77777777" w:rsidR="00A2287B" w:rsidRPr="00A705A5" w:rsidRDefault="00A2287B" w:rsidP="00A2287B">
            <w:pPr>
              <w:pStyle w:val="SingleTxtG"/>
              <w:bidi/>
              <w:spacing w:before="40" w:after="40" w:line="220" w:lineRule="exact"/>
              <w:ind w:left="0" w:right="113"/>
              <w:jc w:val="left"/>
              <w:rPr>
                <w:sz w:val="18"/>
              </w:rPr>
            </w:pPr>
            <w:r w:rsidRPr="00A705A5">
              <w:rPr>
                <w:sz w:val="18"/>
              </w:rPr>
              <w:t>165</w:t>
            </w:r>
          </w:p>
        </w:tc>
        <w:tc>
          <w:tcPr>
            <w:tcW w:w="358" w:type="dxa"/>
            <w:tcBorders>
              <w:top w:val="nil"/>
              <w:bottom w:val="nil"/>
            </w:tcBorders>
            <w:shd w:val="clear" w:color="auto" w:fill="auto"/>
            <w:tcMar>
              <w:right w:w="28" w:type="dxa"/>
            </w:tcMar>
            <w:vAlign w:val="bottom"/>
          </w:tcPr>
          <w:p w14:paraId="5DEEF9AF" w14:textId="7FDA246D"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top w:val="nil"/>
              <w:bottom w:val="nil"/>
            </w:tcBorders>
            <w:shd w:val="clear" w:color="auto" w:fill="auto"/>
            <w:vAlign w:val="bottom"/>
          </w:tcPr>
          <w:p w14:paraId="33EDA556" w14:textId="18DBBFC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bottom w:val="nil"/>
            </w:tcBorders>
          </w:tcPr>
          <w:p w14:paraId="3EECAA43" w14:textId="0A73A46A"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bottom w:val="nil"/>
            </w:tcBorders>
            <w:shd w:val="clear" w:color="auto" w:fill="auto"/>
            <w:tcMar>
              <w:right w:w="28" w:type="dxa"/>
            </w:tcMar>
            <w:vAlign w:val="bottom"/>
          </w:tcPr>
          <w:p w14:paraId="184C93E6" w14:textId="2536275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top w:val="nil"/>
              <w:bottom w:val="nil"/>
            </w:tcBorders>
            <w:shd w:val="clear" w:color="auto" w:fill="auto"/>
            <w:vAlign w:val="bottom"/>
          </w:tcPr>
          <w:p w14:paraId="4CD2A3F0" w14:textId="1287AB21"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bottom w:val="nil"/>
            </w:tcBorders>
            <w:shd w:val="clear" w:color="auto" w:fill="auto"/>
            <w:tcMar>
              <w:right w:w="28" w:type="dxa"/>
            </w:tcMar>
            <w:vAlign w:val="bottom"/>
          </w:tcPr>
          <w:p w14:paraId="47E80FAB" w14:textId="5B1D0BA4"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427" w:type="dxa"/>
            <w:tcBorders>
              <w:top w:val="nil"/>
              <w:bottom w:val="nil"/>
            </w:tcBorders>
            <w:shd w:val="clear" w:color="auto" w:fill="auto"/>
            <w:tcMar>
              <w:right w:w="28" w:type="dxa"/>
            </w:tcMar>
            <w:vAlign w:val="bottom"/>
          </w:tcPr>
          <w:p w14:paraId="2CADF906" w14:textId="379C01DA"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643" w:type="dxa"/>
            <w:tcBorders>
              <w:top w:val="nil"/>
              <w:bottom w:val="nil"/>
            </w:tcBorders>
            <w:shd w:val="clear" w:color="auto" w:fill="auto"/>
            <w:tcMar>
              <w:right w:w="28" w:type="dxa"/>
            </w:tcMar>
            <w:vAlign w:val="bottom"/>
          </w:tcPr>
          <w:p w14:paraId="29373638" w14:textId="77777777" w:rsidR="00A2287B" w:rsidRPr="00A705A5" w:rsidRDefault="00A2287B" w:rsidP="00A2287B">
            <w:pPr>
              <w:pStyle w:val="SingleTxtG"/>
              <w:bidi/>
              <w:spacing w:before="40" w:after="40" w:line="220" w:lineRule="exact"/>
              <w:ind w:left="0" w:right="113"/>
              <w:jc w:val="left"/>
              <w:rPr>
                <w:sz w:val="18"/>
              </w:rPr>
            </w:pPr>
            <w:r w:rsidRPr="00A705A5">
              <w:rPr>
                <w:sz w:val="18"/>
              </w:rPr>
              <w:t>210</w:t>
            </w:r>
          </w:p>
        </w:tc>
      </w:tr>
      <w:tr w:rsidR="00A2287B" w:rsidRPr="00A705A5" w14:paraId="6FEDAF5D" w14:textId="77777777" w:rsidTr="00A2287B">
        <w:trPr>
          <w:trHeight w:val="240"/>
        </w:trPr>
        <w:tc>
          <w:tcPr>
            <w:tcW w:w="804" w:type="dxa"/>
            <w:tcBorders>
              <w:top w:val="nil"/>
              <w:bottom w:val="nil"/>
            </w:tcBorders>
            <w:shd w:val="clear" w:color="auto" w:fill="auto"/>
          </w:tcPr>
          <w:p w14:paraId="00737D0E" w14:textId="77777777" w:rsidR="00A2287B" w:rsidRPr="00A705A5" w:rsidRDefault="00A2287B" w:rsidP="00A2287B">
            <w:pPr>
              <w:pStyle w:val="SingleTxtG"/>
              <w:bidi/>
              <w:spacing w:before="40" w:after="40" w:line="220" w:lineRule="exact"/>
              <w:ind w:left="0" w:right="113"/>
              <w:jc w:val="left"/>
              <w:rPr>
                <w:sz w:val="18"/>
              </w:rPr>
            </w:pPr>
            <w:r w:rsidRPr="00A705A5">
              <w:rPr>
                <w:sz w:val="18"/>
              </w:rPr>
              <w:t>2016</w:t>
            </w:r>
          </w:p>
        </w:tc>
        <w:tc>
          <w:tcPr>
            <w:tcW w:w="281" w:type="dxa"/>
            <w:tcBorders>
              <w:top w:val="nil"/>
              <w:bottom w:val="nil"/>
            </w:tcBorders>
            <w:shd w:val="clear" w:color="auto" w:fill="auto"/>
            <w:tcMar>
              <w:right w:w="28" w:type="dxa"/>
            </w:tcMar>
            <w:vAlign w:val="bottom"/>
          </w:tcPr>
          <w:p w14:paraId="69912FF1" w14:textId="506A122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11" w:type="dxa"/>
            <w:tcBorders>
              <w:top w:val="nil"/>
              <w:bottom w:val="nil"/>
            </w:tcBorders>
            <w:shd w:val="clear" w:color="auto" w:fill="auto"/>
            <w:tcMar>
              <w:right w:w="28" w:type="dxa"/>
            </w:tcMar>
            <w:vAlign w:val="bottom"/>
          </w:tcPr>
          <w:p w14:paraId="01E910B0" w14:textId="7AC6B91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743" w:type="dxa"/>
            <w:tcBorders>
              <w:top w:val="nil"/>
              <w:bottom w:val="nil"/>
            </w:tcBorders>
            <w:shd w:val="clear" w:color="auto" w:fill="auto"/>
            <w:vAlign w:val="bottom"/>
          </w:tcPr>
          <w:p w14:paraId="6531F099" w14:textId="049E2AF5"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bottom w:val="nil"/>
            </w:tcBorders>
            <w:shd w:val="clear" w:color="auto" w:fill="auto"/>
            <w:tcMar>
              <w:right w:w="28" w:type="dxa"/>
            </w:tcMar>
            <w:vAlign w:val="bottom"/>
          </w:tcPr>
          <w:p w14:paraId="47E8146C" w14:textId="0F3602E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top w:val="nil"/>
              <w:bottom w:val="nil"/>
            </w:tcBorders>
            <w:shd w:val="clear" w:color="auto" w:fill="auto"/>
            <w:tcMar>
              <w:right w:w="28" w:type="dxa"/>
            </w:tcMar>
            <w:vAlign w:val="bottom"/>
          </w:tcPr>
          <w:p w14:paraId="2D6440DD" w14:textId="327569F3"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tcBorders>
              <w:top w:val="nil"/>
              <w:bottom w:val="nil"/>
            </w:tcBorders>
            <w:shd w:val="clear" w:color="auto" w:fill="auto"/>
            <w:tcMar>
              <w:right w:w="28" w:type="dxa"/>
            </w:tcMar>
            <w:vAlign w:val="bottom"/>
          </w:tcPr>
          <w:p w14:paraId="7A1918A7" w14:textId="77777777" w:rsidR="00A2287B" w:rsidRPr="00A705A5" w:rsidRDefault="00A2287B" w:rsidP="00A2287B">
            <w:pPr>
              <w:pStyle w:val="SingleTxtG"/>
              <w:bidi/>
              <w:spacing w:before="40" w:after="40" w:line="220" w:lineRule="exact"/>
              <w:ind w:left="0" w:right="113"/>
              <w:jc w:val="left"/>
              <w:rPr>
                <w:sz w:val="18"/>
              </w:rPr>
            </w:pPr>
            <w:r w:rsidRPr="00A705A5">
              <w:rPr>
                <w:sz w:val="18"/>
              </w:rPr>
              <w:t>4</w:t>
            </w:r>
          </w:p>
        </w:tc>
        <w:tc>
          <w:tcPr>
            <w:tcW w:w="357" w:type="dxa"/>
            <w:tcBorders>
              <w:top w:val="nil"/>
              <w:bottom w:val="nil"/>
            </w:tcBorders>
            <w:shd w:val="clear" w:color="auto" w:fill="auto"/>
            <w:tcMar>
              <w:right w:w="28" w:type="dxa"/>
            </w:tcMar>
            <w:vAlign w:val="bottom"/>
          </w:tcPr>
          <w:p w14:paraId="2FD3AB9D" w14:textId="6D2B7371"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top w:val="nil"/>
              <w:bottom w:val="nil"/>
            </w:tcBorders>
            <w:shd w:val="clear" w:color="auto" w:fill="auto"/>
            <w:tcMar>
              <w:right w:w="28" w:type="dxa"/>
            </w:tcMar>
            <w:vAlign w:val="bottom"/>
          </w:tcPr>
          <w:p w14:paraId="666B8411" w14:textId="7D525A7E"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tcBorders>
              <w:top w:val="nil"/>
              <w:bottom w:val="nil"/>
            </w:tcBorders>
            <w:shd w:val="clear" w:color="auto" w:fill="auto"/>
            <w:tcMar>
              <w:right w:w="28" w:type="dxa"/>
            </w:tcMar>
            <w:vAlign w:val="bottom"/>
          </w:tcPr>
          <w:p w14:paraId="45B67ECE" w14:textId="77777777" w:rsidR="00A2287B" w:rsidRPr="00A705A5" w:rsidRDefault="00A2287B" w:rsidP="00A2287B">
            <w:pPr>
              <w:pStyle w:val="SingleTxtG"/>
              <w:bidi/>
              <w:spacing w:before="40" w:after="40" w:line="220" w:lineRule="exact"/>
              <w:ind w:left="0" w:right="113"/>
              <w:jc w:val="left"/>
              <w:rPr>
                <w:sz w:val="18"/>
              </w:rPr>
            </w:pPr>
            <w:r w:rsidRPr="00A705A5">
              <w:rPr>
                <w:sz w:val="18"/>
              </w:rPr>
              <w:t>22</w:t>
            </w:r>
          </w:p>
        </w:tc>
        <w:tc>
          <w:tcPr>
            <w:tcW w:w="357" w:type="dxa"/>
            <w:tcBorders>
              <w:top w:val="nil"/>
              <w:bottom w:val="nil"/>
            </w:tcBorders>
            <w:shd w:val="clear" w:color="auto" w:fill="auto"/>
            <w:tcMar>
              <w:right w:w="28" w:type="dxa"/>
            </w:tcMar>
            <w:vAlign w:val="bottom"/>
          </w:tcPr>
          <w:p w14:paraId="052B7DA1" w14:textId="0A6FC253"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bottom w:val="nil"/>
            </w:tcBorders>
            <w:shd w:val="clear" w:color="auto" w:fill="auto"/>
            <w:tcMar>
              <w:right w:w="28" w:type="dxa"/>
            </w:tcMar>
            <w:vAlign w:val="bottom"/>
          </w:tcPr>
          <w:p w14:paraId="707F4654" w14:textId="2218882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top w:val="nil"/>
              <w:bottom w:val="nil"/>
            </w:tcBorders>
            <w:shd w:val="clear" w:color="auto" w:fill="auto"/>
            <w:vAlign w:val="bottom"/>
          </w:tcPr>
          <w:p w14:paraId="5DB9F13C" w14:textId="0C54056D"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top w:val="nil"/>
              <w:bottom w:val="nil"/>
            </w:tcBorders>
            <w:shd w:val="clear" w:color="auto" w:fill="auto"/>
            <w:tcMar>
              <w:right w:w="28" w:type="dxa"/>
            </w:tcMar>
            <w:vAlign w:val="bottom"/>
          </w:tcPr>
          <w:p w14:paraId="41687A37" w14:textId="34C8DA8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top w:val="nil"/>
              <w:bottom w:val="nil"/>
            </w:tcBorders>
            <w:shd w:val="clear" w:color="auto" w:fill="auto"/>
            <w:tcMar>
              <w:right w:w="28" w:type="dxa"/>
            </w:tcMar>
            <w:vAlign w:val="bottom"/>
          </w:tcPr>
          <w:p w14:paraId="60256DA4" w14:textId="77777777" w:rsidR="00A2287B" w:rsidRPr="00A705A5" w:rsidRDefault="00A2287B" w:rsidP="00A2287B">
            <w:pPr>
              <w:pStyle w:val="SingleTxtG"/>
              <w:bidi/>
              <w:spacing w:before="40" w:after="40" w:line="220" w:lineRule="exact"/>
              <w:ind w:left="0" w:right="113"/>
              <w:jc w:val="left"/>
              <w:rPr>
                <w:sz w:val="18"/>
              </w:rPr>
            </w:pPr>
            <w:r w:rsidRPr="00A705A5">
              <w:rPr>
                <w:sz w:val="18"/>
              </w:rPr>
              <w:t>58</w:t>
            </w:r>
          </w:p>
        </w:tc>
        <w:tc>
          <w:tcPr>
            <w:tcW w:w="358" w:type="dxa"/>
            <w:tcBorders>
              <w:top w:val="nil"/>
              <w:bottom w:val="nil"/>
            </w:tcBorders>
            <w:shd w:val="clear" w:color="auto" w:fill="auto"/>
            <w:tcMar>
              <w:right w:w="28" w:type="dxa"/>
            </w:tcMar>
            <w:vAlign w:val="bottom"/>
          </w:tcPr>
          <w:p w14:paraId="16EC085E"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56" w:type="dxa"/>
            <w:tcBorders>
              <w:top w:val="nil"/>
              <w:bottom w:val="nil"/>
            </w:tcBorders>
            <w:shd w:val="clear" w:color="auto" w:fill="auto"/>
            <w:vAlign w:val="bottom"/>
          </w:tcPr>
          <w:p w14:paraId="7809C52D" w14:textId="1EDE5938"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bottom w:val="nil"/>
            </w:tcBorders>
          </w:tcPr>
          <w:p w14:paraId="29DE570B" w14:textId="5F79FB19"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bottom w:val="nil"/>
            </w:tcBorders>
            <w:shd w:val="clear" w:color="auto" w:fill="auto"/>
            <w:tcMar>
              <w:right w:w="28" w:type="dxa"/>
            </w:tcMar>
            <w:vAlign w:val="bottom"/>
          </w:tcPr>
          <w:p w14:paraId="51BE1909" w14:textId="30A8BCBC"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top w:val="nil"/>
              <w:bottom w:val="nil"/>
            </w:tcBorders>
            <w:shd w:val="clear" w:color="auto" w:fill="auto"/>
            <w:vAlign w:val="bottom"/>
          </w:tcPr>
          <w:p w14:paraId="04D35886" w14:textId="1AB1DF90"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bottom w:val="nil"/>
            </w:tcBorders>
            <w:shd w:val="clear" w:color="auto" w:fill="auto"/>
            <w:tcMar>
              <w:right w:w="28" w:type="dxa"/>
            </w:tcMar>
            <w:vAlign w:val="bottom"/>
          </w:tcPr>
          <w:p w14:paraId="3AF7AF86" w14:textId="3717A62D"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427" w:type="dxa"/>
            <w:tcBorders>
              <w:top w:val="nil"/>
              <w:bottom w:val="nil"/>
            </w:tcBorders>
            <w:shd w:val="clear" w:color="auto" w:fill="auto"/>
            <w:tcMar>
              <w:right w:w="28" w:type="dxa"/>
            </w:tcMar>
            <w:vAlign w:val="bottom"/>
          </w:tcPr>
          <w:p w14:paraId="4B156CEA" w14:textId="66E23F26"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643" w:type="dxa"/>
            <w:tcBorders>
              <w:top w:val="nil"/>
              <w:bottom w:val="nil"/>
            </w:tcBorders>
            <w:shd w:val="clear" w:color="auto" w:fill="auto"/>
            <w:tcMar>
              <w:right w:w="28" w:type="dxa"/>
            </w:tcMar>
            <w:vAlign w:val="bottom"/>
          </w:tcPr>
          <w:p w14:paraId="1000208E" w14:textId="77777777" w:rsidR="00A2287B" w:rsidRPr="00A705A5" w:rsidRDefault="00A2287B" w:rsidP="00A2287B">
            <w:pPr>
              <w:pStyle w:val="SingleTxtG"/>
              <w:bidi/>
              <w:spacing w:before="40" w:after="40" w:line="220" w:lineRule="exact"/>
              <w:ind w:left="0" w:right="113"/>
              <w:jc w:val="left"/>
              <w:rPr>
                <w:sz w:val="18"/>
              </w:rPr>
            </w:pPr>
            <w:r w:rsidRPr="00A705A5">
              <w:rPr>
                <w:sz w:val="18"/>
              </w:rPr>
              <w:t>85</w:t>
            </w:r>
          </w:p>
        </w:tc>
      </w:tr>
      <w:tr w:rsidR="00A2287B" w:rsidRPr="00A705A5" w14:paraId="0460D24D" w14:textId="77777777" w:rsidTr="00A2287B">
        <w:trPr>
          <w:trHeight w:val="240"/>
        </w:trPr>
        <w:tc>
          <w:tcPr>
            <w:tcW w:w="804" w:type="dxa"/>
            <w:tcBorders>
              <w:top w:val="nil"/>
            </w:tcBorders>
            <w:shd w:val="clear" w:color="auto" w:fill="auto"/>
          </w:tcPr>
          <w:p w14:paraId="0C6D8371" w14:textId="77777777" w:rsidR="00A2287B" w:rsidRPr="00A705A5" w:rsidRDefault="00A2287B" w:rsidP="00A2287B">
            <w:pPr>
              <w:pStyle w:val="SingleTxtG"/>
              <w:bidi/>
              <w:spacing w:before="40" w:after="40" w:line="220" w:lineRule="exact"/>
              <w:ind w:left="0" w:right="113"/>
              <w:jc w:val="left"/>
              <w:rPr>
                <w:sz w:val="18"/>
              </w:rPr>
            </w:pPr>
            <w:r w:rsidRPr="00A705A5">
              <w:rPr>
                <w:sz w:val="18"/>
              </w:rPr>
              <w:t>2017</w:t>
            </w:r>
          </w:p>
        </w:tc>
        <w:tc>
          <w:tcPr>
            <w:tcW w:w="281" w:type="dxa"/>
            <w:tcBorders>
              <w:top w:val="nil"/>
            </w:tcBorders>
            <w:shd w:val="clear" w:color="auto" w:fill="auto"/>
            <w:tcMar>
              <w:right w:w="28" w:type="dxa"/>
            </w:tcMar>
            <w:vAlign w:val="bottom"/>
          </w:tcPr>
          <w:p w14:paraId="605834E1" w14:textId="77777777" w:rsidR="00A2287B" w:rsidRPr="00A705A5" w:rsidRDefault="00A2287B" w:rsidP="00A2287B">
            <w:pPr>
              <w:pStyle w:val="SingleTxtG"/>
              <w:bidi/>
              <w:spacing w:before="40" w:after="40" w:line="220" w:lineRule="exact"/>
              <w:ind w:left="0" w:right="113"/>
              <w:jc w:val="left"/>
              <w:rPr>
                <w:sz w:val="18"/>
              </w:rPr>
            </w:pPr>
            <w:r w:rsidRPr="00A705A5">
              <w:rPr>
                <w:sz w:val="18"/>
              </w:rPr>
              <w:t>2</w:t>
            </w:r>
          </w:p>
        </w:tc>
        <w:tc>
          <w:tcPr>
            <w:tcW w:w="311" w:type="dxa"/>
            <w:tcBorders>
              <w:top w:val="nil"/>
            </w:tcBorders>
            <w:shd w:val="clear" w:color="auto" w:fill="auto"/>
            <w:tcMar>
              <w:right w:w="28" w:type="dxa"/>
            </w:tcMar>
            <w:vAlign w:val="bottom"/>
          </w:tcPr>
          <w:p w14:paraId="32F189BC"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743" w:type="dxa"/>
            <w:tcBorders>
              <w:top w:val="nil"/>
            </w:tcBorders>
            <w:shd w:val="clear" w:color="auto" w:fill="auto"/>
            <w:vAlign w:val="bottom"/>
          </w:tcPr>
          <w:p w14:paraId="773DBDA5" w14:textId="03FDB25B"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tcBorders>
            <w:shd w:val="clear" w:color="auto" w:fill="auto"/>
            <w:tcMar>
              <w:right w:w="28" w:type="dxa"/>
            </w:tcMar>
            <w:vAlign w:val="bottom"/>
          </w:tcPr>
          <w:p w14:paraId="16A166AB" w14:textId="1ADD44C0"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top w:val="nil"/>
            </w:tcBorders>
            <w:shd w:val="clear" w:color="auto" w:fill="auto"/>
            <w:tcMar>
              <w:right w:w="28" w:type="dxa"/>
            </w:tcMar>
            <w:vAlign w:val="bottom"/>
          </w:tcPr>
          <w:p w14:paraId="48EC6E2F" w14:textId="54A566B8"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tcBorders>
              <w:top w:val="nil"/>
            </w:tcBorders>
            <w:shd w:val="clear" w:color="auto" w:fill="auto"/>
            <w:tcMar>
              <w:right w:w="28" w:type="dxa"/>
            </w:tcMar>
            <w:vAlign w:val="bottom"/>
          </w:tcPr>
          <w:p w14:paraId="314BE687" w14:textId="77777777" w:rsidR="00A2287B" w:rsidRPr="00A705A5" w:rsidRDefault="00A2287B" w:rsidP="00A2287B">
            <w:pPr>
              <w:pStyle w:val="SingleTxtG"/>
              <w:bidi/>
              <w:spacing w:before="40" w:after="40" w:line="220" w:lineRule="exact"/>
              <w:ind w:left="0" w:right="113"/>
              <w:jc w:val="left"/>
              <w:rPr>
                <w:sz w:val="18"/>
              </w:rPr>
            </w:pPr>
            <w:r w:rsidRPr="00A705A5">
              <w:rPr>
                <w:sz w:val="18"/>
              </w:rPr>
              <w:t>3</w:t>
            </w:r>
          </w:p>
        </w:tc>
        <w:tc>
          <w:tcPr>
            <w:tcW w:w="357" w:type="dxa"/>
            <w:tcBorders>
              <w:top w:val="nil"/>
            </w:tcBorders>
            <w:shd w:val="clear" w:color="auto" w:fill="auto"/>
            <w:tcMar>
              <w:right w:w="28" w:type="dxa"/>
            </w:tcMar>
            <w:vAlign w:val="bottom"/>
          </w:tcPr>
          <w:p w14:paraId="47D7A0A2" w14:textId="24B8E0DF"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top w:val="nil"/>
            </w:tcBorders>
            <w:shd w:val="clear" w:color="auto" w:fill="auto"/>
            <w:tcMar>
              <w:right w:w="28" w:type="dxa"/>
            </w:tcMar>
            <w:vAlign w:val="bottom"/>
          </w:tcPr>
          <w:p w14:paraId="363A4DA7" w14:textId="45D6935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tcBorders>
              <w:top w:val="nil"/>
            </w:tcBorders>
            <w:shd w:val="clear" w:color="auto" w:fill="auto"/>
            <w:tcMar>
              <w:right w:w="28" w:type="dxa"/>
            </w:tcMar>
            <w:vAlign w:val="bottom"/>
          </w:tcPr>
          <w:p w14:paraId="75C1E199" w14:textId="77777777" w:rsidR="00A2287B" w:rsidRPr="00A705A5" w:rsidRDefault="00A2287B" w:rsidP="00A2287B">
            <w:pPr>
              <w:pStyle w:val="SingleTxtG"/>
              <w:bidi/>
              <w:spacing w:before="40" w:after="40" w:line="220" w:lineRule="exact"/>
              <w:ind w:left="0" w:right="113"/>
              <w:jc w:val="left"/>
              <w:rPr>
                <w:sz w:val="18"/>
              </w:rPr>
            </w:pPr>
            <w:r w:rsidRPr="00A705A5">
              <w:rPr>
                <w:sz w:val="18"/>
              </w:rPr>
              <w:t>43</w:t>
            </w:r>
          </w:p>
        </w:tc>
        <w:tc>
          <w:tcPr>
            <w:tcW w:w="357" w:type="dxa"/>
            <w:tcBorders>
              <w:top w:val="nil"/>
            </w:tcBorders>
            <w:shd w:val="clear" w:color="auto" w:fill="auto"/>
            <w:tcMar>
              <w:right w:w="28" w:type="dxa"/>
            </w:tcMar>
            <w:vAlign w:val="bottom"/>
          </w:tcPr>
          <w:p w14:paraId="29F893EF" w14:textId="77777777" w:rsidR="00A2287B" w:rsidRPr="00A705A5" w:rsidRDefault="00A2287B" w:rsidP="00A2287B">
            <w:pPr>
              <w:pStyle w:val="SingleTxtG"/>
              <w:bidi/>
              <w:spacing w:before="40" w:after="40" w:line="220" w:lineRule="exact"/>
              <w:ind w:left="0" w:right="113"/>
              <w:jc w:val="left"/>
              <w:rPr>
                <w:sz w:val="18"/>
              </w:rPr>
            </w:pPr>
            <w:r w:rsidRPr="00A705A5">
              <w:rPr>
                <w:sz w:val="18"/>
              </w:rPr>
              <w:t>2</w:t>
            </w:r>
          </w:p>
        </w:tc>
        <w:tc>
          <w:tcPr>
            <w:tcW w:w="358" w:type="dxa"/>
            <w:tcBorders>
              <w:top w:val="nil"/>
            </w:tcBorders>
            <w:shd w:val="clear" w:color="auto" w:fill="auto"/>
            <w:tcMar>
              <w:right w:w="28" w:type="dxa"/>
            </w:tcMar>
            <w:vAlign w:val="bottom"/>
          </w:tcPr>
          <w:p w14:paraId="404FFA49" w14:textId="3962BBA3"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top w:val="nil"/>
            </w:tcBorders>
            <w:shd w:val="clear" w:color="auto" w:fill="auto"/>
            <w:vAlign w:val="bottom"/>
          </w:tcPr>
          <w:p w14:paraId="5741A0C7" w14:textId="76A954E9"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top w:val="nil"/>
            </w:tcBorders>
            <w:shd w:val="clear" w:color="auto" w:fill="auto"/>
            <w:tcMar>
              <w:right w:w="28" w:type="dxa"/>
            </w:tcMar>
            <w:vAlign w:val="bottom"/>
          </w:tcPr>
          <w:p w14:paraId="0BC1DF78"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535" w:type="dxa"/>
            <w:tcBorders>
              <w:top w:val="nil"/>
            </w:tcBorders>
            <w:shd w:val="clear" w:color="auto" w:fill="auto"/>
            <w:tcMar>
              <w:right w:w="28" w:type="dxa"/>
            </w:tcMar>
            <w:vAlign w:val="bottom"/>
          </w:tcPr>
          <w:p w14:paraId="27A6A4A9" w14:textId="77777777" w:rsidR="00A2287B" w:rsidRPr="00A705A5" w:rsidRDefault="00A2287B" w:rsidP="00A2287B">
            <w:pPr>
              <w:pStyle w:val="SingleTxtG"/>
              <w:bidi/>
              <w:spacing w:before="40" w:after="40" w:line="220" w:lineRule="exact"/>
              <w:ind w:left="0" w:right="113"/>
              <w:jc w:val="left"/>
              <w:rPr>
                <w:sz w:val="18"/>
              </w:rPr>
            </w:pPr>
            <w:r w:rsidRPr="00A705A5">
              <w:rPr>
                <w:sz w:val="18"/>
              </w:rPr>
              <w:t>31</w:t>
            </w:r>
          </w:p>
        </w:tc>
        <w:tc>
          <w:tcPr>
            <w:tcW w:w="358" w:type="dxa"/>
            <w:tcBorders>
              <w:top w:val="nil"/>
            </w:tcBorders>
            <w:shd w:val="clear" w:color="auto" w:fill="auto"/>
            <w:tcMar>
              <w:right w:w="28" w:type="dxa"/>
            </w:tcMar>
            <w:vAlign w:val="bottom"/>
          </w:tcPr>
          <w:p w14:paraId="3F07A55C" w14:textId="77777777" w:rsidR="00A2287B" w:rsidRPr="00A705A5" w:rsidRDefault="00A2287B" w:rsidP="00A2287B">
            <w:pPr>
              <w:pStyle w:val="SingleTxtG"/>
              <w:bidi/>
              <w:spacing w:before="40" w:after="40" w:line="220" w:lineRule="exact"/>
              <w:ind w:left="0" w:right="113"/>
              <w:jc w:val="left"/>
              <w:rPr>
                <w:sz w:val="18"/>
              </w:rPr>
            </w:pPr>
            <w:r w:rsidRPr="00A705A5">
              <w:rPr>
                <w:sz w:val="18"/>
              </w:rPr>
              <w:t>2</w:t>
            </w:r>
          </w:p>
        </w:tc>
        <w:tc>
          <w:tcPr>
            <w:tcW w:w="356" w:type="dxa"/>
            <w:tcBorders>
              <w:top w:val="nil"/>
            </w:tcBorders>
            <w:shd w:val="clear" w:color="auto" w:fill="auto"/>
            <w:vAlign w:val="bottom"/>
          </w:tcPr>
          <w:p w14:paraId="235F9C94" w14:textId="72C6C6E3"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tcBorders>
          </w:tcPr>
          <w:p w14:paraId="2606B1A9" w14:textId="0ADF20CE"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tcBorders>
            <w:shd w:val="clear" w:color="auto" w:fill="auto"/>
            <w:tcMar>
              <w:right w:w="28" w:type="dxa"/>
            </w:tcMar>
            <w:vAlign w:val="bottom"/>
          </w:tcPr>
          <w:p w14:paraId="69DA5657"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56" w:type="dxa"/>
            <w:tcBorders>
              <w:top w:val="nil"/>
            </w:tcBorders>
            <w:shd w:val="clear" w:color="auto" w:fill="auto"/>
            <w:vAlign w:val="bottom"/>
          </w:tcPr>
          <w:p w14:paraId="782F3F6A" w14:textId="15381AF0"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top w:val="nil"/>
            </w:tcBorders>
            <w:shd w:val="clear" w:color="auto" w:fill="auto"/>
            <w:tcMar>
              <w:right w:w="28" w:type="dxa"/>
            </w:tcMar>
            <w:vAlign w:val="bottom"/>
          </w:tcPr>
          <w:p w14:paraId="47A0B05B" w14:textId="2E3D63B8"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427" w:type="dxa"/>
            <w:tcBorders>
              <w:top w:val="nil"/>
            </w:tcBorders>
            <w:shd w:val="clear" w:color="auto" w:fill="auto"/>
            <w:tcMar>
              <w:right w:w="28" w:type="dxa"/>
            </w:tcMar>
            <w:vAlign w:val="bottom"/>
          </w:tcPr>
          <w:p w14:paraId="7A9A6DCB" w14:textId="7184D7A8"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643" w:type="dxa"/>
            <w:tcBorders>
              <w:top w:val="nil"/>
            </w:tcBorders>
            <w:shd w:val="clear" w:color="auto" w:fill="auto"/>
            <w:tcMar>
              <w:right w:w="28" w:type="dxa"/>
            </w:tcMar>
            <w:vAlign w:val="bottom"/>
          </w:tcPr>
          <w:p w14:paraId="117303AE" w14:textId="77777777" w:rsidR="00A2287B" w:rsidRPr="00A705A5" w:rsidRDefault="00A2287B" w:rsidP="00A2287B">
            <w:pPr>
              <w:pStyle w:val="SingleTxtG"/>
              <w:bidi/>
              <w:spacing w:before="40" w:after="40" w:line="220" w:lineRule="exact"/>
              <w:ind w:left="0" w:right="113"/>
              <w:jc w:val="left"/>
              <w:rPr>
                <w:sz w:val="18"/>
              </w:rPr>
            </w:pPr>
            <w:r w:rsidRPr="00A705A5">
              <w:rPr>
                <w:sz w:val="18"/>
              </w:rPr>
              <w:t>86</w:t>
            </w:r>
          </w:p>
        </w:tc>
      </w:tr>
      <w:tr w:rsidR="00A2287B" w:rsidRPr="00A705A5" w14:paraId="525B6E70" w14:textId="77777777" w:rsidTr="00A2287B">
        <w:trPr>
          <w:trHeight w:val="240"/>
        </w:trPr>
        <w:tc>
          <w:tcPr>
            <w:tcW w:w="804" w:type="dxa"/>
            <w:shd w:val="clear" w:color="auto" w:fill="auto"/>
          </w:tcPr>
          <w:p w14:paraId="11708E45" w14:textId="77777777" w:rsidR="00A2287B" w:rsidRPr="00A705A5" w:rsidRDefault="00A2287B" w:rsidP="00A2287B">
            <w:pPr>
              <w:pStyle w:val="SingleTxtG"/>
              <w:bidi/>
              <w:spacing w:before="40" w:after="40" w:line="220" w:lineRule="exact"/>
              <w:ind w:left="0" w:right="113"/>
              <w:jc w:val="left"/>
              <w:rPr>
                <w:sz w:val="18"/>
              </w:rPr>
            </w:pPr>
            <w:r w:rsidRPr="00A705A5">
              <w:rPr>
                <w:sz w:val="18"/>
              </w:rPr>
              <w:t>2018</w:t>
            </w:r>
          </w:p>
        </w:tc>
        <w:tc>
          <w:tcPr>
            <w:tcW w:w="281" w:type="dxa"/>
            <w:shd w:val="clear" w:color="auto" w:fill="auto"/>
            <w:tcMar>
              <w:right w:w="28" w:type="dxa"/>
            </w:tcMar>
            <w:vAlign w:val="bottom"/>
          </w:tcPr>
          <w:p w14:paraId="260EACAF" w14:textId="3BF2824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11" w:type="dxa"/>
            <w:shd w:val="clear" w:color="auto" w:fill="auto"/>
            <w:tcMar>
              <w:right w:w="28" w:type="dxa"/>
            </w:tcMar>
            <w:vAlign w:val="bottom"/>
          </w:tcPr>
          <w:p w14:paraId="1C037138" w14:textId="05FFD1A9"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743" w:type="dxa"/>
            <w:shd w:val="clear" w:color="auto" w:fill="auto"/>
            <w:vAlign w:val="bottom"/>
          </w:tcPr>
          <w:p w14:paraId="4B1B3B4C" w14:textId="1F246286"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6EBEB729" w14:textId="41B608C8"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shd w:val="clear" w:color="auto" w:fill="auto"/>
            <w:tcMar>
              <w:right w:w="28" w:type="dxa"/>
            </w:tcMar>
            <w:vAlign w:val="bottom"/>
          </w:tcPr>
          <w:p w14:paraId="258596F5" w14:textId="4791D89D"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shd w:val="clear" w:color="auto" w:fill="auto"/>
            <w:tcMar>
              <w:right w:w="28" w:type="dxa"/>
            </w:tcMar>
            <w:vAlign w:val="bottom"/>
          </w:tcPr>
          <w:p w14:paraId="10FD009C" w14:textId="77777777" w:rsidR="00A2287B" w:rsidRPr="00A705A5" w:rsidRDefault="00A2287B" w:rsidP="00A2287B">
            <w:pPr>
              <w:pStyle w:val="SingleTxtG"/>
              <w:bidi/>
              <w:spacing w:before="40" w:after="40" w:line="220" w:lineRule="exact"/>
              <w:ind w:left="0" w:right="113"/>
              <w:jc w:val="left"/>
              <w:rPr>
                <w:sz w:val="18"/>
              </w:rPr>
            </w:pPr>
            <w:r w:rsidRPr="00A705A5">
              <w:rPr>
                <w:sz w:val="18"/>
              </w:rPr>
              <w:t>9</w:t>
            </w:r>
          </w:p>
        </w:tc>
        <w:tc>
          <w:tcPr>
            <w:tcW w:w="357" w:type="dxa"/>
            <w:shd w:val="clear" w:color="auto" w:fill="auto"/>
            <w:tcMar>
              <w:right w:w="28" w:type="dxa"/>
            </w:tcMar>
            <w:vAlign w:val="bottom"/>
          </w:tcPr>
          <w:p w14:paraId="550D1EB6"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535" w:type="dxa"/>
            <w:shd w:val="clear" w:color="auto" w:fill="auto"/>
            <w:tcMar>
              <w:right w:w="28" w:type="dxa"/>
            </w:tcMar>
            <w:vAlign w:val="bottom"/>
          </w:tcPr>
          <w:p w14:paraId="7360153D" w14:textId="77777777" w:rsidR="00A2287B" w:rsidRPr="00A705A5" w:rsidRDefault="00A2287B" w:rsidP="00A2287B">
            <w:pPr>
              <w:pStyle w:val="SingleTxtG"/>
              <w:bidi/>
              <w:spacing w:before="40" w:after="40" w:line="220" w:lineRule="exact"/>
              <w:ind w:left="0" w:right="113"/>
              <w:jc w:val="left"/>
              <w:rPr>
                <w:sz w:val="18"/>
              </w:rPr>
            </w:pPr>
            <w:r w:rsidRPr="00A705A5">
              <w:rPr>
                <w:sz w:val="18"/>
              </w:rPr>
              <w:t>14</w:t>
            </w:r>
          </w:p>
        </w:tc>
        <w:tc>
          <w:tcPr>
            <w:tcW w:w="537" w:type="dxa"/>
            <w:shd w:val="clear" w:color="auto" w:fill="auto"/>
            <w:tcMar>
              <w:right w:w="28" w:type="dxa"/>
            </w:tcMar>
            <w:vAlign w:val="bottom"/>
          </w:tcPr>
          <w:p w14:paraId="481BBF4B" w14:textId="77777777" w:rsidR="00A2287B" w:rsidRPr="00A705A5" w:rsidRDefault="00A2287B" w:rsidP="00A2287B">
            <w:pPr>
              <w:pStyle w:val="SingleTxtG"/>
              <w:bidi/>
              <w:spacing w:before="40" w:after="40" w:line="220" w:lineRule="exact"/>
              <w:ind w:left="0" w:right="113"/>
              <w:jc w:val="left"/>
              <w:rPr>
                <w:sz w:val="18"/>
              </w:rPr>
            </w:pPr>
            <w:r w:rsidRPr="00A705A5">
              <w:rPr>
                <w:sz w:val="18"/>
              </w:rPr>
              <w:t>50</w:t>
            </w:r>
          </w:p>
        </w:tc>
        <w:tc>
          <w:tcPr>
            <w:tcW w:w="357" w:type="dxa"/>
            <w:shd w:val="clear" w:color="auto" w:fill="auto"/>
            <w:tcMar>
              <w:right w:w="28" w:type="dxa"/>
            </w:tcMar>
            <w:vAlign w:val="bottom"/>
          </w:tcPr>
          <w:p w14:paraId="6B867D14" w14:textId="6177F3E0"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21796A7E" w14:textId="44EF510B"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shd w:val="clear" w:color="auto" w:fill="auto"/>
            <w:vAlign w:val="bottom"/>
          </w:tcPr>
          <w:p w14:paraId="49F731EC" w14:textId="557A0E58"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shd w:val="clear" w:color="auto" w:fill="auto"/>
            <w:tcMar>
              <w:right w:w="28" w:type="dxa"/>
            </w:tcMar>
            <w:vAlign w:val="bottom"/>
          </w:tcPr>
          <w:p w14:paraId="2B4315E2" w14:textId="7B08668B"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shd w:val="clear" w:color="auto" w:fill="auto"/>
            <w:tcMar>
              <w:right w:w="28" w:type="dxa"/>
            </w:tcMar>
            <w:vAlign w:val="bottom"/>
          </w:tcPr>
          <w:p w14:paraId="47AB4F33" w14:textId="77777777" w:rsidR="00A2287B" w:rsidRPr="00A705A5" w:rsidRDefault="00A2287B" w:rsidP="00A2287B">
            <w:pPr>
              <w:pStyle w:val="SingleTxtG"/>
              <w:bidi/>
              <w:spacing w:before="40" w:after="40" w:line="220" w:lineRule="exact"/>
              <w:ind w:left="0" w:right="113"/>
              <w:jc w:val="left"/>
              <w:rPr>
                <w:sz w:val="18"/>
              </w:rPr>
            </w:pPr>
            <w:r w:rsidRPr="00A705A5">
              <w:rPr>
                <w:sz w:val="18"/>
              </w:rPr>
              <w:t>42</w:t>
            </w:r>
          </w:p>
        </w:tc>
        <w:tc>
          <w:tcPr>
            <w:tcW w:w="358" w:type="dxa"/>
            <w:shd w:val="clear" w:color="auto" w:fill="auto"/>
            <w:tcMar>
              <w:right w:w="28" w:type="dxa"/>
            </w:tcMar>
            <w:vAlign w:val="bottom"/>
          </w:tcPr>
          <w:p w14:paraId="120A380A" w14:textId="6006DED8"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shd w:val="clear" w:color="auto" w:fill="auto"/>
            <w:vAlign w:val="bottom"/>
          </w:tcPr>
          <w:p w14:paraId="2D148950" w14:textId="4EC938B3"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Pr>
          <w:p w14:paraId="07E485F4" w14:textId="10CD664C"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64F3847B" w14:textId="77883ABF"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shd w:val="clear" w:color="auto" w:fill="auto"/>
            <w:vAlign w:val="bottom"/>
          </w:tcPr>
          <w:p w14:paraId="6D2E4E47" w14:textId="56736454"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247DF3B4" w14:textId="77777777" w:rsidR="00A2287B" w:rsidRPr="00A705A5" w:rsidRDefault="00A2287B" w:rsidP="00A2287B">
            <w:pPr>
              <w:pStyle w:val="SingleTxtG"/>
              <w:bidi/>
              <w:spacing w:before="40" w:after="40" w:line="220" w:lineRule="exact"/>
              <w:ind w:left="0" w:right="113"/>
              <w:jc w:val="left"/>
              <w:rPr>
                <w:sz w:val="18"/>
              </w:rPr>
            </w:pPr>
            <w:r w:rsidRPr="00A705A5">
              <w:rPr>
                <w:sz w:val="18"/>
              </w:rPr>
              <w:t>2</w:t>
            </w:r>
          </w:p>
        </w:tc>
        <w:tc>
          <w:tcPr>
            <w:tcW w:w="427" w:type="dxa"/>
            <w:shd w:val="clear" w:color="auto" w:fill="auto"/>
            <w:tcMar>
              <w:right w:w="28" w:type="dxa"/>
            </w:tcMar>
            <w:vAlign w:val="bottom"/>
          </w:tcPr>
          <w:p w14:paraId="0EFB0840" w14:textId="6B4B1BDA"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643" w:type="dxa"/>
            <w:shd w:val="clear" w:color="auto" w:fill="auto"/>
            <w:tcMar>
              <w:right w:w="28" w:type="dxa"/>
            </w:tcMar>
            <w:vAlign w:val="bottom"/>
          </w:tcPr>
          <w:p w14:paraId="4F783A25" w14:textId="77777777" w:rsidR="00A2287B" w:rsidRPr="00A705A5" w:rsidRDefault="00A2287B" w:rsidP="00A2287B">
            <w:pPr>
              <w:pStyle w:val="SingleTxtG"/>
              <w:bidi/>
              <w:spacing w:before="40" w:after="40" w:line="220" w:lineRule="exact"/>
              <w:ind w:left="0" w:right="113"/>
              <w:jc w:val="left"/>
              <w:rPr>
                <w:sz w:val="18"/>
              </w:rPr>
            </w:pPr>
            <w:r w:rsidRPr="00A705A5">
              <w:rPr>
                <w:sz w:val="18"/>
              </w:rPr>
              <w:t>118</w:t>
            </w:r>
          </w:p>
        </w:tc>
      </w:tr>
      <w:tr w:rsidR="00A2287B" w:rsidRPr="00A705A5" w14:paraId="28BC7A51" w14:textId="77777777" w:rsidTr="00A2287B">
        <w:trPr>
          <w:trHeight w:val="240"/>
        </w:trPr>
        <w:tc>
          <w:tcPr>
            <w:tcW w:w="804" w:type="dxa"/>
            <w:shd w:val="clear" w:color="auto" w:fill="auto"/>
          </w:tcPr>
          <w:p w14:paraId="18A8A617" w14:textId="77777777" w:rsidR="00A2287B" w:rsidRPr="00A705A5" w:rsidRDefault="00A2287B" w:rsidP="00A2287B">
            <w:pPr>
              <w:pStyle w:val="SingleTxtG"/>
              <w:bidi/>
              <w:spacing w:before="40" w:after="40" w:line="220" w:lineRule="exact"/>
              <w:ind w:left="0" w:right="113"/>
              <w:jc w:val="left"/>
              <w:rPr>
                <w:sz w:val="18"/>
              </w:rPr>
            </w:pPr>
            <w:r w:rsidRPr="00A705A5">
              <w:rPr>
                <w:sz w:val="18"/>
              </w:rPr>
              <w:t>2019</w:t>
            </w:r>
          </w:p>
        </w:tc>
        <w:tc>
          <w:tcPr>
            <w:tcW w:w="281" w:type="dxa"/>
            <w:shd w:val="clear" w:color="auto" w:fill="auto"/>
            <w:tcMar>
              <w:right w:w="28" w:type="dxa"/>
            </w:tcMar>
            <w:vAlign w:val="bottom"/>
          </w:tcPr>
          <w:p w14:paraId="18F88D4F" w14:textId="1655DFBE"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11" w:type="dxa"/>
            <w:shd w:val="clear" w:color="auto" w:fill="auto"/>
            <w:tcMar>
              <w:right w:w="28" w:type="dxa"/>
            </w:tcMar>
            <w:vAlign w:val="bottom"/>
          </w:tcPr>
          <w:p w14:paraId="1251D815" w14:textId="646741C9"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743" w:type="dxa"/>
            <w:shd w:val="clear" w:color="auto" w:fill="auto"/>
            <w:vAlign w:val="bottom"/>
          </w:tcPr>
          <w:p w14:paraId="68DB62EF"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58" w:type="dxa"/>
            <w:shd w:val="clear" w:color="auto" w:fill="auto"/>
            <w:tcMar>
              <w:right w:w="28" w:type="dxa"/>
            </w:tcMar>
            <w:vAlign w:val="bottom"/>
          </w:tcPr>
          <w:p w14:paraId="436F6BB3" w14:textId="6A66A20E"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shd w:val="clear" w:color="auto" w:fill="auto"/>
            <w:tcMar>
              <w:right w:w="28" w:type="dxa"/>
            </w:tcMar>
            <w:vAlign w:val="bottom"/>
          </w:tcPr>
          <w:p w14:paraId="24839C0E" w14:textId="77777777" w:rsidR="00A2287B" w:rsidRPr="00A705A5" w:rsidRDefault="00A2287B" w:rsidP="00A2287B">
            <w:pPr>
              <w:pStyle w:val="SingleTxtG"/>
              <w:bidi/>
              <w:spacing w:before="40" w:after="40" w:line="220" w:lineRule="exact"/>
              <w:ind w:left="0" w:right="113"/>
              <w:jc w:val="left"/>
              <w:rPr>
                <w:sz w:val="18"/>
              </w:rPr>
            </w:pPr>
            <w:r w:rsidRPr="00A705A5">
              <w:rPr>
                <w:sz w:val="18"/>
              </w:rPr>
              <w:t>2</w:t>
            </w:r>
          </w:p>
        </w:tc>
        <w:tc>
          <w:tcPr>
            <w:tcW w:w="537" w:type="dxa"/>
            <w:shd w:val="clear" w:color="auto" w:fill="auto"/>
            <w:tcMar>
              <w:right w:w="28" w:type="dxa"/>
            </w:tcMar>
            <w:vAlign w:val="bottom"/>
          </w:tcPr>
          <w:p w14:paraId="68067962" w14:textId="77777777" w:rsidR="00A2287B" w:rsidRPr="00A705A5" w:rsidRDefault="00A2287B" w:rsidP="00A2287B">
            <w:pPr>
              <w:pStyle w:val="SingleTxtG"/>
              <w:bidi/>
              <w:spacing w:before="40" w:after="40" w:line="220" w:lineRule="exact"/>
              <w:ind w:left="0" w:right="113"/>
              <w:jc w:val="left"/>
              <w:rPr>
                <w:sz w:val="18"/>
              </w:rPr>
            </w:pPr>
            <w:r w:rsidRPr="00A705A5">
              <w:rPr>
                <w:sz w:val="18"/>
              </w:rPr>
              <w:t>3</w:t>
            </w:r>
          </w:p>
        </w:tc>
        <w:tc>
          <w:tcPr>
            <w:tcW w:w="357" w:type="dxa"/>
            <w:shd w:val="clear" w:color="auto" w:fill="auto"/>
            <w:tcMar>
              <w:right w:w="28" w:type="dxa"/>
            </w:tcMar>
            <w:vAlign w:val="bottom"/>
          </w:tcPr>
          <w:p w14:paraId="5B6B9C8F" w14:textId="77777777" w:rsidR="00A2287B" w:rsidRPr="00A705A5" w:rsidRDefault="00A2287B" w:rsidP="00A2287B">
            <w:pPr>
              <w:pStyle w:val="SingleTxtG"/>
              <w:bidi/>
              <w:spacing w:before="40" w:after="40" w:line="220" w:lineRule="exact"/>
              <w:ind w:left="0" w:right="113"/>
              <w:jc w:val="left"/>
              <w:rPr>
                <w:sz w:val="18"/>
              </w:rPr>
            </w:pPr>
            <w:r w:rsidRPr="00A705A5">
              <w:rPr>
                <w:sz w:val="18"/>
              </w:rPr>
              <w:t>3</w:t>
            </w:r>
          </w:p>
        </w:tc>
        <w:tc>
          <w:tcPr>
            <w:tcW w:w="535" w:type="dxa"/>
            <w:shd w:val="clear" w:color="auto" w:fill="auto"/>
            <w:tcMar>
              <w:right w:w="28" w:type="dxa"/>
            </w:tcMar>
            <w:vAlign w:val="bottom"/>
          </w:tcPr>
          <w:p w14:paraId="4A6212BC" w14:textId="5AE3B647"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7" w:type="dxa"/>
            <w:shd w:val="clear" w:color="auto" w:fill="auto"/>
            <w:tcMar>
              <w:right w:w="28" w:type="dxa"/>
            </w:tcMar>
            <w:vAlign w:val="bottom"/>
          </w:tcPr>
          <w:p w14:paraId="2F7588A5" w14:textId="77777777" w:rsidR="00A2287B" w:rsidRPr="00A705A5" w:rsidRDefault="00A2287B" w:rsidP="00A2287B">
            <w:pPr>
              <w:pStyle w:val="SingleTxtG"/>
              <w:bidi/>
              <w:spacing w:before="40" w:after="40" w:line="220" w:lineRule="exact"/>
              <w:ind w:left="0" w:right="113"/>
              <w:jc w:val="left"/>
              <w:rPr>
                <w:sz w:val="18"/>
              </w:rPr>
            </w:pPr>
            <w:r w:rsidRPr="00A705A5">
              <w:rPr>
                <w:sz w:val="18"/>
              </w:rPr>
              <w:t>228</w:t>
            </w:r>
          </w:p>
        </w:tc>
        <w:tc>
          <w:tcPr>
            <w:tcW w:w="357" w:type="dxa"/>
            <w:shd w:val="clear" w:color="auto" w:fill="auto"/>
            <w:tcMar>
              <w:right w:w="28" w:type="dxa"/>
            </w:tcMar>
            <w:vAlign w:val="bottom"/>
          </w:tcPr>
          <w:p w14:paraId="4B07ED52" w14:textId="36B6413E"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0A28324B" w14:textId="77777777" w:rsidR="00A2287B" w:rsidRPr="00A705A5" w:rsidRDefault="00A2287B" w:rsidP="00A2287B">
            <w:pPr>
              <w:pStyle w:val="SingleTxtG"/>
              <w:bidi/>
              <w:spacing w:before="40" w:after="40" w:line="220" w:lineRule="exact"/>
              <w:ind w:left="0" w:right="113"/>
              <w:jc w:val="left"/>
              <w:rPr>
                <w:sz w:val="18"/>
              </w:rPr>
            </w:pPr>
            <w:r w:rsidRPr="00A705A5">
              <w:rPr>
                <w:sz w:val="18"/>
              </w:rPr>
              <w:t>2</w:t>
            </w:r>
          </w:p>
        </w:tc>
        <w:tc>
          <w:tcPr>
            <w:tcW w:w="356" w:type="dxa"/>
            <w:shd w:val="clear" w:color="auto" w:fill="auto"/>
            <w:vAlign w:val="bottom"/>
          </w:tcPr>
          <w:p w14:paraId="431E1002" w14:textId="3EB35186"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shd w:val="clear" w:color="auto" w:fill="auto"/>
            <w:tcMar>
              <w:right w:w="28" w:type="dxa"/>
            </w:tcMar>
            <w:vAlign w:val="bottom"/>
          </w:tcPr>
          <w:p w14:paraId="7358EF5F" w14:textId="676CFEB1"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shd w:val="clear" w:color="auto" w:fill="auto"/>
            <w:tcMar>
              <w:right w:w="28" w:type="dxa"/>
            </w:tcMar>
            <w:vAlign w:val="bottom"/>
          </w:tcPr>
          <w:p w14:paraId="35E3F6C4" w14:textId="77777777" w:rsidR="00A2287B" w:rsidRPr="00A705A5" w:rsidRDefault="00A2287B" w:rsidP="00A2287B">
            <w:pPr>
              <w:pStyle w:val="SingleTxtG"/>
              <w:bidi/>
              <w:spacing w:before="40" w:after="40" w:line="220" w:lineRule="exact"/>
              <w:ind w:left="0" w:right="113"/>
              <w:jc w:val="left"/>
              <w:rPr>
                <w:sz w:val="18"/>
              </w:rPr>
            </w:pPr>
            <w:r w:rsidRPr="00A705A5">
              <w:rPr>
                <w:sz w:val="18"/>
              </w:rPr>
              <w:t>10</w:t>
            </w:r>
          </w:p>
        </w:tc>
        <w:tc>
          <w:tcPr>
            <w:tcW w:w="358" w:type="dxa"/>
            <w:shd w:val="clear" w:color="auto" w:fill="auto"/>
            <w:tcMar>
              <w:right w:w="28" w:type="dxa"/>
            </w:tcMar>
            <w:vAlign w:val="bottom"/>
          </w:tcPr>
          <w:p w14:paraId="057E7C5F" w14:textId="01547523"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shd w:val="clear" w:color="auto" w:fill="auto"/>
            <w:vAlign w:val="bottom"/>
          </w:tcPr>
          <w:p w14:paraId="607600B5" w14:textId="4ADFB45A"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Pr>
          <w:p w14:paraId="2A060270" w14:textId="1CEE99AA"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43983EA1" w14:textId="27DC2140"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shd w:val="clear" w:color="auto" w:fill="auto"/>
            <w:vAlign w:val="bottom"/>
          </w:tcPr>
          <w:p w14:paraId="42A78C51" w14:textId="32B801FD"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shd w:val="clear" w:color="auto" w:fill="auto"/>
            <w:tcMar>
              <w:right w:w="28" w:type="dxa"/>
            </w:tcMar>
            <w:vAlign w:val="bottom"/>
          </w:tcPr>
          <w:p w14:paraId="30BED37F" w14:textId="70CD8B64"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427" w:type="dxa"/>
            <w:shd w:val="clear" w:color="auto" w:fill="auto"/>
            <w:tcMar>
              <w:right w:w="28" w:type="dxa"/>
            </w:tcMar>
            <w:vAlign w:val="bottom"/>
          </w:tcPr>
          <w:p w14:paraId="23C48156"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643" w:type="dxa"/>
            <w:shd w:val="clear" w:color="auto" w:fill="auto"/>
            <w:tcMar>
              <w:right w:w="28" w:type="dxa"/>
            </w:tcMar>
            <w:vAlign w:val="bottom"/>
          </w:tcPr>
          <w:p w14:paraId="44A27DAF" w14:textId="77777777" w:rsidR="00A2287B" w:rsidRPr="00A705A5" w:rsidRDefault="00A2287B" w:rsidP="00A2287B">
            <w:pPr>
              <w:pStyle w:val="SingleTxtG"/>
              <w:bidi/>
              <w:spacing w:before="40" w:after="40" w:line="220" w:lineRule="exact"/>
              <w:ind w:left="0" w:right="113"/>
              <w:jc w:val="left"/>
              <w:rPr>
                <w:sz w:val="18"/>
              </w:rPr>
            </w:pPr>
            <w:r w:rsidRPr="00A705A5">
              <w:rPr>
                <w:sz w:val="18"/>
              </w:rPr>
              <w:t>250</w:t>
            </w:r>
          </w:p>
        </w:tc>
      </w:tr>
      <w:tr w:rsidR="00A2287B" w:rsidRPr="00A705A5" w14:paraId="57DB005D" w14:textId="77777777" w:rsidTr="00A2287B">
        <w:trPr>
          <w:trHeight w:val="240"/>
        </w:trPr>
        <w:tc>
          <w:tcPr>
            <w:tcW w:w="804" w:type="dxa"/>
            <w:tcBorders>
              <w:bottom w:val="single" w:sz="4" w:space="0" w:color="auto"/>
            </w:tcBorders>
            <w:shd w:val="clear" w:color="auto" w:fill="auto"/>
          </w:tcPr>
          <w:p w14:paraId="61AD43CD" w14:textId="77777777" w:rsidR="00A2287B" w:rsidRPr="00A705A5" w:rsidRDefault="00A2287B" w:rsidP="00A2287B">
            <w:pPr>
              <w:pStyle w:val="SingleTxtG"/>
              <w:bidi/>
              <w:spacing w:before="40" w:after="40" w:line="220" w:lineRule="exact"/>
              <w:ind w:left="0" w:right="113"/>
              <w:jc w:val="left"/>
              <w:rPr>
                <w:sz w:val="18"/>
              </w:rPr>
            </w:pPr>
            <w:r w:rsidRPr="00A705A5">
              <w:rPr>
                <w:sz w:val="18"/>
              </w:rPr>
              <w:t>2020</w:t>
            </w:r>
            <w:r w:rsidRPr="00A705A5">
              <w:rPr>
                <w:i/>
                <w:iCs/>
                <w:sz w:val="18"/>
                <w:vertAlign w:val="superscript"/>
              </w:rPr>
              <w:t>a</w:t>
            </w:r>
          </w:p>
        </w:tc>
        <w:tc>
          <w:tcPr>
            <w:tcW w:w="281" w:type="dxa"/>
            <w:tcBorders>
              <w:bottom w:val="single" w:sz="4" w:space="0" w:color="auto"/>
            </w:tcBorders>
            <w:shd w:val="clear" w:color="auto" w:fill="auto"/>
            <w:tcMar>
              <w:right w:w="28" w:type="dxa"/>
            </w:tcMar>
            <w:vAlign w:val="bottom"/>
          </w:tcPr>
          <w:p w14:paraId="4F0EE929"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11" w:type="dxa"/>
            <w:tcBorders>
              <w:bottom w:val="single" w:sz="4" w:space="0" w:color="auto"/>
            </w:tcBorders>
            <w:shd w:val="clear" w:color="auto" w:fill="auto"/>
            <w:tcMar>
              <w:right w:w="28" w:type="dxa"/>
            </w:tcMar>
            <w:vAlign w:val="bottom"/>
          </w:tcPr>
          <w:p w14:paraId="0A13B3FF" w14:textId="21B2025C"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743" w:type="dxa"/>
            <w:tcBorders>
              <w:bottom w:val="single" w:sz="4" w:space="0" w:color="auto"/>
            </w:tcBorders>
            <w:shd w:val="clear" w:color="auto" w:fill="auto"/>
            <w:vAlign w:val="bottom"/>
          </w:tcPr>
          <w:p w14:paraId="30ECF8E8" w14:textId="431768D6"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bottom w:val="single" w:sz="4" w:space="0" w:color="auto"/>
            </w:tcBorders>
            <w:shd w:val="clear" w:color="auto" w:fill="auto"/>
            <w:tcMar>
              <w:right w:w="28" w:type="dxa"/>
            </w:tcMar>
            <w:vAlign w:val="bottom"/>
          </w:tcPr>
          <w:p w14:paraId="0E15A9C3" w14:textId="31069DBE"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bottom w:val="single" w:sz="4" w:space="0" w:color="auto"/>
            </w:tcBorders>
            <w:shd w:val="clear" w:color="auto" w:fill="auto"/>
            <w:tcMar>
              <w:right w:w="28" w:type="dxa"/>
            </w:tcMar>
            <w:vAlign w:val="bottom"/>
          </w:tcPr>
          <w:p w14:paraId="701E4A45"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537" w:type="dxa"/>
            <w:tcBorders>
              <w:bottom w:val="single" w:sz="4" w:space="0" w:color="auto"/>
            </w:tcBorders>
            <w:shd w:val="clear" w:color="auto" w:fill="auto"/>
            <w:tcMar>
              <w:right w:w="28" w:type="dxa"/>
            </w:tcMar>
            <w:vAlign w:val="bottom"/>
          </w:tcPr>
          <w:p w14:paraId="55142E41" w14:textId="1ED2FAD2"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7" w:type="dxa"/>
            <w:tcBorders>
              <w:bottom w:val="single" w:sz="4" w:space="0" w:color="auto"/>
            </w:tcBorders>
            <w:shd w:val="clear" w:color="auto" w:fill="auto"/>
            <w:tcMar>
              <w:right w:w="28" w:type="dxa"/>
            </w:tcMar>
            <w:vAlign w:val="bottom"/>
          </w:tcPr>
          <w:p w14:paraId="023F50C1" w14:textId="07FAB569"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bottom w:val="single" w:sz="4" w:space="0" w:color="auto"/>
            </w:tcBorders>
            <w:shd w:val="clear" w:color="auto" w:fill="auto"/>
            <w:tcMar>
              <w:right w:w="28" w:type="dxa"/>
            </w:tcMar>
            <w:vAlign w:val="bottom"/>
          </w:tcPr>
          <w:p w14:paraId="5209A71F" w14:textId="77777777" w:rsidR="00A2287B" w:rsidRPr="00A705A5" w:rsidRDefault="00A2287B" w:rsidP="00A2287B">
            <w:pPr>
              <w:pStyle w:val="SingleTxtG"/>
              <w:bidi/>
              <w:spacing w:before="40" w:after="40" w:line="220" w:lineRule="exact"/>
              <w:ind w:left="0" w:right="113"/>
              <w:jc w:val="left"/>
              <w:rPr>
                <w:sz w:val="18"/>
              </w:rPr>
            </w:pPr>
            <w:r w:rsidRPr="00A705A5">
              <w:rPr>
                <w:sz w:val="18"/>
              </w:rPr>
              <w:t>8</w:t>
            </w:r>
          </w:p>
        </w:tc>
        <w:tc>
          <w:tcPr>
            <w:tcW w:w="537" w:type="dxa"/>
            <w:tcBorders>
              <w:bottom w:val="single" w:sz="4" w:space="0" w:color="auto"/>
            </w:tcBorders>
            <w:shd w:val="clear" w:color="auto" w:fill="auto"/>
            <w:tcMar>
              <w:right w:w="28" w:type="dxa"/>
            </w:tcMar>
            <w:vAlign w:val="bottom"/>
          </w:tcPr>
          <w:p w14:paraId="575D3424" w14:textId="77777777" w:rsidR="00A2287B" w:rsidRPr="00A705A5" w:rsidRDefault="00A2287B" w:rsidP="00A2287B">
            <w:pPr>
              <w:pStyle w:val="SingleTxtG"/>
              <w:bidi/>
              <w:spacing w:before="40" w:after="40" w:line="220" w:lineRule="exact"/>
              <w:ind w:left="0" w:right="113"/>
              <w:jc w:val="left"/>
              <w:rPr>
                <w:sz w:val="18"/>
              </w:rPr>
            </w:pPr>
            <w:r w:rsidRPr="00A705A5">
              <w:rPr>
                <w:sz w:val="18"/>
              </w:rPr>
              <w:t>91</w:t>
            </w:r>
          </w:p>
        </w:tc>
        <w:tc>
          <w:tcPr>
            <w:tcW w:w="357" w:type="dxa"/>
            <w:tcBorders>
              <w:bottom w:val="single" w:sz="4" w:space="0" w:color="auto"/>
            </w:tcBorders>
            <w:shd w:val="clear" w:color="auto" w:fill="auto"/>
            <w:tcMar>
              <w:right w:w="28" w:type="dxa"/>
            </w:tcMar>
            <w:vAlign w:val="bottom"/>
          </w:tcPr>
          <w:p w14:paraId="2DA63ECB" w14:textId="11ABA99D"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8" w:type="dxa"/>
            <w:tcBorders>
              <w:bottom w:val="single" w:sz="4" w:space="0" w:color="auto"/>
            </w:tcBorders>
            <w:shd w:val="clear" w:color="auto" w:fill="auto"/>
            <w:tcMar>
              <w:right w:w="28" w:type="dxa"/>
            </w:tcMar>
            <w:vAlign w:val="bottom"/>
          </w:tcPr>
          <w:p w14:paraId="5DC3B2EF" w14:textId="08FC8714"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bottom w:val="single" w:sz="4" w:space="0" w:color="auto"/>
            </w:tcBorders>
            <w:shd w:val="clear" w:color="auto" w:fill="auto"/>
            <w:vAlign w:val="bottom"/>
          </w:tcPr>
          <w:p w14:paraId="37B455B7"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57" w:type="dxa"/>
            <w:tcBorders>
              <w:bottom w:val="single" w:sz="4" w:space="0" w:color="auto"/>
            </w:tcBorders>
            <w:shd w:val="clear" w:color="auto" w:fill="auto"/>
            <w:tcMar>
              <w:right w:w="28" w:type="dxa"/>
            </w:tcMar>
            <w:vAlign w:val="bottom"/>
          </w:tcPr>
          <w:p w14:paraId="1C490D9F" w14:textId="7AF5024C"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535" w:type="dxa"/>
            <w:tcBorders>
              <w:bottom w:val="single" w:sz="4" w:space="0" w:color="auto"/>
            </w:tcBorders>
            <w:shd w:val="clear" w:color="auto" w:fill="auto"/>
            <w:tcMar>
              <w:right w:w="28" w:type="dxa"/>
            </w:tcMar>
            <w:vAlign w:val="bottom"/>
          </w:tcPr>
          <w:p w14:paraId="399C52D2" w14:textId="77777777" w:rsidR="00A2287B" w:rsidRPr="00A705A5" w:rsidRDefault="00A2287B" w:rsidP="00A2287B">
            <w:pPr>
              <w:pStyle w:val="SingleTxtG"/>
              <w:bidi/>
              <w:spacing w:before="40" w:after="40" w:line="220" w:lineRule="exact"/>
              <w:ind w:left="0" w:right="113"/>
              <w:jc w:val="left"/>
              <w:rPr>
                <w:sz w:val="18"/>
              </w:rPr>
            </w:pPr>
            <w:r w:rsidRPr="00A705A5">
              <w:rPr>
                <w:sz w:val="18"/>
              </w:rPr>
              <w:t>53</w:t>
            </w:r>
          </w:p>
        </w:tc>
        <w:tc>
          <w:tcPr>
            <w:tcW w:w="358" w:type="dxa"/>
            <w:tcBorders>
              <w:bottom w:val="single" w:sz="4" w:space="0" w:color="auto"/>
            </w:tcBorders>
            <w:shd w:val="clear" w:color="auto" w:fill="auto"/>
            <w:tcMar>
              <w:right w:w="28" w:type="dxa"/>
            </w:tcMar>
            <w:vAlign w:val="bottom"/>
          </w:tcPr>
          <w:p w14:paraId="3D2215C2" w14:textId="7C44E9B9"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bottom w:val="single" w:sz="4" w:space="0" w:color="auto"/>
            </w:tcBorders>
            <w:shd w:val="clear" w:color="auto" w:fill="auto"/>
            <w:vAlign w:val="bottom"/>
          </w:tcPr>
          <w:p w14:paraId="5FA99AA7"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58" w:type="dxa"/>
            <w:tcBorders>
              <w:bottom w:val="single" w:sz="4" w:space="0" w:color="auto"/>
            </w:tcBorders>
          </w:tcPr>
          <w:p w14:paraId="089ED715"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58" w:type="dxa"/>
            <w:tcBorders>
              <w:bottom w:val="single" w:sz="4" w:space="0" w:color="auto"/>
            </w:tcBorders>
            <w:shd w:val="clear" w:color="auto" w:fill="auto"/>
            <w:tcMar>
              <w:right w:w="28" w:type="dxa"/>
            </w:tcMar>
            <w:vAlign w:val="bottom"/>
          </w:tcPr>
          <w:p w14:paraId="50ADEF02" w14:textId="4CD9DB56"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356" w:type="dxa"/>
            <w:tcBorders>
              <w:bottom w:val="single" w:sz="4" w:space="0" w:color="auto"/>
            </w:tcBorders>
            <w:shd w:val="clear" w:color="auto" w:fill="auto"/>
            <w:vAlign w:val="bottom"/>
          </w:tcPr>
          <w:p w14:paraId="3BB70A46" w14:textId="77777777" w:rsidR="00A2287B" w:rsidRPr="00A705A5" w:rsidRDefault="00A2287B" w:rsidP="00A2287B">
            <w:pPr>
              <w:pStyle w:val="SingleTxtG"/>
              <w:bidi/>
              <w:spacing w:before="40" w:after="40" w:line="220" w:lineRule="exact"/>
              <w:ind w:left="0" w:right="113"/>
              <w:jc w:val="left"/>
              <w:rPr>
                <w:sz w:val="18"/>
              </w:rPr>
            </w:pPr>
            <w:r w:rsidRPr="00A705A5">
              <w:rPr>
                <w:sz w:val="18"/>
              </w:rPr>
              <w:t>1</w:t>
            </w:r>
          </w:p>
        </w:tc>
        <w:tc>
          <w:tcPr>
            <w:tcW w:w="358" w:type="dxa"/>
            <w:tcBorders>
              <w:bottom w:val="single" w:sz="4" w:space="0" w:color="auto"/>
            </w:tcBorders>
            <w:shd w:val="clear" w:color="auto" w:fill="auto"/>
            <w:tcMar>
              <w:right w:w="28" w:type="dxa"/>
            </w:tcMar>
            <w:vAlign w:val="bottom"/>
          </w:tcPr>
          <w:p w14:paraId="78120481" w14:textId="5AF0F3BE"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427" w:type="dxa"/>
            <w:tcBorders>
              <w:bottom w:val="single" w:sz="4" w:space="0" w:color="auto"/>
            </w:tcBorders>
            <w:shd w:val="clear" w:color="auto" w:fill="auto"/>
            <w:tcMar>
              <w:right w:w="28" w:type="dxa"/>
            </w:tcMar>
            <w:vAlign w:val="bottom"/>
          </w:tcPr>
          <w:p w14:paraId="6643CA56" w14:textId="376A917C" w:rsidR="00A2287B" w:rsidRPr="00A705A5" w:rsidRDefault="001413D9" w:rsidP="00A2287B">
            <w:pPr>
              <w:pStyle w:val="SingleTxtG"/>
              <w:bidi/>
              <w:spacing w:before="40" w:after="40" w:line="220" w:lineRule="exact"/>
              <w:ind w:left="0" w:right="113"/>
              <w:jc w:val="left"/>
              <w:rPr>
                <w:sz w:val="18"/>
              </w:rPr>
            </w:pPr>
            <w:r w:rsidRPr="00A705A5">
              <w:rPr>
                <w:sz w:val="18"/>
                <w:szCs w:val="26"/>
                <w:rtl/>
              </w:rPr>
              <w:t>-</w:t>
            </w:r>
          </w:p>
        </w:tc>
        <w:tc>
          <w:tcPr>
            <w:tcW w:w="643" w:type="dxa"/>
            <w:tcBorders>
              <w:bottom w:val="single" w:sz="4" w:space="0" w:color="auto"/>
            </w:tcBorders>
            <w:shd w:val="clear" w:color="auto" w:fill="auto"/>
            <w:tcMar>
              <w:right w:w="28" w:type="dxa"/>
            </w:tcMar>
            <w:vAlign w:val="bottom"/>
          </w:tcPr>
          <w:p w14:paraId="51B640A6" w14:textId="77777777" w:rsidR="00A2287B" w:rsidRPr="00A705A5" w:rsidRDefault="00A2287B" w:rsidP="00A2287B">
            <w:pPr>
              <w:pStyle w:val="SingleTxtG"/>
              <w:bidi/>
              <w:spacing w:before="40" w:after="40" w:line="220" w:lineRule="exact"/>
              <w:ind w:left="0" w:right="113"/>
              <w:jc w:val="left"/>
              <w:rPr>
                <w:sz w:val="18"/>
              </w:rPr>
            </w:pPr>
            <w:r w:rsidRPr="00A705A5">
              <w:rPr>
                <w:sz w:val="18"/>
              </w:rPr>
              <w:t>158</w:t>
            </w:r>
          </w:p>
        </w:tc>
      </w:tr>
      <w:tr w:rsidR="00A2287B" w:rsidRPr="00A705A5" w14:paraId="424AFC71" w14:textId="77777777" w:rsidTr="00A2287B">
        <w:trPr>
          <w:trHeight w:val="240"/>
        </w:trPr>
        <w:tc>
          <w:tcPr>
            <w:tcW w:w="804" w:type="dxa"/>
            <w:tcBorders>
              <w:top w:val="single" w:sz="4" w:space="0" w:color="auto"/>
              <w:bottom w:val="single" w:sz="12" w:space="0" w:color="auto"/>
            </w:tcBorders>
            <w:shd w:val="clear" w:color="auto" w:fill="auto"/>
          </w:tcPr>
          <w:p w14:paraId="07A9C462" w14:textId="0DCB98FD" w:rsidR="00A2287B" w:rsidRPr="00A705A5" w:rsidRDefault="00A2287B" w:rsidP="00A2287B">
            <w:pPr>
              <w:pStyle w:val="SingleTxtG"/>
              <w:bidi/>
              <w:spacing w:before="80" w:after="80" w:line="220" w:lineRule="exact"/>
              <w:ind w:left="170" w:right="0"/>
              <w:jc w:val="left"/>
              <w:rPr>
                <w:bCs/>
                <w:sz w:val="14"/>
                <w:szCs w:val="26"/>
              </w:rPr>
            </w:pPr>
            <w:r w:rsidRPr="00A705A5">
              <w:rPr>
                <w:rFonts w:hint="cs"/>
                <w:bCs/>
                <w:sz w:val="14"/>
                <w:szCs w:val="26"/>
                <w:rtl/>
              </w:rPr>
              <w:t>المجموع</w:t>
            </w:r>
          </w:p>
        </w:tc>
        <w:tc>
          <w:tcPr>
            <w:tcW w:w="281" w:type="dxa"/>
            <w:tcBorders>
              <w:top w:val="single" w:sz="4" w:space="0" w:color="auto"/>
              <w:bottom w:val="single" w:sz="12" w:space="0" w:color="auto"/>
            </w:tcBorders>
            <w:shd w:val="clear" w:color="auto" w:fill="auto"/>
            <w:tcMar>
              <w:right w:w="28" w:type="dxa"/>
            </w:tcMar>
            <w:vAlign w:val="bottom"/>
          </w:tcPr>
          <w:p w14:paraId="16DF99DA"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3</w:t>
            </w:r>
          </w:p>
        </w:tc>
        <w:tc>
          <w:tcPr>
            <w:tcW w:w="311" w:type="dxa"/>
            <w:tcBorders>
              <w:top w:val="single" w:sz="4" w:space="0" w:color="auto"/>
              <w:bottom w:val="single" w:sz="12" w:space="0" w:color="auto"/>
            </w:tcBorders>
            <w:shd w:val="clear" w:color="auto" w:fill="auto"/>
            <w:tcMar>
              <w:right w:w="28" w:type="dxa"/>
            </w:tcMar>
            <w:vAlign w:val="bottom"/>
          </w:tcPr>
          <w:p w14:paraId="1B1E0728"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1</w:t>
            </w:r>
          </w:p>
        </w:tc>
        <w:tc>
          <w:tcPr>
            <w:tcW w:w="743" w:type="dxa"/>
            <w:tcBorders>
              <w:top w:val="single" w:sz="4" w:space="0" w:color="auto"/>
              <w:bottom w:val="single" w:sz="12" w:space="0" w:color="auto"/>
            </w:tcBorders>
            <w:shd w:val="clear" w:color="auto" w:fill="auto"/>
            <w:vAlign w:val="bottom"/>
          </w:tcPr>
          <w:p w14:paraId="6A053D87"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1</w:t>
            </w:r>
          </w:p>
        </w:tc>
        <w:tc>
          <w:tcPr>
            <w:tcW w:w="358" w:type="dxa"/>
            <w:tcBorders>
              <w:top w:val="single" w:sz="4" w:space="0" w:color="auto"/>
              <w:bottom w:val="single" w:sz="12" w:space="0" w:color="auto"/>
            </w:tcBorders>
            <w:shd w:val="clear" w:color="auto" w:fill="auto"/>
            <w:tcMar>
              <w:right w:w="28" w:type="dxa"/>
            </w:tcMar>
            <w:vAlign w:val="bottom"/>
          </w:tcPr>
          <w:p w14:paraId="6616667E"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1</w:t>
            </w:r>
          </w:p>
        </w:tc>
        <w:tc>
          <w:tcPr>
            <w:tcW w:w="357" w:type="dxa"/>
            <w:tcBorders>
              <w:top w:val="single" w:sz="4" w:space="0" w:color="auto"/>
              <w:bottom w:val="single" w:sz="12" w:space="0" w:color="auto"/>
            </w:tcBorders>
            <w:shd w:val="clear" w:color="auto" w:fill="auto"/>
            <w:tcMar>
              <w:right w:w="28" w:type="dxa"/>
            </w:tcMar>
            <w:vAlign w:val="bottom"/>
          </w:tcPr>
          <w:p w14:paraId="0466D2AF"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4</w:t>
            </w:r>
          </w:p>
        </w:tc>
        <w:tc>
          <w:tcPr>
            <w:tcW w:w="537" w:type="dxa"/>
            <w:tcBorders>
              <w:top w:val="single" w:sz="4" w:space="0" w:color="auto"/>
              <w:bottom w:val="single" w:sz="12" w:space="0" w:color="auto"/>
            </w:tcBorders>
            <w:shd w:val="clear" w:color="auto" w:fill="auto"/>
            <w:tcMar>
              <w:right w:w="28" w:type="dxa"/>
            </w:tcMar>
            <w:vAlign w:val="bottom"/>
          </w:tcPr>
          <w:p w14:paraId="77AD2E0E"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24</w:t>
            </w:r>
          </w:p>
        </w:tc>
        <w:tc>
          <w:tcPr>
            <w:tcW w:w="357" w:type="dxa"/>
            <w:tcBorders>
              <w:top w:val="single" w:sz="4" w:space="0" w:color="auto"/>
              <w:bottom w:val="single" w:sz="12" w:space="0" w:color="auto"/>
            </w:tcBorders>
            <w:shd w:val="clear" w:color="auto" w:fill="auto"/>
            <w:tcMar>
              <w:right w:w="28" w:type="dxa"/>
            </w:tcMar>
            <w:vAlign w:val="bottom"/>
          </w:tcPr>
          <w:p w14:paraId="49CCCEEA"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4</w:t>
            </w:r>
          </w:p>
        </w:tc>
        <w:tc>
          <w:tcPr>
            <w:tcW w:w="535" w:type="dxa"/>
            <w:tcBorders>
              <w:top w:val="single" w:sz="4" w:space="0" w:color="auto"/>
              <w:bottom w:val="single" w:sz="12" w:space="0" w:color="auto"/>
            </w:tcBorders>
            <w:shd w:val="clear" w:color="auto" w:fill="auto"/>
            <w:tcMar>
              <w:right w:w="28" w:type="dxa"/>
            </w:tcMar>
            <w:vAlign w:val="bottom"/>
          </w:tcPr>
          <w:p w14:paraId="512ABC5A"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22</w:t>
            </w:r>
          </w:p>
        </w:tc>
        <w:tc>
          <w:tcPr>
            <w:tcW w:w="537" w:type="dxa"/>
            <w:tcBorders>
              <w:top w:val="single" w:sz="4" w:space="0" w:color="auto"/>
              <w:bottom w:val="single" w:sz="12" w:space="0" w:color="auto"/>
            </w:tcBorders>
            <w:shd w:val="clear" w:color="auto" w:fill="auto"/>
            <w:tcMar>
              <w:right w:w="28" w:type="dxa"/>
            </w:tcMar>
            <w:vAlign w:val="bottom"/>
          </w:tcPr>
          <w:p w14:paraId="6F889E43"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481</w:t>
            </w:r>
          </w:p>
        </w:tc>
        <w:tc>
          <w:tcPr>
            <w:tcW w:w="357" w:type="dxa"/>
            <w:tcBorders>
              <w:top w:val="single" w:sz="4" w:space="0" w:color="auto"/>
              <w:bottom w:val="single" w:sz="12" w:space="0" w:color="auto"/>
            </w:tcBorders>
            <w:shd w:val="clear" w:color="auto" w:fill="auto"/>
            <w:tcMar>
              <w:right w:w="28" w:type="dxa"/>
            </w:tcMar>
            <w:vAlign w:val="bottom"/>
          </w:tcPr>
          <w:p w14:paraId="672C5AD0"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2</w:t>
            </w:r>
          </w:p>
        </w:tc>
        <w:tc>
          <w:tcPr>
            <w:tcW w:w="358" w:type="dxa"/>
            <w:tcBorders>
              <w:top w:val="single" w:sz="4" w:space="0" w:color="auto"/>
              <w:bottom w:val="single" w:sz="12" w:space="0" w:color="auto"/>
            </w:tcBorders>
            <w:shd w:val="clear" w:color="auto" w:fill="auto"/>
            <w:tcMar>
              <w:right w:w="28" w:type="dxa"/>
            </w:tcMar>
            <w:vAlign w:val="bottom"/>
          </w:tcPr>
          <w:p w14:paraId="2BA4BBC0"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2</w:t>
            </w:r>
          </w:p>
        </w:tc>
        <w:tc>
          <w:tcPr>
            <w:tcW w:w="356" w:type="dxa"/>
            <w:tcBorders>
              <w:top w:val="single" w:sz="4" w:space="0" w:color="auto"/>
              <w:bottom w:val="single" w:sz="12" w:space="0" w:color="auto"/>
            </w:tcBorders>
            <w:shd w:val="clear" w:color="auto" w:fill="auto"/>
            <w:vAlign w:val="bottom"/>
          </w:tcPr>
          <w:p w14:paraId="69C37496"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1</w:t>
            </w:r>
          </w:p>
        </w:tc>
        <w:tc>
          <w:tcPr>
            <w:tcW w:w="357" w:type="dxa"/>
            <w:tcBorders>
              <w:top w:val="single" w:sz="4" w:space="0" w:color="auto"/>
              <w:bottom w:val="single" w:sz="12" w:space="0" w:color="auto"/>
            </w:tcBorders>
            <w:shd w:val="clear" w:color="auto" w:fill="auto"/>
            <w:tcMar>
              <w:right w:w="28" w:type="dxa"/>
            </w:tcMar>
            <w:vAlign w:val="bottom"/>
          </w:tcPr>
          <w:p w14:paraId="0A5C9568"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1</w:t>
            </w:r>
          </w:p>
        </w:tc>
        <w:tc>
          <w:tcPr>
            <w:tcW w:w="535" w:type="dxa"/>
            <w:tcBorders>
              <w:top w:val="single" w:sz="4" w:space="0" w:color="auto"/>
              <w:bottom w:val="single" w:sz="12" w:space="0" w:color="auto"/>
            </w:tcBorders>
            <w:shd w:val="clear" w:color="auto" w:fill="auto"/>
            <w:tcMar>
              <w:right w:w="28" w:type="dxa"/>
            </w:tcMar>
            <w:vAlign w:val="bottom"/>
          </w:tcPr>
          <w:p w14:paraId="1CDC7460"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412</w:t>
            </w:r>
          </w:p>
        </w:tc>
        <w:tc>
          <w:tcPr>
            <w:tcW w:w="358" w:type="dxa"/>
            <w:tcBorders>
              <w:top w:val="single" w:sz="4" w:space="0" w:color="auto"/>
              <w:bottom w:val="single" w:sz="12" w:space="0" w:color="auto"/>
            </w:tcBorders>
            <w:shd w:val="clear" w:color="auto" w:fill="auto"/>
            <w:tcMar>
              <w:right w:w="28" w:type="dxa"/>
            </w:tcMar>
            <w:vAlign w:val="bottom"/>
          </w:tcPr>
          <w:p w14:paraId="50694630"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3</w:t>
            </w:r>
          </w:p>
        </w:tc>
        <w:tc>
          <w:tcPr>
            <w:tcW w:w="356" w:type="dxa"/>
            <w:tcBorders>
              <w:top w:val="single" w:sz="4" w:space="0" w:color="auto"/>
              <w:bottom w:val="single" w:sz="12" w:space="0" w:color="auto"/>
            </w:tcBorders>
            <w:shd w:val="clear" w:color="auto" w:fill="auto"/>
            <w:vAlign w:val="bottom"/>
          </w:tcPr>
          <w:p w14:paraId="71B68BEE"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1</w:t>
            </w:r>
          </w:p>
        </w:tc>
        <w:tc>
          <w:tcPr>
            <w:tcW w:w="358" w:type="dxa"/>
            <w:tcBorders>
              <w:top w:val="single" w:sz="4" w:space="0" w:color="auto"/>
              <w:bottom w:val="single" w:sz="12" w:space="0" w:color="auto"/>
            </w:tcBorders>
          </w:tcPr>
          <w:p w14:paraId="03232A44"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1</w:t>
            </w:r>
          </w:p>
        </w:tc>
        <w:tc>
          <w:tcPr>
            <w:tcW w:w="358" w:type="dxa"/>
            <w:tcBorders>
              <w:top w:val="single" w:sz="4" w:space="0" w:color="auto"/>
              <w:bottom w:val="single" w:sz="12" w:space="0" w:color="auto"/>
            </w:tcBorders>
            <w:shd w:val="clear" w:color="auto" w:fill="auto"/>
            <w:tcMar>
              <w:right w:w="28" w:type="dxa"/>
            </w:tcMar>
            <w:vAlign w:val="bottom"/>
          </w:tcPr>
          <w:p w14:paraId="77192F78"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1</w:t>
            </w:r>
          </w:p>
        </w:tc>
        <w:tc>
          <w:tcPr>
            <w:tcW w:w="356" w:type="dxa"/>
            <w:tcBorders>
              <w:top w:val="single" w:sz="4" w:space="0" w:color="auto"/>
              <w:bottom w:val="single" w:sz="12" w:space="0" w:color="auto"/>
            </w:tcBorders>
            <w:shd w:val="clear" w:color="auto" w:fill="auto"/>
            <w:vAlign w:val="bottom"/>
          </w:tcPr>
          <w:p w14:paraId="1C3EF45A"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1</w:t>
            </w:r>
          </w:p>
        </w:tc>
        <w:tc>
          <w:tcPr>
            <w:tcW w:w="358" w:type="dxa"/>
            <w:tcBorders>
              <w:top w:val="single" w:sz="4" w:space="0" w:color="auto"/>
              <w:bottom w:val="single" w:sz="12" w:space="0" w:color="auto"/>
            </w:tcBorders>
            <w:shd w:val="clear" w:color="auto" w:fill="auto"/>
            <w:tcMar>
              <w:right w:w="28" w:type="dxa"/>
            </w:tcMar>
            <w:vAlign w:val="bottom"/>
          </w:tcPr>
          <w:p w14:paraId="3630DE83"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2</w:t>
            </w:r>
          </w:p>
        </w:tc>
        <w:tc>
          <w:tcPr>
            <w:tcW w:w="427" w:type="dxa"/>
            <w:tcBorders>
              <w:top w:val="single" w:sz="4" w:space="0" w:color="auto"/>
              <w:bottom w:val="single" w:sz="12" w:space="0" w:color="auto"/>
            </w:tcBorders>
            <w:shd w:val="clear" w:color="auto" w:fill="auto"/>
            <w:tcMar>
              <w:right w:w="28" w:type="dxa"/>
            </w:tcMar>
            <w:vAlign w:val="bottom"/>
          </w:tcPr>
          <w:p w14:paraId="0BD51BD0"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1</w:t>
            </w:r>
          </w:p>
        </w:tc>
        <w:tc>
          <w:tcPr>
            <w:tcW w:w="643" w:type="dxa"/>
            <w:tcBorders>
              <w:top w:val="single" w:sz="4" w:space="0" w:color="auto"/>
              <w:bottom w:val="single" w:sz="12" w:space="0" w:color="auto"/>
            </w:tcBorders>
            <w:shd w:val="clear" w:color="auto" w:fill="auto"/>
            <w:tcMar>
              <w:right w:w="28" w:type="dxa"/>
            </w:tcMar>
            <w:vAlign w:val="bottom"/>
          </w:tcPr>
          <w:p w14:paraId="0998B456" w14:textId="77777777" w:rsidR="00A2287B" w:rsidRPr="00A705A5" w:rsidRDefault="00A2287B" w:rsidP="00A2287B">
            <w:pPr>
              <w:pStyle w:val="SingleTxtG"/>
              <w:bidi/>
              <w:spacing w:before="80" w:after="80" w:line="220" w:lineRule="exact"/>
              <w:ind w:left="0" w:right="113"/>
              <w:jc w:val="left"/>
              <w:rPr>
                <w:b/>
                <w:sz w:val="18"/>
              </w:rPr>
            </w:pPr>
            <w:r w:rsidRPr="00A705A5">
              <w:rPr>
                <w:b/>
                <w:sz w:val="18"/>
              </w:rPr>
              <w:t>969</w:t>
            </w:r>
          </w:p>
        </w:tc>
      </w:tr>
    </w:tbl>
    <w:p w14:paraId="7FC946B4" w14:textId="602926EA" w:rsidR="0019726F" w:rsidRPr="00A705A5" w:rsidRDefault="001413D9" w:rsidP="001413D9">
      <w:pPr>
        <w:pStyle w:val="SingleTxtGA"/>
        <w:tabs>
          <w:tab w:val="clear" w:pos="1928"/>
          <w:tab w:val="clear" w:pos="2608"/>
          <w:tab w:val="left" w:pos="708"/>
        </w:tabs>
        <w:spacing w:before="120"/>
        <w:ind w:left="425"/>
        <w:rPr>
          <w:sz w:val="18"/>
          <w:szCs w:val="26"/>
          <w:rtl/>
        </w:rPr>
      </w:pPr>
      <w:r w:rsidRPr="00A705A5">
        <w:rPr>
          <w:rFonts w:hint="cs"/>
          <w:sz w:val="18"/>
          <w:szCs w:val="26"/>
          <w:rtl/>
        </w:rPr>
        <w:t>(</w:t>
      </w:r>
      <w:r w:rsidR="0019726F" w:rsidRPr="00A705A5">
        <w:rPr>
          <w:sz w:val="18"/>
          <w:szCs w:val="26"/>
          <w:rtl/>
        </w:rPr>
        <w:t>أ</w:t>
      </w:r>
      <w:r w:rsidRPr="00A705A5">
        <w:rPr>
          <w:rFonts w:hint="cs"/>
          <w:sz w:val="18"/>
          <w:szCs w:val="26"/>
          <w:rtl/>
        </w:rPr>
        <w:t>)</w:t>
      </w:r>
      <w:r w:rsidR="00C7148C" w:rsidRPr="00A705A5">
        <w:rPr>
          <w:sz w:val="18"/>
          <w:szCs w:val="26"/>
          <w:rtl/>
        </w:rPr>
        <w:tab/>
      </w:r>
      <w:r w:rsidR="0019726F" w:rsidRPr="00A705A5">
        <w:rPr>
          <w:sz w:val="18"/>
          <w:szCs w:val="26"/>
          <w:rtl/>
        </w:rPr>
        <w:t xml:space="preserve">حتى </w:t>
      </w:r>
      <w:r w:rsidR="0019726F" w:rsidRPr="00A705A5">
        <w:rPr>
          <w:sz w:val="18"/>
          <w:szCs w:val="22"/>
          <w:rtl/>
        </w:rPr>
        <w:t>31</w:t>
      </w:r>
      <w:r w:rsidR="0019726F" w:rsidRPr="00A705A5">
        <w:rPr>
          <w:sz w:val="18"/>
          <w:szCs w:val="26"/>
          <w:rtl/>
        </w:rPr>
        <w:t xml:space="preserve"> آب/أغسطس </w:t>
      </w:r>
      <w:r w:rsidR="0019726F" w:rsidRPr="00A705A5">
        <w:rPr>
          <w:sz w:val="18"/>
          <w:szCs w:val="22"/>
          <w:rtl/>
        </w:rPr>
        <w:t>2020</w:t>
      </w:r>
      <w:r w:rsidR="0019726F" w:rsidRPr="00A705A5">
        <w:rPr>
          <w:sz w:val="18"/>
          <w:szCs w:val="26"/>
          <w:rtl/>
        </w:rPr>
        <w:t>.</w:t>
      </w:r>
      <w:r w:rsidRPr="00A705A5">
        <w:rPr>
          <w:rFonts w:hint="cs"/>
          <w:sz w:val="18"/>
          <w:szCs w:val="26"/>
          <w:rtl/>
        </w:rPr>
        <w:t xml:space="preserve"> </w:t>
      </w:r>
    </w:p>
    <w:p w14:paraId="67AA6C63" w14:textId="326DA62E" w:rsidR="0019726F" w:rsidRPr="00A705A5" w:rsidRDefault="0019726F" w:rsidP="0019726F">
      <w:pPr>
        <w:pStyle w:val="H1GA"/>
        <w:rPr>
          <w:rtl/>
        </w:rPr>
      </w:pPr>
      <w:r w:rsidRPr="00A705A5">
        <w:rPr>
          <w:rtl/>
        </w:rPr>
        <w:tab/>
        <w:t>جيم-</w:t>
      </w:r>
      <w:r w:rsidRPr="00A705A5">
        <w:rPr>
          <w:rtl/>
        </w:rPr>
        <w:tab/>
      </w:r>
      <w:r w:rsidRPr="00A705A5">
        <w:rPr>
          <w:rFonts w:ascii="Times New Roman Bold" w:hAnsi="Times New Roman Bold"/>
          <w:spacing w:val="-4"/>
          <w:rtl/>
        </w:rPr>
        <w:t>سير طلبات الإجراءات العاجلة بعد تسجيلها: الاتجاهات التي لوحظت منذ الدورة</w:t>
      </w:r>
      <w:r w:rsidRPr="00A705A5">
        <w:rPr>
          <w:rtl/>
        </w:rPr>
        <w:t xml:space="preserve"> السابعة عشرة (حتى </w:t>
      </w:r>
      <w:r w:rsidR="001413D9" w:rsidRPr="00A705A5">
        <w:rPr>
          <w:rFonts w:hint="cs"/>
          <w:szCs w:val="24"/>
          <w:rtl/>
        </w:rPr>
        <w:t>31</w:t>
      </w:r>
      <w:r w:rsidR="001413D9" w:rsidRPr="00A705A5">
        <w:rPr>
          <w:rFonts w:hint="cs"/>
          <w:sz w:val="34"/>
          <w:rtl/>
        </w:rPr>
        <w:t xml:space="preserve"> آب/أغسطس</w:t>
      </w:r>
      <w:r w:rsidR="001413D9" w:rsidRPr="00A705A5">
        <w:rPr>
          <w:rFonts w:hint="cs"/>
          <w:sz w:val="26"/>
          <w:szCs w:val="26"/>
          <w:rtl/>
        </w:rPr>
        <w:t xml:space="preserve"> </w:t>
      </w:r>
      <w:r w:rsidRPr="00A705A5">
        <w:rPr>
          <w:szCs w:val="24"/>
          <w:rtl/>
        </w:rPr>
        <w:t>2020</w:t>
      </w:r>
      <w:r w:rsidRPr="00A705A5">
        <w:rPr>
          <w:rtl/>
        </w:rPr>
        <w:t>)</w:t>
      </w:r>
    </w:p>
    <w:p w14:paraId="100CFBB1" w14:textId="77777777" w:rsidR="0019726F" w:rsidRPr="00A705A5" w:rsidRDefault="0019726F" w:rsidP="00F723D3">
      <w:pPr>
        <w:pStyle w:val="SingleTxtGA"/>
        <w:spacing w:line="346" w:lineRule="exact"/>
        <w:rPr>
          <w:rtl/>
        </w:rPr>
      </w:pPr>
      <w:r w:rsidRPr="00A705A5">
        <w:rPr>
          <w:szCs w:val="20"/>
          <w:rtl/>
        </w:rPr>
        <w:t>4</w:t>
      </w:r>
      <w:r w:rsidRPr="00A705A5">
        <w:rPr>
          <w:rtl/>
        </w:rPr>
        <w:t>-</w:t>
      </w:r>
      <w:r w:rsidRPr="00A705A5">
        <w:rPr>
          <w:rtl/>
        </w:rPr>
        <w:tab/>
        <w:t xml:space="preserve">في عام </w:t>
      </w:r>
      <w:r w:rsidRPr="00A705A5">
        <w:rPr>
          <w:szCs w:val="20"/>
          <w:rtl/>
        </w:rPr>
        <w:t>2019</w:t>
      </w:r>
      <w:r w:rsidRPr="00A705A5">
        <w:rPr>
          <w:rtl/>
        </w:rPr>
        <w:t xml:space="preserve">، سجلت اللجنة </w:t>
      </w:r>
      <w:r w:rsidRPr="00A705A5">
        <w:rPr>
          <w:szCs w:val="20"/>
          <w:rtl/>
        </w:rPr>
        <w:t>250</w:t>
      </w:r>
      <w:r w:rsidRPr="00A705A5">
        <w:rPr>
          <w:rtl/>
        </w:rPr>
        <w:t xml:space="preserve"> طلباً جديداً لاتخاذ الإجراءات العاجلة وأرسلت </w:t>
      </w:r>
      <w:r w:rsidRPr="00A705A5">
        <w:rPr>
          <w:szCs w:val="20"/>
          <w:rtl/>
        </w:rPr>
        <w:t>139</w:t>
      </w:r>
      <w:r w:rsidRPr="00A705A5">
        <w:rPr>
          <w:rtl/>
        </w:rPr>
        <w:t xml:space="preserve"> مذكرة متابعة إلى الدول الأطراف، ضمنتها توصيات محددة تتعلق ببحث الحالة والتحقيق فيها. وفي الفترة من </w:t>
      </w:r>
      <w:r w:rsidRPr="00A705A5">
        <w:rPr>
          <w:szCs w:val="20"/>
          <w:rtl/>
        </w:rPr>
        <w:t>1</w:t>
      </w:r>
      <w:r w:rsidRPr="00A705A5">
        <w:rPr>
          <w:rtl/>
        </w:rPr>
        <w:t xml:space="preserve"> كانون الثاني/يناير إلى </w:t>
      </w:r>
      <w:r w:rsidRPr="00A705A5">
        <w:rPr>
          <w:szCs w:val="20"/>
          <w:rtl/>
        </w:rPr>
        <w:t>31</w:t>
      </w:r>
      <w:r w:rsidRPr="00A705A5">
        <w:rPr>
          <w:rtl/>
        </w:rPr>
        <w:t xml:space="preserve"> آب/أغسطس </w:t>
      </w:r>
      <w:r w:rsidRPr="00A705A5">
        <w:rPr>
          <w:szCs w:val="20"/>
          <w:rtl/>
        </w:rPr>
        <w:t>2020</w:t>
      </w:r>
      <w:r w:rsidRPr="00A705A5">
        <w:rPr>
          <w:rtl/>
        </w:rPr>
        <w:t xml:space="preserve">، سجلت اللجنة </w:t>
      </w:r>
      <w:r w:rsidRPr="00A705A5">
        <w:rPr>
          <w:szCs w:val="20"/>
          <w:rtl/>
        </w:rPr>
        <w:t>157</w:t>
      </w:r>
      <w:r w:rsidRPr="00A705A5">
        <w:rPr>
          <w:rtl/>
        </w:rPr>
        <w:t xml:space="preserve"> طلباً جديداً لاتخاذ الإجراءات العاجلة وأرسلت </w:t>
      </w:r>
      <w:r w:rsidRPr="00A705A5">
        <w:rPr>
          <w:szCs w:val="20"/>
          <w:rtl/>
        </w:rPr>
        <w:t>50</w:t>
      </w:r>
      <w:r w:rsidRPr="00A705A5">
        <w:rPr>
          <w:rtl/>
        </w:rPr>
        <w:t xml:space="preserve"> مذكرة متابعة. </w:t>
      </w:r>
    </w:p>
    <w:p w14:paraId="5D207417" w14:textId="77777777" w:rsidR="0019726F" w:rsidRPr="00A705A5" w:rsidRDefault="0019726F" w:rsidP="00F723D3">
      <w:pPr>
        <w:pStyle w:val="SingleTxtGA"/>
        <w:spacing w:line="346" w:lineRule="exact"/>
        <w:rPr>
          <w:rtl/>
        </w:rPr>
      </w:pPr>
      <w:r w:rsidRPr="00A705A5">
        <w:rPr>
          <w:szCs w:val="20"/>
          <w:rtl/>
        </w:rPr>
        <w:t>5</w:t>
      </w:r>
      <w:r w:rsidRPr="00A705A5">
        <w:rPr>
          <w:rtl/>
        </w:rPr>
        <w:t>-</w:t>
      </w:r>
      <w:r w:rsidRPr="00A705A5">
        <w:rPr>
          <w:rtl/>
        </w:rPr>
        <w:tab/>
        <w:t>وتحافظ اللجنة، في جميع مراحل الإجراء، على التواصل الدائم مع الدول الأطراف بواسطة بعثاتها الدائمة، ومع مقدمي طلبات الإجراءات العاجلة عن طريق المذكرات والرسائل والاجتماعات والاتصالات الهاتفية. وتعتمد اللجنة اعتماداً كبيراً أيضاً على تعاون مفوضية الأمم المتحدة السامية لحقوق الإنسان والوجود الميداني للأمم المتحدة الذي عادةً ما ينقل المعلومات بين مقدمي طلبات الإجراءات العاجلة (لا سيما أقارب الأشخاص المختفين) واللجنة.</w:t>
      </w:r>
    </w:p>
    <w:p w14:paraId="41127870" w14:textId="77777777" w:rsidR="0019726F" w:rsidRPr="00A705A5" w:rsidRDefault="0019726F" w:rsidP="00F723D3">
      <w:pPr>
        <w:pStyle w:val="SingleTxtGA"/>
        <w:spacing w:line="346" w:lineRule="exact"/>
        <w:rPr>
          <w:rtl/>
        </w:rPr>
      </w:pPr>
      <w:r w:rsidRPr="00A705A5">
        <w:rPr>
          <w:szCs w:val="20"/>
          <w:rtl/>
        </w:rPr>
        <w:t>6</w:t>
      </w:r>
      <w:r w:rsidRPr="00A705A5">
        <w:rPr>
          <w:rtl/>
        </w:rPr>
        <w:t>-</w:t>
      </w:r>
      <w:r w:rsidRPr="00A705A5">
        <w:rPr>
          <w:rtl/>
        </w:rPr>
        <w:tab/>
        <w:t xml:space="preserve">وتؤكد المعلومات المقدمة في إطار عملية الإجراءات العاجلة عدداً من الاتجاهات المبينة في </w:t>
      </w:r>
      <w:r w:rsidRPr="00A705A5">
        <w:rPr>
          <w:spacing w:val="-6"/>
          <w:rtl/>
        </w:rPr>
        <w:t>التقارير التي اعتمدتها اللجنة في دوراتها من الحادية عشرة إلى السابعة عشرة (</w:t>
      </w:r>
      <w:r w:rsidRPr="00A705A5">
        <w:rPr>
          <w:spacing w:val="-6"/>
        </w:rPr>
        <w:t>CED/C/</w:t>
      </w:r>
      <w:r w:rsidRPr="00A705A5">
        <w:rPr>
          <w:spacing w:val="-6"/>
          <w:szCs w:val="20"/>
        </w:rPr>
        <w:t>11</w:t>
      </w:r>
      <w:r w:rsidRPr="00A705A5">
        <w:rPr>
          <w:spacing w:val="-6"/>
        </w:rPr>
        <w:t>/</w:t>
      </w:r>
      <w:r w:rsidRPr="00A705A5">
        <w:rPr>
          <w:spacing w:val="-6"/>
          <w:szCs w:val="20"/>
        </w:rPr>
        <w:t>3</w:t>
      </w:r>
      <w:r w:rsidRPr="00A705A5">
        <w:rPr>
          <w:spacing w:val="-6"/>
          <w:rtl/>
        </w:rPr>
        <w:t>، و</w:t>
      </w:r>
      <w:r w:rsidRPr="00A705A5">
        <w:rPr>
          <w:spacing w:val="-6"/>
        </w:rPr>
        <w:t>CED/C/</w:t>
      </w:r>
      <w:r w:rsidRPr="00A705A5">
        <w:rPr>
          <w:spacing w:val="-6"/>
          <w:szCs w:val="20"/>
        </w:rPr>
        <w:t>12</w:t>
      </w:r>
      <w:r w:rsidRPr="00A705A5">
        <w:rPr>
          <w:spacing w:val="-6"/>
        </w:rPr>
        <w:t>/</w:t>
      </w:r>
      <w:r w:rsidRPr="00A705A5">
        <w:rPr>
          <w:spacing w:val="-6"/>
          <w:szCs w:val="20"/>
        </w:rPr>
        <w:t>2</w:t>
      </w:r>
      <w:r w:rsidRPr="00A705A5">
        <w:rPr>
          <w:spacing w:val="-6"/>
          <w:rtl/>
        </w:rPr>
        <w:t>،</w:t>
      </w:r>
      <w:r w:rsidRPr="00A705A5">
        <w:rPr>
          <w:spacing w:val="-4"/>
          <w:rtl/>
        </w:rPr>
        <w:t xml:space="preserve"> </w:t>
      </w:r>
      <w:r w:rsidRPr="00A705A5">
        <w:rPr>
          <w:rtl/>
        </w:rPr>
        <w:t>و</w:t>
      </w:r>
      <w:r w:rsidRPr="00A705A5">
        <w:t>CED/C/</w:t>
      </w:r>
      <w:r w:rsidRPr="00A705A5">
        <w:rPr>
          <w:szCs w:val="20"/>
        </w:rPr>
        <w:t>13</w:t>
      </w:r>
      <w:r w:rsidRPr="00A705A5">
        <w:t>/</w:t>
      </w:r>
      <w:r w:rsidRPr="00A705A5">
        <w:rPr>
          <w:szCs w:val="20"/>
        </w:rPr>
        <w:t>3</w:t>
      </w:r>
      <w:r w:rsidRPr="00A705A5">
        <w:rPr>
          <w:rtl/>
        </w:rPr>
        <w:t xml:space="preserve"> و</w:t>
      </w:r>
      <w:r w:rsidRPr="00A705A5">
        <w:t>CED/C/</w:t>
      </w:r>
      <w:r w:rsidRPr="00A705A5">
        <w:rPr>
          <w:szCs w:val="20"/>
        </w:rPr>
        <w:t>14</w:t>
      </w:r>
      <w:r w:rsidRPr="00A705A5">
        <w:t>/</w:t>
      </w:r>
      <w:r w:rsidRPr="00A705A5">
        <w:rPr>
          <w:szCs w:val="20"/>
        </w:rPr>
        <w:t>2</w:t>
      </w:r>
      <w:r w:rsidRPr="00A705A5">
        <w:rPr>
          <w:rtl/>
        </w:rPr>
        <w:t>، و</w:t>
      </w:r>
      <w:r w:rsidRPr="00A705A5">
        <w:t>CED/C/</w:t>
      </w:r>
      <w:r w:rsidRPr="00A705A5">
        <w:rPr>
          <w:szCs w:val="20"/>
        </w:rPr>
        <w:t>15</w:t>
      </w:r>
      <w:r w:rsidRPr="00A705A5">
        <w:t>/</w:t>
      </w:r>
      <w:r w:rsidRPr="00A705A5">
        <w:rPr>
          <w:szCs w:val="20"/>
        </w:rPr>
        <w:t>3</w:t>
      </w:r>
      <w:r w:rsidRPr="00A705A5">
        <w:rPr>
          <w:rtl/>
        </w:rPr>
        <w:t>، و</w:t>
      </w:r>
      <w:r w:rsidRPr="00A705A5">
        <w:t>CED/C/</w:t>
      </w:r>
      <w:r w:rsidRPr="00A705A5">
        <w:rPr>
          <w:szCs w:val="20"/>
        </w:rPr>
        <w:t>16</w:t>
      </w:r>
      <w:r w:rsidRPr="00A705A5">
        <w:t>/</w:t>
      </w:r>
      <w:r w:rsidRPr="00A705A5">
        <w:rPr>
          <w:szCs w:val="20"/>
        </w:rPr>
        <w:t>3</w:t>
      </w:r>
      <w:r w:rsidRPr="00A705A5">
        <w:rPr>
          <w:rtl/>
        </w:rPr>
        <w:t>، و</w:t>
      </w:r>
      <w:r w:rsidRPr="00A705A5">
        <w:t>CED/C/</w:t>
      </w:r>
      <w:r w:rsidRPr="00A705A5">
        <w:rPr>
          <w:szCs w:val="20"/>
        </w:rPr>
        <w:t>17</w:t>
      </w:r>
      <w:r w:rsidRPr="00A705A5">
        <w:t>/</w:t>
      </w:r>
      <w:r w:rsidRPr="00A705A5">
        <w:rPr>
          <w:szCs w:val="20"/>
        </w:rPr>
        <w:t>3</w:t>
      </w:r>
      <w:r w:rsidRPr="00A705A5">
        <w:rPr>
          <w:rtl/>
        </w:rPr>
        <w:t xml:space="preserve">). ومنذ الدورة السابعة عشرة، كان معظمُ الحالات التي سجلت اللجنة بشأنها طلبات لاتخاذ الإجراءات العاجلة تتعلق بأحداث في العراق، لا سيما في سياق الاحتجاجات التي بدأت في تشرين الأول/أكتوبر </w:t>
      </w:r>
      <w:r w:rsidRPr="00A705A5">
        <w:rPr>
          <w:szCs w:val="20"/>
          <w:rtl/>
        </w:rPr>
        <w:t>2019</w:t>
      </w:r>
      <w:r w:rsidRPr="00A705A5">
        <w:rPr>
          <w:rtl/>
        </w:rPr>
        <w:t xml:space="preserve">. </w:t>
      </w:r>
    </w:p>
    <w:p w14:paraId="7CA3319B" w14:textId="16DFB858" w:rsidR="0019726F" w:rsidRPr="00A705A5" w:rsidRDefault="0019726F" w:rsidP="001413D9">
      <w:pPr>
        <w:pStyle w:val="H23GA"/>
        <w:rPr>
          <w:rtl/>
        </w:rPr>
      </w:pPr>
      <w:r w:rsidRPr="00A705A5">
        <w:rPr>
          <w:szCs w:val="20"/>
          <w:rtl/>
        </w:rPr>
        <w:tab/>
        <w:t>1</w:t>
      </w:r>
      <w:r w:rsidRPr="00A705A5">
        <w:rPr>
          <w:rtl/>
        </w:rPr>
        <w:t>-</w:t>
      </w:r>
      <w:r w:rsidRPr="00A705A5">
        <w:rPr>
          <w:rtl/>
        </w:rPr>
        <w:tab/>
        <w:t>الاتجاهات العامة التي لوحظت في الفترة المشمولة بالتقرير</w:t>
      </w:r>
    </w:p>
    <w:p w14:paraId="1BB30E1B" w14:textId="123A851C" w:rsidR="0019726F" w:rsidRPr="00A705A5" w:rsidRDefault="0019726F" w:rsidP="00F723D3">
      <w:pPr>
        <w:pStyle w:val="SingleTxtGA"/>
        <w:spacing w:line="346" w:lineRule="exact"/>
        <w:rPr>
          <w:rtl/>
        </w:rPr>
      </w:pPr>
      <w:r w:rsidRPr="00A705A5">
        <w:rPr>
          <w:szCs w:val="20"/>
          <w:rtl/>
        </w:rPr>
        <w:t>7</w:t>
      </w:r>
      <w:r w:rsidRPr="00A705A5">
        <w:rPr>
          <w:rtl/>
        </w:rPr>
        <w:t>-</w:t>
      </w:r>
      <w:r w:rsidR="004B0087" w:rsidRPr="00A705A5">
        <w:rPr>
          <w:rtl/>
        </w:rPr>
        <w:tab/>
      </w:r>
      <w:r w:rsidRPr="00A705A5">
        <w:rPr>
          <w:rtl/>
        </w:rPr>
        <w:t>يرد فيما يلي وصف لمسائل معينة نشأت في بعض الدول الأطراف في الفترة قيد الاستعراض، وذلك في شكل أمثلة للاتجاهات التي لاحظتها اللجنة، ولكن لا يُقصد من هذا الوصف أن يكون تحليلاً شاملاً لجميع المعلومات الواردة فيما يتعلق بكل دولة طرف سُجلت بشأنها طلبات لاتخاذ الإجراءات العاجلة.</w:t>
      </w:r>
    </w:p>
    <w:p w14:paraId="3F30F2F5" w14:textId="3563E232" w:rsidR="0019726F" w:rsidRPr="00A705A5" w:rsidRDefault="0019726F" w:rsidP="0019726F">
      <w:pPr>
        <w:pStyle w:val="SingleTxtGA"/>
        <w:rPr>
          <w:rtl/>
        </w:rPr>
      </w:pPr>
      <w:r w:rsidRPr="00A705A5">
        <w:rPr>
          <w:szCs w:val="20"/>
          <w:rtl/>
        </w:rPr>
        <w:lastRenderedPageBreak/>
        <w:t>8</w:t>
      </w:r>
      <w:r w:rsidRPr="00A705A5">
        <w:rPr>
          <w:rtl/>
        </w:rPr>
        <w:t>-</w:t>
      </w:r>
      <w:r w:rsidR="004B0087" w:rsidRPr="00A705A5">
        <w:rPr>
          <w:rtl/>
        </w:rPr>
        <w:tab/>
      </w:r>
      <w:r w:rsidRPr="00A705A5">
        <w:rPr>
          <w:rtl/>
        </w:rPr>
        <w:t>وحددت اللجنة، في الفترة قيد الاستعراض، المسائل الثماني التالية التي يتعين تحليلها في ضوء المعلومات الواردة في سياق عملية الإجراءات العاجلة.</w:t>
      </w:r>
    </w:p>
    <w:p w14:paraId="53E56FFA" w14:textId="1FAFD73F" w:rsidR="0019726F" w:rsidRPr="00A705A5" w:rsidRDefault="0019726F" w:rsidP="001413D9">
      <w:pPr>
        <w:pStyle w:val="H23GA"/>
        <w:rPr>
          <w:rtl/>
        </w:rPr>
      </w:pPr>
      <w:r w:rsidRPr="00A705A5">
        <w:rPr>
          <w:rtl/>
        </w:rPr>
        <w:tab/>
        <w:t>(أ)</w:t>
      </w:r>
      <w:r w:rsidRPr="00A705A5">
        <w:rPr>
          <w:rtl/>
        </w:rPr>
        <w:tab/>
        <w:t>لم يرد أي رد من الدول الأطراف المعنية أو من مقدمي طلبات اتخاذ الإجراءات العاجلة</w:t>
      </w:r>
    </w:p>
    <w:p w14:paraId="2405B4E5" w14:textId="37F052A1" w:rsidR="0019726F" w:rsidRPr="00A705A5" w:rsidRDefault="0019726F" w:rsidP="0019726F">
      <w:pPr>
        <w:pStyle w:val="SingleTxtGA"/>
        <w:rPr>
          <w:rtl/>
        </w:rPr>
      </w:pPr>
      <w:r w:rsidRPr="00A705A5">
        <w:rPr>
          <w:szCs w:val="20"/>
          <w:rtl/>
        </w:rPr>
        <w:t>9</w:t>
      </w:r>
      <w:r w:rsidRPr="00A705A5">
        <w:rPr>
          <w:rtl/>
        </w:rPr>
        <w:t>-</w:t>
      </w:r>
      <w:r w:rsidRPr="00A705A5">
        <w:rPr>
          <w:rtl/>
        </w:rPr>
        <w:tab/>
        <w:t>فيما يتعلق بالأغلبية العظمى من الطلبات المسجلة، وجهت اللجنة عدداً من رسائل التذكير إلى الدول الأطراف المعنية أو إلى مقدمي الطلبات للرد على توصيات اللجنة وطلباتها. ووفق</w:t>
      </w:r>
      <w:r w:rsidR="005945F9" w:rsidRPr="00A705A5">
        <w:rPr>
          <w:rtl/>
        </w:rPr>
        <w:t xml:space="preserve">اً </w:t>
      </w:r>
      <w:r w:rsidRPr="00A705A5">
        <w:rPr>
          <w:rtl/>
        </w:rPr>
        <w:t xml:space="preserve">للممارسة المتبعة، ترسل اللجنة ثلاث رسائل تذكير إلى مقدمي الطلبات؛ وبعد ذلك، إذا واصل مقدمو الطلبات </w:t>
      </w:r>
      <w:r w:rsidRPr="00A705A5">
        <w:rPr>
          <w:spacing w:val="-4"/>
          <w:rtl/>
        </w:rPr>
        <w:t>الامتناع عن الرد، تُرسل رسالة تذكير أخرى في كل سنة تقريباً. وعادةً ما ترد الدول الأطراف بعد رسالتين</w:t>
      </w:r>
      <w:r w:rsidRPr="00A705A5">
        <w:rPr>
          <w:rtl/>
        </w:rPr>
        <w:t xml:space="preserve"> تذكيريتين أو ثلاث، كما كان الحال مثلاً بالنسبة لتونس وكمبوديا وكولومبيا والمكسيك. </w:t>
      </w:r>
      <w:dir w:val="rtl">
        <w:r w:rsidRPr="00A705A5">
          <w:rPr>
            <w:rFonts w:ascii="Traditional Arabic" w:hAnsi="Traditional Arabic" w:hint="cs"/>
            <w:rtl/>
          </w:rPr>
          <w:t>فإذا</w:t>
        </w:r>
        <w:r w:rsidRPr="00A705A5">
          <w:rPr>
            <w:rtl/>
          </w:rPr>
          <w:t xml:space="preserve"> </w:t>
        </w:r>
        <w:r w:rsidRPr="00A705A5">
          <w:rPr>
            <w:rFonts w:ascii="Traditional Arabic" w:hAnsi="Traditional Arabic" w:hint="cs"/>
            <w:rtl/>
          </w:rPr>
          <w:t>لم</w:t>
        </w:r>
        <w:r w:rsidRPr="00A705A5">
          <w:rPr>
            <w:rtl/>
          </w:rPr>
          <w:t xml:space="preserve"> </w:t>
        </w:r>
        <w:r w:rsidRPr="00A705A5">
          <w:rPr>
            <w:rFonts w:ascii="Traditional Arabic" w:hAnsi="Traditional Arabic" w:hint="cs"/>
            <w:rtl/>
          </w:rPr>
          <w:t>ترد</w:t>
        </w:r>
        <w:r w:rsidRPr="00A705A5">
          <w:rPr>
            <w:rtl/>
          </w:rPr>
          <w:t xml:space="preserve"> </w:t>
        </w:r>
        <w:r w:rsidRPr="00A705A5">
          <w:rPr>
            <w:rFonts w:ascii="Traditional Arabic" w:hAnsi="Traditional Arabic" w:hint="cs"/>
            <w:rtl/>
          </w:rPr>
          <w:t>الدولة</w:t>
        </w:r>
        <w:r w:rsidRPr="00A705A5">
          <w:rPr>
            <w:rtl/>
          </w:rPr>
          <w:t xml:space="preserve"> </w:t>
        </w:r>
        <w:r w:rsidRPr="00A705A5">
          <w:rPr>
            <w:rFonts w:ascii="Traditional Arabic" w:hAnsi="Traditional Arabic" w:hint="cs"/>
            <w:rtl/>
          </w:rPr>
          <w:t>الطرف</w:t>
        </w:r>
        <w:r w:rsidRPr="00A705A5">
          <w:rPr>
            <w:rtl/>
          </w:rPr>
          <w:t xml:space="preserve"> </w:t>
        </w:r>
        <w:r w:rsidRPr="00A705A5">
          <w:rPr>
            <w:rFonts w:ascii="Traditional Arabic" w:hAnsi="Traditional Arabic" w:hint="cs"/>
            <w:rtl/>
          </w:rPr>
          <w:t>بعد</w:t>
        </w:r>
        <w:r w:rsidRPr="00A705A5">
          <w:rPr>
            <w:rtl/>
          </w:rPr>
          <w:t xml:space="preserve"> </w:t>
        </w:r>
        <w:r w:rsidRPr="00A705A5">
          <w:rPr>
            <w:rFonts w:ascii="Traditional Arabic" w:hAnsi="Traditional Arabic" w:hint="cs"/>
            <w:rtl/>
          </w:rPr>
          <w:t>رسالة</w:t>
        </w:r>
        <w:r w:rsidRPr="00A705A5">
          <w:rPr>
            <w:rtl/>
          </w:rPr>
          <w:t xml:space="preserve"> </w:t>
        </w:r>
        <w:r w:rsidRPr="00A705A5">
          <w:rPr>
            <w:rFonts w:ascii="Traditional Arabic" w:hAnsi="Traditional Arabic" w:hint="cs"/>
            <w:rtl/>
          </w:rPr>
          <w:t>التذكير</w:t>
        </w:r>
        <w:r w:rsidRPr="00A705A5">
          <w:rPr>
            <w:rtl/>
          </w:rPr>
          <w:t xml:space="preserve"> </w:t>
        </w:r>
        <w:r w:rsidRPr="00A705A5">
          <w:rPr>
            <w:rFonts w:ascii="Traditional Arabic" w:hAnsi="Traditional Arabic" w:hint="cs"/>
            <w:rtl/>
          </w:rPr>
          <w:t>الثالثة،</w:t>
        </w:r>
        <w:r w:rsidRPr="00A705A5">
          <w:rPr>
            <w:rtl/>
          </w:rPr>
          <w:t xml:space="preserve"> </w:t>
        </w:r>
        <w:r w:rsidRPr="00A705A5">
          <w:rPr>
            <w:rFonts w:ascii="Traditional Arabic" w:hAnsi="Traditional Arabic" w:hint="cs"/>
            <w:rtl/>
          </w:rPr>
          <w:t>تُرسل</w:t>
        </w:r>
        <w:r w:rsidRPr="00A705A5">
          <w:rPr>
            <w:rtl/>
          </w:rPr>
          <w:t xml:space="preserve"> </w:t>
        </w:r>
        <w:r w:rsidRPr="00A705A5">
          <w:rPr>
            <w:rFonts w:ascii="Traditional Arabic" w:hAnsi="Traditional Arabic" w:hint="cs"/>
            <w:rtl/>
          </w:rPr>
          <w:t>إليها</w:t>
        </w:r>
        <w:r w:rsidRPr="00A705A5">
          <w:rPr>
            <w:rtl/>
          </w:rPr>
          <w:t xml:space="preserve"> </w:t>
        </w:r>
        <w:r w:rsidRPr="00A705A5">
          <w:rPr>
            <w:rFonts w:ascii="Traditional Arabic" w:hAnsi="Traditional Arabic" w:hint="cs"/>
            <w:rtl/>
          </w:rPr>
          <w:t>رسالة</w:t>
        </w:r>
        <w:r w:rsidRPr="00A705A5">
          <w:rPr>
            <w:rtl/>
          </w:rPr>
          <w:t xml:space="preserve"> </w:t>
        </w:r>
        <w:r w:rsidRPr="00A705A5">
          <w:rPr>
            <w:rFonts w:ascii="Traditional Arabic" w:hAnsi="Traditional Arabic" w:hint="cs"/>
            <w:rtl/>
          </w:rPr>
          <w:t>تذكير</w:t>
        </w:r>
        <w:r w:rsidRPr="00A705A5">
          <w:rPr>
            <w:rtl/>
          </w:rPr>
          <w:t xml:space="preserve"> </w:t>
        </w:r>
        <w:r w:rsidRPr="00A705A5">
          <w:rPr>
            <w:rFonts w:ascii="Traditional Arabic" w:hAnsi="Traditional Arabic" w:hint="cs"/>
            <w:rtl/>
          </w:rPr>
          <w:t>أخيرة</w:t>
        </w:r>
        <w:r w:rsidRPr="00A705A5">
          <w:rPr>
            <w:rtl/>
          </w:rPr>
          <w:t xml:space="preserve">. </w:t>
        </w:r>
        <w:r w:rsidRPr="00A705A5">
          <w:rPr>
            <w:rFonts w:ascii="Traditional Arabic" w:hAnsi="Traditional Arabic" w:hint="cs"/>
            <w:rtl/>
          </w:rPr>
          <w:t>وكان</w:t>
        </w:r>
        <w:r w:rsidRPr="00A705A5">
          <w:rPr>
            <w:rtl/>
          </w:rPr>
          <w:t xml:space="preserve">ت اللجنة قد أرسلت، في تاريخ كتابة هذا التقرير، رسائل تذكير أخيرة إلى العراق بشأن </w:t>
        </w:r>
        <w:r w:rsidRPr="00A705A5">
          <w:rPr>
            <w:szCs w:val="20"/>
            <w:rtl/>
          </w:rPr>
          <w:t>259</w:t>
        </w:r>
        <w:r w:rsidRPr="00A705A5">
          <w:rPr>
            <w:rtl/>
          </w:rPr>
          <w:t xml:space="preserve"> طلباً لاتخاذ الإجراءات العاجلة، فيما يلي نصُّها:</w:t>
        </w:r>
        <w:r w:rsidR="00A2287B" w:rsidRPr="00A705A5">
          <w:t>‬</w:t>
        </w:r>
      </w:dir>
    </w:p>
    <w:p w14:paraId="09F97E53" w14:textId="7AF70876" w:rsidR="0019726F" w:rsidRPr="00A705A5" w:rsidRDefault="0019726F" w:rsidP="004B0087">
      <w:pPr>
        <w:pStyle w:val="SingleTxtGA"/>
        <w:ind w:left="1928"/>
        <w:rPr>
          <w:rtl/>
        </w:rPr>
      </w:pPr>
      <w:r w:rsidRPr="00A705A5">
        <w:rPr>
          <w:rtl/>
        </w:rPr>
        <w:t>في المذكرة الأخيرة، المرسلة في [التاريخ]، طُلب إلى الدولة الطرف أن تقدم إلى اللجنة معلومات وملاحظات بشأن الاختفاء القسري المدعى المشار إليه، وذلك بحلول [التاريخ]. وتشير اللجنة إلى أنها لم تتلق هذه المعلومات. وفي ضوء ذلك، تشير اللجنة إلى أنه ينبغي</w:t>
      </w:r>
      <w:r w:rsidR="001413D9" w:rsidRPr="00A705A5">
        <w:rPr>
          <w:rFonts w:hint="cs"/>
          <w:rtl/>
        </w:rPr>
        <w:t> </w:t>
      </w:r>
      <w:r w:rsidRPr="00A705A5">
        <w:rPr>
          <w:rtl/>
        </w:rPr>
        <w:t xml:space="preserve">للدولة الطرف، امتثالاً للمادة </w:t>
      </w:r>
      <w:r w:rsidRPr="00A705A5">
        <w:rPr>
          <w:szCs w:val="20"/>
          <w:rtl/>
        </w:rPr>
        <w:t>30</w:t>
      </w:r>
      <w:r w:rsidRPr="00A705A5">
        <w:rPr>
          <w:rtl/>
        </w:rPr>
        <w:t>(</w:t>
      </w:r>
      <w:r w:rsidRPr="00A705A5">
        <w:rPr>
          <w:szCs w:val="20"/>
          <w:rtl/>
        </w:rPr>
        <w:t>2</w:t>
      </w:r>
      <w:r w:rsidRPr="00A705A5">
        <w:rPr>
          <w:rtl/>
        </w:rPr>
        <w:t>) و(</w:t>
      </w:r>
      <w:r w:rsidRPr="00A705A5">
        <w:rPr>
          <w:szCs w:val="20"/>
          <w:rtl/>
        </w:rPr>
        <w:t>3</w:t>
      </w:r>
      <w:r w:rsidRPr="00A705A5">
        <w:rPr>
          <w:rtl/>
        </w:rPr>
        <w:t xml:space="preserve">)، أن تزود اللجنة بمعلومات عن حالة الأشخاص المبحوث عنهم وعن التدابير المتخذة لتحديد مكانهم، وذلك في المهلة الزمنية التي حددتها اللجنة. </w:t>
      </w:r>
    </w:p>
    <w:p w14:paraId="436FF46B" w14:textId="128B5407" w:rsidR="0019726F" w:rsidRPr="00A705A5" w:rsidRDefault="0019726F" w:rsidP="004B0087">
      <w:pPr>
        <w:pStyle w:val="SingleTxtGA"/>
        <w:ind w:left="1928"/>
        <w:rPr>
          <w:rtl/>
        </w:rPr>
      </w:pPr>
      <w:r w:rsidRPr="00A705A5">
        <w:rPr>
          <w:rtl/>
        </w:rPr>
        <w:t>ولذلك، تكرر اللجنة طلبها إلى الدولة الطرف أن تقدم معلومات في سياق الإجراء العاجل المشار إليه، وتطلب إلى الدولة الطرف أن تقدم المعلومات دون مزيد من التأخر في موعد لا</w:t>
      </w:r>
      <w:r w:rsidR="004B0087" w:rsidRPr="00A705A5">
        <w:rPr>
          <w:rFonts w:hint="cs"/>
          <w:rtl/>
        </w:rPr>
        <w:t> </w:t>
      </w:r>
      <w:r w:rsidRPr="00A705A5">
        <w:rPr>
          <w:rtl/>
        </w:rPr>
        <w:t>يتجاوز [التاريخ].</w:t>
      </w:r>
    </w:p>
    <w:p w14:paraId="3900848A" w14:textId="77777777" w:rsidR="0019726F" w:rsidRPr="00A705A5" w:rsidRDefault="0019726F" w:rsidP="004B0087">
      <w:pPr>
        <w:pStyle w:val="SingleTxtGA"/>
        <w:ind w:left="1928"/>
        <w:rPr>
          <w:rtl/>
        </w:rPr>
      </w:pPr>
      <w:r w:rsidRPr="00A705A5">
        <w:rPr>
          <w:rtl/>
        </w:rPr>
        <w:t xml:space="preserve">فإذا لم تتلق اللجنة رداً بحلول ذلك الموعد، فإنها ستشير إلى عدم امتثال الدولة الطرف لالتزاماتها بموجب المادة </w:t>
      </w:r>
      <w:r w:rsidRPr="00A705A5">
        <w:rPr>
          <w:szCs w:val="20"/>
          <w:rtl/>
        </w:rPr>
        <w:t>30</w:t>
      </w:r>
      <w:r w:rsidRPr="00A705A5">
        <w:rPr>
          <w:rtl/>
        </w:rPr>
        <w:t xml:space="preserve"> من الاتفاقية فيما يتعلق بالإجراءات العاجلة، وقد تقرر إعلان </w:t>
      </w:r>
      <w:r w:rsidRPr="00A705A5">
        <w:rPr>
          <w:spacing w:val="-2"/>
          <w:rtl/>
        </w:rPr>
        <w:t>تلك المسألة في دورتها التالية في تقريرها عن الإجراءات العاجلة، الذي سيقدَّم إلى دورتها المقبلة،</w:t>
      </w:r>
      <w:r w:rsidRPr="00A705A5">
        <w:rPr>
          <w:rtl/>
        </w:rPr>
        <w:t xml:space="preserve"> وفي تقريرها التالي إلى الجمعية العامة.</w:t>
      </w:r>
    </w:p>
    <w:p w14:paraId="63E9698A" w14:textId="156A9DA9" w:rsidR="0019726F" w:rsidRPr="00A705A5" w:rsidRDefault="0019726F" w:rsidP="004B0087">
      <w:pPr>
        <w:pStyle w:val="SingleTxtGA"/>
        <w:ind w:left="1928"/>
        <w:rPr>
          <w:rtl/>
        </w:rPr>
      </w:pPr>
      <w:r w:rsidRPr="00A705A5">
        <w:rPr>
          <w:rtl/>
        </w:rPr>
        <w:t xml:space="preserve">وتوجه اللجنة أيضاً انتباه الدولة الطرف إلى المادة </w:t>
      </w:r>
      <w:r w:rsidRPr="00A705A5">
        <w:rPr>
          <w:szCs w:val="20"/>
          <w:rtl/>
        </w:rPr>
        <w:t>30</w:t>
      </w:r>
      <w:r w:rsidRPr="00A705A5">
        <w:rPr>
          <w:rtl/>
        </w:rPr>
        <w:t>(</w:t>
      </w:r>
      <w:r w:rsidRPr="00A705A5">
        <w:rPr>
          <w:szCs w:val="20"/>
          <w:rtl/>
        </w:rPr>
        <w:t>4</w:t>
      </w:r>
      <w:r w:rsidRPr="00A705A5">
        <w:rPr>
          <w:rtl/>
        </w:rPr>
        <w:t xml:space="preserve">) من الاتفاقية التي تدعو اللجنة </w:t>
      </w:r>
      <w:r w:rsidRPr="00A705A5">
        <w:rPr>
          <w:spacing w:val="-2"/>
          <w:rtl/>
        </w:rPr>
        <w:t>إلى</w:t>
      </w:r>
      <w:r w:rsidR="004B0087" w:rsidRPr="00A705A5">
        <w:rPr>
          <w:rFonts w:hint="cs"/>
          <w:spacing w:val="-2"/>
          <w:rtl/>
        </w:rPr>
        <w:t> </w:t>
      </w:r>
      <w:r w:rsidRPr="00A705A5">
        <w:rPr>
          <w:spacing w:val="-2"/>
          <w:rtl/>
        </w:rPr>
        <w:t>مواصلة جهودها التعاونية مع الدولة الطرف المعنية ما دام مصير الأشخاص المبحوث عنهم</w:t>
      </w:r>
      <w:r w:rsidRPr="00A705A5">
        <w:rPr>
          <w:rtl/>
        </w:rPr>
        <w:t xml:space="preserve"> لم يتضح بعد. </w:t>
      </w:r>
    </w:p>
    <w:p w14:paraId="0C82B0F2" w14:textId="77777777" w:rsidR="0019726F" w:rsidRPr="00A705A5" w:rsidRDefault="0019726F" w:rsidP="0019726F">
      <w:pPr>
        <w:pStyle w:val="SingleTxtGA"/>
        <w:rPr>
          <w:rtl/>
        </w:rPr>
      </w:pPr>
      <w:r w:rsidRPr="00A705A5">
        <w:rPr>
          <w:szCs w:val="20"/>
          <w:rtl/>
        </w:rPr>
        <w:t>10</w:t>
      </w:r>
      <w:r w:rsidRPr="00A705A5">
        <w:rPr>
          <w:rtl/>
        </w:rPr>
        <w:t>-</w:t>
      </w:r>
      <w:r w:rsidRPr="00A705A5">
        <w:rPr>
          <w:rtl/>
        </w:rPr>
        <w:tab/>
        <w:t xml:space="preserve">وتجدر الإشارة إلى أن اللجنة قد أشارت بالفعل، في تقريريها السابقين إلى الجمعية العامة، إلى عدم امتثال العراق لالتزاماته بموجب المادة </w:t>
      </w:r>
      <w:r w:rsidRPr="00A705A5">
        <w:rPr>
          <w:szCs w:val="20"/>
          <w:rtl/>
        </w:rPr>
        <w:t>30</w:t>
      </w:r>
      <w:r w:rsidRPr="00A705A5">
        <w:rPr>
          <w:rtl/>
        </w:rPr>
        <w:t xml:space="preserve"> من الاتفاقية. </w:t>
      </w:r>
    </w:p>
    <w:p w14:paraId="0CCAF747" w14:textId="37E1461B" w:rsidR="0019726F" w:rsidRPr="00A705A5" w:rsidRDefault="0019726F" w:rsidP="001413D9">
      <w:pPr>
        <w:pStyle w:val="H23GA"/>
        <w:rPr>
          <w:rtl/>
        </w:rPr>
      </w:pPr>
      <w:r w:rsidRPr="00A705A5">
        <w:rPr>
          <w:rtl/>
        </w:rPr>
        <w:tab/>
        <w:t>(ب)</w:t>
      </w:r>
      <w:r w:rsidRPr="00A705A5">
        <w:rPr>
          <w:rtl/>
        </w:rPr>
        <w:tab/>
        <w:t>عدم وجود استراتيجية للبحث والتحقيق تناسب كل حالة</w:t>
      </w:r>
    </w:p>
    <w:p w14:paraId="617D1D95" w14:textId="77F8FD8D" w:rsidR="0019726F" w:rsidRPr="00A705A5" w:rsidRDefault="0019726F" w:rsidP="004B27BB">
      <w:pPr>
        <w:pStyle w:val="SingleTxtGA"/>
        <w:spacing w:line="346" w:lineRule="exact"/>
        <w:rPr>
          <w:rtl/>
        </w:rPr>
      </w:pPr>
      <w:r w:rsidRPr="00A705A5">
        <w:rPr>
          <w:szCs w:val="20"/>
          <w:rtl/>
        </w:rPr>
        <w:t>11</w:t>
      </w:r>
      <w:r w:rsidRPr="00A705A5">
        <w:rPr>
          <w:rtl/>
        </w:rPr>
        <w:t>-</w:t>
      </w:r>
      <w:r w:rsidRPr="00A705A5">
        <w:rPr>
          <w:rtl/>
        </w:rPr>
        <w:tab/>
        <w:t xml:space="preserve">في أكثر من </w:t>
      </w:r>
      <w:r w:rsidRPr="00A705A5">
        <w:rPr>
          <w:szCs w:val="20"/>
          <w:rtl/>
        </w:rPr>
        <w:t>95</w:t>
      </w:r>
      <w:r w:rsidRPr="00A705A5">
        <w:rPr>
          <w:rtl/>
        </w:rPr>
        <w:t xml:space="preserve"> في المائة من طلبات الإجراءات العاجلة التي سُجلت، أعربت اللجنة عن</w:t>
      </w:r>
      <w:r w:rsidR="001C5FC6" w:rsidRPr="00A705A5">
        <w:rPr>
          <w:rFonts w:hint="cs"/>
          <w:rtl/>
        </w:rPr>
        <w:t> </w:t>
      </w:r>
      <w:r w:rsidRPr="00A705A5">
        <w:rPr>
          <w:rtl/>
        </w:rPr>
        <w:t>بواعث قلق بشأن تقاعس سلطات الدولة الطرف عن وضع وتنفيذ استراتيجية للبحث عن الأشخاص المختفين والتحقيق في اختفائهم. ورغم الجهود التي لوحظت في بعض الحالات، يبدو أن عمليات البحث والتحقيق تجري عادة بطريقة مرتجلة تعتمد أساس</w:t>
      </w:r>
      <w:r w:rsidR="005945F9" w:rsidRPr="00A705A5">
        <w:rPr>
          <w:rtl/>
        </w:rPr>
        <w:t xml:space="preserve">اً </w:t>
      </w:r>
      <w:r w:rsidRPr="00A705A5">
        <w:rPr>
          <w:rtl/>
        </w:rPr>
        <w:t>على توافر المعلومات والوسائل، لا</w:t>
      </w:r>
      <w:r w:rsidR="001C5FC6" w:rsidRPr="00A705A5">
        <w:rPr>
          <w:rFonts w:hint="cs"/>
          <w:rtl/>
        </w:rPr>
        <w:t> </w:t>
      </w:r>
      <w:r w:rsidRPr="00A705A5">
        <w:rPr>
          <w:rtl/>
        </w:rPr>
        <w:t xml:space="preserve">على استراتيجية شاملة. ولذلك، ذكّرت اللجنة، في مذكرات المتابعة التي تصدرها، الدول الأطراف بالتزاماتها بموجب المادتين </w:t>
      </w:r>
      <w:r w:rsidRPr="00A705A5">
        <w:rPr>
          <w:szCs w:val="20"/>
          <w:rtl/>
        </w:rPr>
        <w:t>12</w:t>
      </w:r>
      <w:r w:rsidRPr="00A705A5">
        <w:rPr>
          <w:rtl/>
        </w:rPr>
        <w:t xml:space="preserve"> و</w:t>
      </w:r>
      <w:r w:rsidRPr="00A705A5">
        <w:rPr>
          <w:szCs w:val="20"/>
          <w:rtl/>
        </w:rPr>
        <w:t>24</w:t>
      </w:r>
      <w:r w:rsidRPr="00A705A5">
        <w:rPr>
          <w:rtl/>
        </w:rPr>
        <w:t xml:space="preserve"> من الاتفاقية. وطلبت اللجنة إلى الدولة الطرف، في هذه الحالات، </w:t>
      </w:r>
      <w:r w:rsidRPr="00A705A5">
        <w:rPr>
          <w:rtl/>
        </w:rPr>
        <w:lastRenderedPageBreak/>
        <w:t>ضمان</w:t>
      </w:r>
      <w:r w:rsidR="001C5FC6" w:rsidRPr="00A705A5">
        <w:rPr>
          <w:rFonts w:hint="cs"/>
          <w:rtl/>
        </w:rPr>
        <w:t> </w:t>
      </w:r>
      <w:r w:rsidRPr="00A705A5">
        <w:rPr>
          <w:rtl/>
        </w:rPr>
        <w:t xml:space="preserve">وضع وتنفيذ استراتيجية لجميع مراحل عملية البحث والتحقيق بما يتفق مع مبادئ العناية الواجبة </w:t>
      </w:r>
      <w:r w:rsidR="00F723D3" w:rsidRPr="00A705A5">
        <w:rPr>
          <w:rFonts w:hint="cs"/>
          <w:rtl/>
        </w:rPr>
        <w:t>-</w:t>
      </w:r>
      <w:r w:rsidRPr="00A705A5">
        <w:rPr>
          <w:rtl/>
        </w:rPr>
        <w:t xml:space="preserve"> التي تشمل سرعة وشمول التحقيق التلقائي وكفاءة وحيادية المهنيين المسؤولين - ومع المبدأ </w:t>
      </w:r>
      <w:r w:rsidRPr="00A705A5">
        <w:rPr>
          <w:szCs w:val="20"/>
          <w:rtl/>
        </w:rPr>
        <w:t>8</w:t>
      </w:r>
      <w:r w:rsidRPr="00A705A5">
        <w:rPr>
          <w:rtl/>
        </w:rPr>
        <w:t xml:space="preserve"> </w:t>
      </w:r>
      <w:r w:rsidRPr="00A705A5">
        <w:rPr>
          <w:spacing w:val="-4"/>
          <w:rtl/>
        </w:rPr>
        <w:t>من المبادئ التوجيهية للبحث عن الأشخاص المختفين (</w:t>
      </w:r>
      <w:r w:rsidRPr="00A705A5">
        <w:rPr>
          <w:spacing w:val="-4"/>
        </w:rPr>
        <w:t>CED/C/</w:t>
      </w:r>
      <w:r w:rsidRPr="00A705A5">
        <w:rPr>
          <w:spacing w:val="-4"/>
          <w:szCs w:val="20"/>
        </w:rPr>
        <w:t>7</w:t>
      </w:r>
      <w:r w:rsidRPr="00A705A5">
        <w:rPr>
          <w:spacing w:val="-4"/>
          <w:rtl/>
        </w:rPr>
        <w:t xml:space="preserve">، المرفق). ومن ثم، يجب أن تحدد الاستراتيجية المعتمدة ما يُنفّذ من أنشطة وما يُبذل من عناية واجبة بطريقة متكاملة، ويقتضي تنفيذ الاستراتيجية توافر الوسائل والإجراءات اللازمة لتحديد مكان الأشخاص المختفين والتحقيق في اختفائهم. </w:t>
      </w:r>
      <w:r w:rsidRPr="00A705A5">
        <w:rPr>
          <w:rtl/>
        </w:rPr>
        <w:t>وطلبت اللجنة أيضا</w:t>
      </w:r>
      <w:r w:rsidR="004B27BB" w:rsidRPr="00A705A5">
        <w:rPr>
          <w:rFonts w:hint="cs"/>
          <w:rtl/>
        </w:rPr>
        <w:t>ً</w:t>
      </w:r>
      <w:r w:rsidRPr="00A705A5">
        <w:rPr>
          <w:rtl/>
        </w:rPr>
        <w:t xml:space="preserve"> إلى الدول الأطراف المعنية إجراء تقييم دوري للاستراتيجية المتبعة. وقد أُرسلت هذه التوصيات إلى الأرجنتين والبرازيل والعراق وكازاخستان وكولومبيا وليتوانيا والمكسيك وهندوراس. </w:t>
      </w:r>
    </w:p>
    <w:p w14:paraId="17E4BF36" w14:textId="362F0C20" w:rsidR="0019726F" w:rsidRPr="00A705A5" w:rsidRDefault="0019726F" w:rsidP="001413D9">
      <w:pPr>
        <w:pStyle w:val="H23GA"/>
        <w:rPr>
          <w:rtl/>
        </w:rPr>
      </w:pPr>
      <w:r w:rsidRPr="00A705A5">
        <w:rPr>
          <w:rtl/>
        </w:rPr>
        <w:tab/>
        <w:t>(ج)</w:t>
      </w:r>
      <w:r w:rsidRPr="00A705A5">
        <w:rPr>
          <w:rtl/>
        </w:rPr>
        <w:tab/>
        <w:t>انعدام التنسيق بين البحث والتحقيق</w:t>
      </w:r>
    </w:p>
    <w:p w14:paraId="3D884B8A" w14:textId="77777777" w:rsidR="0019726F" w:rsidRPr="00A705A5" w:rsidRDefault="0019726F" w:rsidP="0019726F">
      <w:pPr>
        <w:pStyle w:val="SingleTxtGA"/>
        <w:rPr>
          <w:rtl/>
        </w:rPr>
      </w:pPr>
      <w:r w:rsidRPr="00A705A5">
        <w:rPr>
          <w:szCs w:val="20"/>
          <w:rtl/>
        </w:rPr>
        <w:t>12</w:t>
      </w:r>
      <w:r w:rsidRPr="00A705A5">
        <w:rPr>
          <w:rtl/>
        </w:rPr>
        <w:t>-</w:t>
      </w:r>
      <w:r w:rsidRPr="00A705A5">
        <w:rPr>
          <w:rtl/>
        </w:rPr>
        <w:tab/>
        <w:t xml:space="preserve">لوحظ في معظم طلبات اتخاذ الإجراءات العاجلة المسجلة اتجاه من انعدام التنسيق بين البحث والتحقيق. وعادةً ما يرجع انعدام التنسيق هذا إلى عدم تبادل السلطات المختصة في الدولة المعلومات والأدلة التي حصلت عليها في سياق تنفيذ ولاياتها، أو عدم قيامها بذلك بطريقة منهجية. وفي هذه الحالات، لاحظت اللجنة عواقب مختلفة: ففي بعض الحالات، تقوم السلطات المسؤولة عن البحث بنفس الأنشطة التي تقوم بها السلطات المسؤولة عن التحقيق، وفي حالات أخرى، لا تتاح للسلطات المعلومات التي يمكن أن تفيدها في المهام المسندة إليها. بيد أن التجزؤ وعدم التنسيق يؤديان في جميع الظروف إلى حالات تأخر كبير في الإجراءات. </w:t>
      </w:r>
    </w:p>
    <w:p w14:paraId="30C6CD91" w14:textId="69D462CC" w:rsidR="0019726F" w:rsidRPr="00A705A5" w:rsidRDefault="0019726F" w:rsidP="0019726F">
      <w:pPr>
        <w:pStyle w:val="SingleTxtGA"/>
        <w:rPr>
          <w:rtl/>
        </w:rPr>
      </w:pPr>
      <w:r w:rsidRPr="00A705A5">
        <w:rPr>
          <w:szCs w:val="20"/>
          <w:rtl/>
        </w:rPr>
        <w:t>13</w:t>
      </w:r>
      <w:r w:rsidRPr="00A705A5">
        <w:rPr>
          <w:rtl/>
        </w:rPr>
        <w:t>-</w:t>
      </w:r>
      <w:r w:rsidRPr="00A705A5">
        <w:rPr>
          <w:rtl/>
        </w:rPr>
        <w:tab/>
        <w:t>ولوحظ شكل آخر من عدم التنسيق في حالة كولومبيا، حيث تولت لجنة البحث عن الأشخاص المختفين مسؤولية تنسيق الردود المقدمة من الدولة الطرف على طلبات اتخاذ الإجراءات العاجلة المسجلة. وأشارت اللجنة في عدد من ردودها إلى ولايتها المتمثلة في تنفيذ خطة البحث الوطنية وتوجيه ضحايا الاختفاء. بيد أن لجنة البحث عن الأشخاص المختفين أشارت أيض</w:t>
      </w:r>
      <w:r w:rsidR="005945F9" w:rsidRPr="00A705A5">
        <w:rPr>
          <w:rtl/>
        </w:rPr>
        <w:t xml:space="preserve">اً </w:t>
      </w:r>
      <w:r w:rsidRPr="00A705A5">
        <w:rPr>
          <w:rtl/>
        </w:rPr>
        <w:t>إلى عجزها عن الرد على شواغل اللجنة المعنية بحالات الاختفاء القسري باعتبار هذه الشواغل "تخرج عن نطاق ولايتها". وأحاطت اللجنة المعنية بحالات الاختفاء القسري علماً بالمعلومات المقدمة، ولكنها لاحظت أيض</w:t>
      </w:r>
      <w:r w:rsidR="005945F9" w:rsidRPr="00A705A5">
        <w:rPr>
          <w:rtl/>
        </w:rPr>
        <w:t xml:space="preserve">اً </w:t>
      </w:r>
      <w:r w:rsidRPr="00A705A5">
        <w:rPr>
          <w:rtl/>
        </w:rPr>
        <w:t xml:space="preserve">مع الأسف أن لجنة البحث عن الأشخاص المختفين، رغم دورها في تنسيق عملية تنفيذ خطة البحث الوطنية، لم تضع في الاعتبار المعلومات ذات الصلة التي تمكنها من الرد على شواغل وتوصيات اللجنة المعنية بحالات الاختفاء القسري فيما يتعلق بالمسائل ذات الأهمية بالنسبة لسلطات </w:t>
      </w:r>
      <w:r w:rsidRPr="00A705A5">
        <w:rPr>
          <w:spacing w:val="-4"/>
          <w:rtl/>
        </w:rPr>
        <w:t>الدولة الطرف المعنية. وفي هذه الحالة، وفي الحالات المتعلقة بدول أطراف أخرى، مثل البرازيل والمكسيك، طلبت اللجنة المعنية بحالات الاختفاء القسري إلى الدولة الطرف أن تكفل إتاحة المعلومات</w:t>
      </w:r>
      <w:r w:rsidRPr="00A705A5">
        <w:rPr>
          <w:rtl/>
        </w:rPr>
        <w:t xml:space="preserve"> ذات الصلة المتعلقة بعمليات التفتيش والتحقيق لجميع السلطات المشاركة في هذه العملية. </w:t>
      </w:r>
    </w:p>
    <w:p w14:paraId="55C904BF" w14:textId="5D9B300D" w:rsidR="0019726F" w:rsidRPr="00A705A5" w:rsidRDefault="0019726F" w:rsidP="001413D9">
      <w:pPr>
        <w:pStyle w:val="H23GA"/>
        <w:rPr>
          <w:rtl/>
        </w:rPr>
      </w:pPr>
      <w:r w:rsidRPr="00A705A5">
        <w:rPr>
          <w:rtl/>
        </w:rPr>
        <w:tab/>
        <w:t>(د)</w:t>
      </w:r>
      <w:r w:rsidRPr="00A705A5">
        <w:rPr>
          <w:rtl/>
        </w:rPr>
        <w:tab/>
        <w:t>التحديات التي لوحظت في حالات الاختفاء في سياق الهجرة</w:t>
      </w:r>
    </w:p>
    <w:p w14:paraId="1BC801C2" w14:textId="7160C581" w:rsidR="0019726F" w:rsidRPr="00A705A5" w:rsidRDefault="0019726F" w:rsidP="0019726F">
      <w:pPr>
        <w:pStyle w:val="SingleTxtGA"/>
        <w:rPr>
          <w:rtl/>
        </w:rPr>
      </w:pPr>
      <w:r w:rsidRPr="00A705A5">
        <w:rPr>
          <w:szCs w:val="20"/>
          <w:rtl/>
        </w:rPr>
        <w:t>14</w:t>
      </w:r>
      <w:r w:rsidRPr="00A705A5">
        <w:rPr>
          <w:rtl/>
        </w:rPr>
        <w:t>-</w:t>
      </w:r>
      <w:r w:rsidRPr="00A705A5">
        <w:rPr>
          <w:rtl/>
        </w:rPr>
        <w:tab/>
        <w:t xml:space="preserve">يوجد في الوقت الراهن </w:t>
      </w:r>
      <w:r w:rsidRPr="00A705A5">
        <w:rPr>
          <w:szCs w:val="20"/>
          <w:rtl/>
        </w:rPr>
        <w:t>13</w:t>
      </w:r>
      <w:r w:rsidRPr="00A705A5">
        <w:rPr>
          <w:rtl/>
        </w:rPr>
        <w:t xml:space="preserve"> إجراءً عاجلاً لا يزال مفتوح</w:t>
      </w:r>
      <w:r w:rsidR="005945F9" w:rsidRPr="00A705A5">
        <w:rPr>
          <w:rtl/>
        </w:rPr>
        <w:t xml:space="preserve">اً </w:t>
      </w:r>
      <w:r w:rsidRPr="00A705A5">
        <w:rPr>
          <w:rtl/>
        </w:rPr>
        <w:t xml:space="preserve">يتعلق بحالات اختفاء في سياق الهجرة بين هندوراس والولايات المتحدة الأمريكية. وتعكس هذه الحالات اتجاهات مماثلة للحالات التي لوحظت في الإجراءات العاجلة من رقم </w:t>
      </w:r>
      <w:r w:rsidRPr="00A705A5">
        <w:rPr>
          <w:szCs w:val="20"/>
          <w:rtl/>
        </w:rPr>
        <w:t>240</w:t>
      </w:r>
      <w:r w:rsidRPr="00A705A5">
        <w:rPr>
          <w:rtl/>
        </w:rPr>
        <w:t xml:space="preserve"> إلى رقم </w:t>
      </w:r>
      <w:r w:rsidRPr="00A705A5">
        <w:rPr>
          <w:szCs w:val="20"/>
          <w:rtl/>
        </w:rPr>
        <w:t>248</w:t>
      </w:r>
      <w:r w:rsidRPr="00A705A5">
        <w:rPr>
          <w:rtl/>
        </w:rPr>
        <w:t xml:space="preserve">، التي سجلتها اللجنة المعنية بحالات الاختفاء القسري في تشرين الأول/أكتوبر </w:t>
      </w:r>
      <w:r w:rsidRPr="00A705A5">
        <w:rPr>
          <w:szCs w:val="20"/>
          <w:rtl/>
        </w:rPr>
        <w:t>2015</w:t>
      </w:r>
      <w:r w:rsidRPr="00A705A5">
        <w:rPr>
          <w:rtl/>
        </w:rPr>
        <w:t xml:space="preserve"> والمتعلقة باختفاء تسعة غواتيماليين في المكسيك وهم في طريقهم إلى الولايات المتحدة، وهي الحالات التي أُغلقت في تشرين الثاني/نوفمبر </w:t>
      </w:r>
      <w:r w:rsidRPr="00A705A5">
        <w:rPr>
          <w:szCs w:val="20"/>
          <w:rtl/>
        </w:rPr>
        <w:t>2018</w:t>
      </w:r>
      <w:r w:rsidRPr="00A705A5">
        <w:rPr>
          <w:rtl/>
        </w:rPr>
        <w:t xml:space="preserve"> بعد تحديد مكان الأشخاص المختفين. وأوصت اللجنة، في كل حالة من الحالات الـ </w:t>
      </w:r>
      <w:r w:rsidRPr="00A705A5">
        <w:rPr>
          <w:szCs w:val="20"/>
          <w:rtl/>
        </w:rPr>
        <w:t>13</w:t>
      </w:r>
      <w:r w:rsidRPr="00A705A5">
        <w:rPr>
          <w:rtl/>
        </w:rPr>
        <w:t xml:space="preserve">، الدول الأطراف المعنية باعتماد استراتيجيات للبحث والتحقيق تناسب الظروف الخاصة بكل حالة، وفقاً للمبدأ </w:t>
      </w:r>
      <w:r w:rsidRPr="00A705A5">
        <w:rPr>
          <w:szCs w:val="20"/>
          <w:rtl/>
        </w:rPr>
        <w:t>9</w:t>
      </w:r>
      <w:r w:rsidRPr="00A705A5">
        <w:rPr>
          <w:rtl/>
        </w:rPr>
        <w:t>(</w:t>
      </w:r>
      <w:r w:rsidRPr="00A705A5">
        <w:rPr>
          <w:szCs w:val="20"/>
          <w:rtl/>
        </w:rPr>
        <w:t>2</w:t>
      </w:r>
      <w:r w:rsidRPr="00A705A5">
        <w:rPr>
          <w:rtl/>
        </w:rPr>
        <w:t xml:space="preserve">) من </w:t>
      </w:r>
      <w:r w:rsidRPr="00A705A5">
        <w:rPr>
          <w:spacing w:val="-2"/>
          <w:rtl/>
        </w:rPr>
        <w:t>المبادئ التوجيهية للبحث عن الأشخاص المختفين. وبموجب ذلك المبدأ، ينبغي للدول المرسلة والمستقبلة</w:t>
      </w:r>
      <w:r w:rsidRPr="00A705A5">
        <w:rPr>
          <w:rtl/>
        </w:rPr>
        <w:t xml:space="preserve"> للمهاجرين واللاجئين أن تعتمد آليات بحث محددة تراعي الصعوبات التي تكتنف حالات الهجرة، </w:t>
      </w:r>
      <w:r w:rsidRPr="00A705A5">
        <w:rPr>
          <w:rtl/>
        </w:rPr>
        <w:lastRenderedPageBreak/>
        <w:t>وأن</w:t>
      </w:r>
      <w:r w:rsidR="004B27BB" w:rsidRPr="00A705A5">
        <w:rPr>
          <w:rFonts w:hint="cs"/>
          <w:rtl/>
        </w:rPr>
        <w:t> </w:t>
      </w:r>
      <w:r w:rsidRPr="00A705A5">
        <w:rPr>
          <w:rtl/>
        </w:rPr>
        <w:t xml:space="preserve">تقدم ضمانات وتوفر ظروفاً آمنة للأشخاص لكي يتمكنوا من الإدلاء بشهادة عن حالات الاختفاء القسري المرتبطة بالهجرة. وذكَّرت اللجنة أيضاً بالتزام الدول الأطراف بأن يوفر بعضها لبعض أكبر قدر من المساعدة والتعاون المتبادلين، امتثالاً للمادة </w:t>
      </w:r>
      <w:r w:rsidRPr="00A705A5">
        <w:rPr>
          <w:szCs w:val="20"/>
          <w:rtl/>
        </w:rPr>
        <w:t>15</w:t>
      </w:r>
      <w:r w:rsidRPr="00A705A5">
        <w:rPr>
          <w:rtl/>
        </w:rPr>
        <w:t xml:space="preserve"> من الاتفاقية، وذلك بإبرام اتفاقات تعاون وإنشاء سلطات مختصة لإتاحة التنسيق الفعال في سياق البحث عن الأشخاص المختفين في كل مرحلة من مراحل الهجرة. وينبغي للسلطات المعنية بالبحث عن الأشخاص المختفين في بلدان المنشأ والعبور والمقصد أن تتعاون على ضمان التبادل السريع والآمن للمعلومات والوثائق التي يمكن أن تساعد في العثور على الأشخاص المختفين في بلد العبور أو المقصد. ويقتضي الامتثال التام للمعايير الدولية المتعلقة بعدم الإعادة القسرية أن تكفل الدول الأطراف أن يشمل تسجيل المهاجرين في نقاط مراقبة الحدود دراسة كل طلب من الطلبات على حدة بما يسمح بفعالية البحث عن أي شخص في حال اختفائه. وأدرجت اللجنة كذلك توصيات تتعلق بضمان حصول أقارب وممثلي المهاجرين المختفين على الدعم اللازم للوصول إلى المعلومات المتصلة بقضيتهم، وضمان مشاركتهم في عمليات البحث، وفقاً للمبدأ </w:t>
      </w:r>
      <w:r w:rsidRPr="00A705A5">
        <w:rPr>
          <w:szCs w:val="20"/>
          <w:rtl/>
        </w:rPr>
        <w:t>9</w:t>
      </w:r>
      <w:r w:rsidRPr="00A705A5">
        <w:rPr>
          <w:rtl/>
        </w:rPr>
        <w:t>(</w:t>
      </w:r>
      <w:r w:rsidRPr="00A705A5">
        <w:rPr>
          <w:szCs w:val="20"/>
          <w:rtl/>
        </w:rPr>
        <w:t>4</w:t>
      </w:r>
      <w:r w:rsidRPr="00A705A5">
        <w:rPr>
          <w:rtl/>
        </w:rPr>
        <w:t xml:space="preserve">) من المبادئ التوجيهية. </w:t>
      </w:r>
    </w:p>
    <w:p w14:paraId="62F8384E" w14:textId="45F0F626" w:rsidR="0019726F" w:rsidRPr="00A705A5" w:rsidRDefault="0019726F" w:rsidP="001413D9">
      <w:pPr>
        <w:pStyle w:val="H23GA"/>
        <w:rPr>
          <w:rtl/>
        </w:rPr>
      </w:pPr>
      <w:r w:rsidRPr="00A705A5">
        <w:rPr>
          <w:rtl/>
        </w:rPr>
        <w:tab/>
        <w:t>(هـ)</w:t>
      </w:r>
      <w:r w:rsidRPr="00A705A5">
        <w:rPr>
          <w:rtl/>
        </w:rPr>
        <w:tab/>
      </w:r>
      <w:r w:rsidRPr="00A705A5">
        <w:rPr>
          <w:spacing w:val="-3"/>
          <w:rtl/>
        </w:rPr>
        <w:t>الاحتجاز التعسفي و/أو الحبس بمعزل عن العالم الخارجي باعتباره السياق العادي للاختفاء القسري</w:t>
      </w:r>
    </w:p>
    <w:p w14:paraId="6794F774" w14:textId="77777777" w:rsidR="0019726F" w:rsidRPr="00A705A5" w:rsidRDefault="0019726F" w:rsidP="004B27BB">
      <w:pPr>
        <w:pStyle w:val="SingleTxtGA"/>
        <w:spacing w:line="350" w:lineRule="exact"/>
        <w:rPr>
          <w:rtl/>
        </w:rPr>
      </w:pPr>
      <w:r w:rsidRPr="00A705A5">
        <w:rPr>
          <w:szCs w:val="20"/>
          <w:rtl/>
        </w:rPr>
        <w:t>15</w:t>
      </w:r>
      <w:r w:rsidRPr="00A705A5">
        <w:rPr>
          <w:rtl/>
        </w:rPr>
        <w:t>-</w:t>
      </w:r>
      <w:r w:rsidRPr="00A705A5">
        <w:rPr>
          <w:rtl/>
        </w:rPr>
        <w:tab/>
        <w:t xml:space="preserve">في </w:t>
      </w:r>
      <w:r w:rsidRPr="00A705A5">
        <w:rPr>
          <w:szCs w:val="20"/>
          <w:rtl/>
        </w:rPr>
        <w:t>12</w:t>
      </w:r>
      <w:r w:rsidRPr="00A705A5">
        <w:rPr>
          <w:rtl/>
        </w:rPr>
        <w:t xml:space="preserve"> طلباً من طلبات اتخاذ الإجراءات العاجلة التي سُجلت في الفترة قيد الاستعراض، عُرف مكان الشخص المختفي بعد الإفراج عنه من مكان احتجاز غير معترف به رسمياً (ثماني حالات في العراق وحالة في المكسيك)، أو بعد أن كشفت سلطات الدولة الطرف عن وجود الشخص المختفي في مكان احتجاز (ثلاث حالات في كوبا). وقد أغلقت اللجنة هذه الإجراءات العاجلة، عملاً بالمادة </w:t>
      </w:r>
      <w:r w:rsidRPr="00A705A5">
        <w:rPr>
          <w:szCs w:val="20"/>
          <w:rtl/>
        </w:rPr>
        <w:t>30</w:t>
      </w:r>
      <w:r w:rsidRPr="00A705A5">
        <w:rPr>
          <w:rtl/>
        </w:rPr>
        <w:t>(</w:t>
      </w:r>
      <w:r w:rsidRPr="00A705A5">
        <w:rPr>
          <w:szCs w:val="20"/>
          <w:rtl/>
        </w:rPr>
        <w:t>4</w:t>
      </w:r>
      <w:r w:rsidRPr="00A705A5">
        <w:rPr>
          <w:rtl/>
        </w:rPr>
        <w:t xml:space="preserve">) من الاتفاقية، وطلبت إلى الدولة الطرف اتخاذ جميع التدابير اللازمة للتحقيق في الاختفاء من تاريخ اعتقال الشخص إلى تاريخ الإفراج عنه. وفي الحالات التي لا يزال فيها الشخص قيد الاحتجاز، أوقفت اللجنة الإجراء العاجل وطلبت إلى الدولة الطرف أن تسمح للشخص الذي قُدم بالنيابة عنه طلب لاتخاذ الإجراءات العاجلة، بتلقي زيارات دورية والاتصال بالعالم الخارجي، امتثالاً للمادة </w:t>
      </w:r>
      <w:r w:rsidRPr="00A705A5">
        <w:rPr>
          <w:szCs w:val="20"/>
          <w:rtl/>
        </w:rPr>
        <w:t>17</w:t>
      </w:r>
      <w:r w:rsidRPr="00A705A5">
        <w:rPr>
          <w:rtl/>
        </w:rPr>
        <w:t>(</w:t>
      </w:r>
      <w:r w:rsidRPr="00A705A5">
        <w:rPr>
          <w:szCs w:val="20"/>
          <w:rtl/>
        </w:rPr>
        <w:t>2</w:t>
      </w:r>
      <w:r w:rsidRPr="00A705A5">
        <w:rPr>
          <w:rtl/>
        </w:rPr>
        <w:t>) من الاتفاقية. وفي ذلك السياق، أتاحت اللجنة لمقدمي طلبات اتخاذ الإجراءات العاجلة معلومات عن إمكانية إبلاغ الفريق العامل المعني بالاحتجاز التعسفي بالحالة.</w:t>
      </w:r>
    </w:p>
    <w:p w14:paraId="58E6054A" w14:textId="77777777" w:rsidR="0019726F" w:rsidRPr="00A705A5" w:rsidRDefault="0019726F" w:rsidP="004B27BB">
      <w:pPr>
        <w:pStyle w:val="SingleTxtGA"/>
        <w:spacing w:line="350" w:lineRule="exact"/>
        <w:rPr>
          <w:rtl/>
        </w:rPr>
      </w:pPr>
      <w:r w:rsidRPr="00A705A5">
        <w:rPr>
          <w:szCs w:val="20"/>
          <w:rtl/>
        </w:rPr>
        <w:t>16</w:t>
      </w:r>
      <w:r w:rsidRPr="00A705A5">
        <w:rPr>
          <w:rtl/>
        </w:rPr>
        <w:t>-</w:t>
      </w:r>
      <w:r w:rsidRPr="00A705A5">
        <w:rPr>
          <w:rtl/>
        </w:rPr>
        <w:tab/>
        <w:t xml:space="preserve">واتبعت اللجنة نفس المنطق والإجراءات فيما يتعلق بأربعة طلبات لاتخاذ الإجراءات العاجلة مسجلة تتعلق باختفاء مواطنين أتراك جرى تسليمهم من كمبوديا والعراق وكازاخستان، على التوالي، إلى تركيا، بناء على طلب حكومة تركيا. وفي هذه الحالات، ادعى مقدمو الطلبات أن حكومة تركيا نجحت في الإعادة القسرية لأشخاص متهمين بالمعارضة السياسية، تعرضوا بعد إعادتهم للاختفاء القسري والاحتجاز بمعزل عن العالم الخارجي لأيام أو أسابيع. وعقب تحديد الدولة الطرف المعنية مكان الاحتجاز، وتأكيد هذه المعلومات من قِبل مقدمي طلبات اتخاذ الإجراءات العاجلة، أغلقت اللجنة الإجراءات العاجلة ذات الصلة، وفقاً للمادة </w:t>
      </w:r>
      <w:r w:rsidRPr="00A705A5">
        <w:rPr>
          <w:szCs w:val="20"/>
          <w:rtl/>
        </w:rPr>
        <w:t>30</w:t>
      </w:r>
      <w:r w:rsidRPr="00A705A5">
        <w:rPr>
          <w:rtl/>
        </w:rPr>
        <w:t>(</w:t>
      </w:r>
      <w:r w:rsidRPr="00A705A5">
        <w:rPr>
          <w:szCs w:val="20"/>
          <w:rtl/>
        </w:rPr>
        <w:t>4</w:t>
      </w:r>
      <w:r w:rsidRPr="00A705A5">
        <w:rPr>
          <w:rtl/>
        </w:rPr>
        <w:t xml:space="preserve">) من الاتفاقية. وفي ذلك السياق، أبلغت اللجنة مقدمي طلبات اتخاذ الإجراءات العاجلة عن إمكانية إبلاغ الفريق العامل المعني بالاحتجاز التعسفي بالحالة. وفي القضية المتعلقة بكمبوديا، طلبت اللجنة إلى الدولة الطرف في مذكرة شفوية أرسلتها إليها أن تتخذ جميع التدابير اللازمة للبحث عن الشخص المختفي، وهو مواطن من تركيا والمكسيك، ولتحديد مكانه وحمايته. في ضوء ذلك، طلبت اللجنة إلى كمبوديا أن تكفل التعاون وأن تتيح أكبر قدر من المساعدة المتبادلة مع المكسيك بغية مساعدة الشخص المختفي وأقاربه والمساعدة في البحث عنه وتحديد مكانه وإطلاق سراحه، امتثالاً للمادة </w:t>
      </w:r>
      <w:r w:rsidRPr="00A705A5">
        <w:rPr>
          <w:szCs w:val="20"/>
          <w:rtl/>
        </w:rPr>
        <w:t>15</w:t>
      </w:r>
      <w:r w:rsidRPr="00A705A5">
        <w:rPr>
          <w:rtl/>
        </w:rPr>
        <w:t xml:space="preserve"> من الاتفاقية. وأبلغت اللجنة الدولة الطرف بأنها، تيسيراً لهذا التعاون، أطلعت سلطات المكسيك على المذكرة الشفوية أيضاً. ويعرب المقررون المعنيون بالإجراءات العاجلة عن ارتياحهم لأن المكسيك قدمت رداً على المذكرة الشفوية، مؤكدةً اعتزامها التعاون في عملية البحث.</w:t>
      </w:r>
    </w:p>
    <w:p w14:paraId="0B65D428" w14:textId="06632BD6" w:rsidR="0019726F" w:rsidRPr="00A705A5" w:rsidRDefault="0019726F" w:rsidP="001413D9">
      <w:pPr>
        <w:pStyle w:val="H23GA"/>
        <w:rPr>
          <w:rtl/>
        </w:rPr>
      </w:pPr>
      <w:r w:rsidRPr="00A705A5">
        <w:rPr>
          <w:rtl/>
        </w:rPr>
        <w:lastRenderedPageBreak/>
        <w:tab/>
        <w:t>(و)</w:t>
      </w:r>
      <w:r w:rsidRPr="00A705A5">
        <w:rPr>
          <w:rtl/>
        </w:rPr>
        <w:tab/>
        <w:t>حفظ التحقيقات أو إغلاق عمليات التفتيش بحكم الواقع أو بحكم القانون بسبب عدم التوصل إلى نتيجة</w:t>
      </w:r>
    </w:p>
    <w:p w14:paraId="5C88C810" w14:textId="6535F30A" w:rsidR="0019726F" w:rsidRPr="00A705A5" w:rsidRDefault="0019726F" w:rsidP="0019726F">
      <w:pPr>
        <w:pStyle w:val="SingleTxtGA"/>
        <w:rPr>
          <w:rtl/>
        </w:rPr>
      </w:pPr>
      <w:r w:rsidRPr="00A705A5">
        <w:rPr>
          <w:szCs w:val="20"/>
          <w:rtl/>
        </w:rPr>
        <w:t>17</w:t>
      </w:r>
      <w:r w:rsidRPr="00A705A5">
        <w:rPr>
          <w:rtl/>
        </w:rPr>
        <w:t>-</w:t>
      </w:r>
      <w:r w:rsidRPr="00A705A5">
        <w:rPr>
          <w:rtl/>
        </w:rPr>
        <w:tab/>
        <w:t>تعرب اللجنة عن قلقها بشأن القرارات التي تتخذها السلطات المختصة، بحكم الواقع أو</w:t>
      </w:r>
      <w:r w:rsidR="001413D9" w:rsidRPr="00A705A5">
        <w:t> </w:t>
      </w:r>
      <w:r w:rsidRPr="00A705A5">
        <w:rPr>
          <w:rtl/>
        </w:rPr>
        <w:t xml:space="preserve">بحكم القانون، بالتخلي عن عمليات البحث أو التحقيق في حالات مختلفة. وعادة ما تُحفظ الحالات بحكم الواقع بعد عدة سنوات من اختفاء الشخص، عندما لا تتخذ السلطات المسؤولة عن البحث والتحقيق أي إجراء وتتخلى فيما يبدو عن القضية. وفي هذه الظروف، يصبح أقارب الشخص </w:t>
      </w:r>
      <w:r w:rsidRPr="00A705A5">
        <w:rPr>
          <w:spacing w:val="-2"/>
          <w:rtl/>
        </w:rPr>
        <w:t>المختفي هم الطرف الوحيد المسؤول عن إحراز أي تقدم في القضية بما يتخذونه من مبادرات وإجراءات.</w:t>
      </w:r>
      <w:r w:rsidRPr="00A705A5">
        <w:rPr>
          <w:rtl/>
        </w:rPr>
        <w:t xml:space="preserve"> فإذا لم يتخذ أقارب الشخص المختفي أي إجراء بسبب عدم معرفتهم بكيفية التصرف أو خوفاً من </w:t>
      </w:r>
      <w:r w:rsidRPr="00A705A5">
        <w:rPr>
          <w:spacing w:val="-2"/>
          <w:rtl/>
        </w:rPr>
        <w:t>الانتقام، فإنهم يُتهمون أحيان</w:t>
      </w:r>
      <w:r w:rsidR="00A705A5" w:rsidRPr="00A705A5">
        <w:rPr>
          <w:spacing w:val="-2"/>
          <w:rtl/>
        </w:rPr>
        <w:t xml:space="preserve">اً </w:t>
      </w:r>
      <w:r w:rsidRPr="00A705A5">
        <w:rPr>
          <w:spacing w:val="-2"/>
          <w:rtl/>
        </w:rPr>
        <w:t>من جانب السلطات بعدم القيام "باللازم" (انظر بوجه خاص الإجراءات</w:t>
      </w:r>
      <w:r w:rsidRPr="00A705A5">
        <w:rPr>
          <w:rtl/>
        </w:rPr>
        <w:t xml:space="preserve"> العاجلة المتعلقة بحالات في كولومبيا والمكسيك). وفي هذه الحالات، عادةً ما تكرر الردود المرسلة من الدولة الطرف نفس المعلومات، دون أن تجيب بالضرورة على شواغل اللجنة وتوصياتها. </w:t>
      </w:r>
    </w:p>
    <w:p w14:paraId="066FFD3C" w14:textId="2FCF2531" w:rsidR="0019726F" w:rsidRPr="00A705A5" w:rsidRDefault="0019726F" w:rsidP="0019726F">
      <w:pPr>
        <w:pStyle w:val="SingleTxtGA"/>
        <w:rPr>
          <w:rtl/>
        </w:rPr>
      </w:pPr>
      <w:r w:rsidRPr="00A705A5">
        <w:rPr>
          <w:szCs w:val="20"/>
          <w:rtl/>
        </w:rPr>
        <w:t>18</w:t>
      </w:r>
      <w:r w:rsidRPr="00A705A5">
        <w:rPr>
          <w:rtl/>
        </w:rPr>
        <w:t>-</w:t>
      </w:r>
      <w:r w:rsidRPr="00A705A5">
        <w:rPr>
          <w:rtl/>
        </w:rPr>
        <w:tab/>
        <w:t>وتُحفظ الحالات بحكم القانون عندما تتخذ السلطات المختصة قرار</w:t>
      </w:r>
      <w:r w:rsidR="00A705A5" w:rsidRPr="00A705A5">
        <w:rPr>
          <w:rtl/>
        </w:rPr>
        <w:t xml:space="preserve">اً </w:t>
      </w:r>
      <w:r w:rsidRPr="00A705A5">
        <w:rPr>
          <w:rtl/>
        </w:rPr>
        <w:t>رسمي</w:t>
      </w:r>
      <w:r w:rsidR="00A705A5" w:rsidRPr="00A705A5">
        <w:rPr>
          <w:rtl/>
        </w:rPr>
        <w:t xml:space="preserve">اً </w:t>
      </w:r>
      <w:r w:rsidRPr="00A705A5">
        <w:rPr>
          <w:rtl/>
        </w:rPr>
        <w:t xml:space="preserve">بحفظ القضية: فعلى سبيل المثال، في أحد طلبات اتخاذ الإجراءات العاجلة المسجلة فيما يتعلق بحالات في كولومبيا (الإجراء العاجل رقم </w:t>
      </w:r>
      <w:r w:rsidRPr="00A705A5">
        <w:rPr>
          <w:szCs w:val="20"/>
          <w:rtl/>
        </w:rPr>
        <w:t>62</w:t>
      </w:r>
      <w:r w:rsidRPr="00A705A5">
        <w:rPr>
          <w:rtl/>
        </w:rPr>
        <w:t>/</w:t>
      </w:r>
      <w:r w:rsidRPr="00A705A5">
        <w:rPr>
          <w:szCs w:val="20"/>
          <w:rtl/>
        </w:rPr>
        <w:t>2015</w:t>
      </w:r>
      <w:r w:rsidRPr="00A705A5">
        <w:rPr>
          <w:rtl/>
        </w:rPr>
        <w:t xml:space="preserve">)، قرر المدعي العام المكلف بالتحقيق حفظ القضية "بسبب عدم وجود سبب أو ظروف وقائعية تدل على ارتكاب جريمة، أو على احتمال وجود جريمة". وفي الحالة المعنية، اختفى الضحية في </w:t>
      </w:r>
      <w:r w:rsidRPr="00A705A5">
        <w:rPr>
          <w:szCs w:val="20"/>
          <w:rtl/>
        </w:rPr>
        <w:t>7</w:t>
      </w:r>
      <w:r w:rsidRPr="00A705A5">
        <w:rPr>
          <w:rtl/>
        </w:rPr>
        <w:t xml:space="preserve"> حزيران/يونيه </w:t>
      </w:r>
      <w:r w:rsidRPr="00A705A5">
        <w:rPr>
          <w:szCs w:val="20"/>
          <w:rtl/>
        </w:rPr>
        <w:t>2014</w:t>
      </w:r>
      <w:r w:rsidRPr="00A705A5">
        <w:rPr>
          <w:rtl/>
        </w:rPr>
        <w:t xml:space="preserve"> في سان أندريس، كولومبيا. وسجلت اللجنة طلب اتخاذ الإجراءات العاجلة في </w:t>
      </w:r>
      <w:r w:rsidRPr="00A705A5">
        <w:rPr>
          <w:szCs w:val="20"/>
          <w:rtl/>
        </w:rPr>
        <w:t>31</w:t>
      </w:r>
      <w:r w:rsidRPr="00A705A5">
        <w:rPr>
          <w:rtl/>
        </w:rPr>
        <w:t xml:space="preserve"> آذار/مارس </w:t>
      </w:r>
      <w:r w:rsidRPr="00A705A5">
        <w:rPr>
          <w:szCs w:val="20"/>
          <w:rtl/>
        </w:rPr>
        <w:t>2015</w:t>
      </w:r>
      <w:r w:rsidRPr="00A705A5">
        <w:rPr>
          <w:rtl/>
        </w:rPr>
        <w:t xml:space="preserve">. ومنذ ذلك الحين، تابعت اللجنة الحالة عن كثب، وظلت على اتصال بالدولة الطرف وبمَن قدم الطلب. وطوال هذه العملية، أرسلت اللجنة إلى الدولة الطرف توصيات محددة تتعلق بالبحث عن الشخص المختفي والتحقيق في اختفائه، وشمل ذلك تقديم أدلة مختلفة ذات صلة. وذكَّرت اللجنة، بعد أن أُبلغت بقرار المدعي العام، بأن الدولة الطرف ملزمة، وفقاً للمادة </w:t>
      </w:r>
      <w:r w:rsidRPr="00A705A5">
        <w:rPr>
          <w:szCs w:val="20"/>
          <w:rtl/>
        </w:rPr>
        <w:t>24</w:t>
      </w:r>
      <w:r w:rsidRPr="00A705A5">
        <w:rPr>
          <w:rtl/>
        </w:rPr>
        <w:t>(</w:t>
      </w:r>
      <w:r w:rsidRPr="00A705A5">
        <w:rPr>
          <w:szCs w:val="20"/>
          <w:rtl/>
        </w:rPr>
        <w:t>6</w:t>
      </w:r>
      <w:r w:rsidRPr="00A705A5">
        <w:rPr>
          <w:rtl/>
        </w:rPr>
        <w:t xml:space="preserve">) من الاتفاقية، بالتحقيق إلى أن يتضح مصير الشخص المختفي. وذكَّرت اللجنة أيضاً بأنه، وفقاً للمبدأ </w:t>
      </w:r>
      <w:r w:rsidRPr="00A705A5">
        <w:rPr>
          <w:szCs w:val="20"/>
          <w:rtl/>
        </w:rPr>
        <w:t>7</w:t>
      </w:r>
      <w:r w:rsidRPr="00A705A5">
        <w:rPr>
          <w:rtl/>
        </w:rPr>
        <w:t xml:space="preserve"> من المبادئ التوجيهية للبحث عن الأشخاص المختفين، ينبغي أن يستمر البحث عن الشخص المختفي إلى أن يُعرف على وجه اليقين مصيره و/أو مكان وجوده. ونظراً إلى أن الأنشطة التي تم الاضطلاع بها في هذه القضية للبحث عن الشخص المختفي لم تكشف عن مصيره و/أو مكان وجوده، طلبت اللجنة إلى الدولة الطرف أن تعيد فوراً فتح ملف قضية الشخص المختفي، وأن تكفل تنفيذ جميع أنشطة البحث عن الشخص المختفي وفقاً للتوصيات التي سبق أن قدمتها </w:t>
      </w:r>
      <w:r w:rsidRPr="00A705A5">
        <w:rPr>
          <w:spacing w:val="-4"/>
          <w:rtl/>
        </w:rPr>
        <w:t>اللجنة في سياق طلب اتخاذ الإجراءات العاجلة، وأن تبلغ اللجنة بالإجراءات المتخذة لتحقيق هذا الغرض.</w:t>
      </w:r>
      <w:r w:rsidRPr="00A705A5">
        <w:rPr>
          <w:rtl/>
        </w:rPr>
        <w:t xml:space="preserve"> </w:t>
      </w:r>
    </w:p>
    <w:p w14:paraId="11529E19" w14:textId="3C891284" w:rsidR="0019726F" w:rsidRPr="00A705A5" w:rsidRDefault="0019726F" w:rsidP="001413D9">
      <w:pPr>
        <w:pStyle w:val="H23GA"/>
        <w:rPr>
          <w:rtl/>
        </w:rPr>
      </w:pPr>
      <w:r w:rsidRPr="00A705A5">
        <w:rPr>
          <w:rtl/>
        </w:rPr>
        <w:tab/>
        <w:t>(ز)</w:t>
      </w:r>
      <w:r w:rsidRPr="00A705A5">
        <w:rPr>
          <w:rtl/>
        </w:rPr>
        <w:tab/>
        <w:t>استخدام الأدلة الجنائية ودور الحمض النووي الريبي المنزوع الأكسجين (الدنا)</w:t>
      </w:r>
      <w:r w:rsidR="00511930" w:rsidRPr="00A705A5">
        <w:rPr>
          <w:rtl/>
        </w:rPr>
        <w:t xml:space="preserve"> </w:t>
      </w:r>
    </w:p>
    <w:p w14:paraId="2987DA82" w14:textId="00D0A09F" w:rsidR="0019726F" w:rsidRPr="00A705A5" w:rsidRDefault="0019726F" w:rsidP="0019726F">
      <w:pPr>
        <w:pStyle w:val="SingleTxtGA"/>
        <w:rPr>
          <w:rtl/>
        </w:rPr>
      </w:pPr>
      <w:r w:rsidRPr="00A705A5">
        <w:rPr>
          <w:szCs w:val="20"/>
          <w:rtl/>
        </w:rPr>
        <w:t>19</w:t>
      </w:r>
      <w:r w:rsidRPr="00A705A5">
        <w:rPr>
          <w:rtl/>
        </w:rPr>
        <w:t>-</w:t>
      </w:r>
      <w:r w:rsidRPr="00A705A5">
        <w:rPr>
          <w:rtl/>
        </w:rPr>
        <w:tab/>
        <w:t xml:space="preserve">أشير في طلبات اتخاذ الإجراءات العاجلة التي سجلتها اللجنة إلى استخدام علوم الطب الشرعي في استراتيجيات البحث والتحقيق في نحو </w:t>
      </w:r>
      <w:r w:rsidRPr="00A705A5">
        <w:rPr>
          <w:szCs w:val="20"/>
          <w:rtl/>
        </w:rPr>
        <w:t>65</w:t>
      </w:r>
      <w:r w:rsidRPr="00A705A5">
        <w:rPr>
          <w:rtl/>
        </w:rPr>
        <w:t xml:space="preserve"> في المائة من الحالات. وفي معظم هذه الحالات، كان دور علوم الطب الشرعي في صميم العملية. وعادةً ما يرى الضحايا علوم الطب الشرعي المصدر الرئيسي للمعلومات الموثوقة. وقد تنشأن عن هذا الرأي تحديات شتى تختلف باختلاف سياق الإجراء العاجل المحدد. وتشكل موثوقية السلطات المسؤولة عن الأدلة الجنائية عنصراً رئيسياً في هذا الصدد: فإذا توافرت للسلطات الموارد اللازمة والتدريب، واضطلعت بمهامها بطريقة شاملة وتقنية وبذلت فيها العناية الواجبة، أمكن اعتبار الأدلة الجنائية موثوقة. وفي هذه الحالات، تتوطد الثقة بين السلطات والضحايا، الذين يُبلَّغون بالإجراءات المختلفة المتخَذة، وبإمكانات وحدود الأدلة الجنائية. ويُبلغ </w:t>
      </w:r>
      <w:r w:rsidRPr="00A705A5">
        <w:rPr>
          <w:spacing w:val="-4"/>
          <w:rtl/>
        </w:rPr>
        <w:t>الضحايا أيضاً بالتدابير التي يمكنهم اتخاذها إذا ما رغبوا في الحصول على رأي ثان. وعلى العكس من ذلك،</w:t>
      </w:r>
      <w:r w:rsidRPr="00A705A5">
        <w:rPr>
          <w:rtl/>
        </w:rPr>
        <w:t xml:space="preserve"> </w:t>
      </w:r>
      <w:r w:rsidRPr="00A705A5">
        <w:rPr>
          <w:rtl/>
        </w:rPr>
        <w:lastRenderedPageBreak/>
        <w:t>عندما لا تتوفر للسلطات المسؤولة عن الأدلة الجنائية الموارد اللازمة ولا التدريب اللازم، ولا</w:t>
      </w:r>
      <w:r w:rsidR="008F4DE1" w:rsidRPr="00A705A5">
        <w:rPr>
          <w:rFonts w:hint="cs"/>
          <w:rtl/>
        </w:rPr>
        <w:t> </w:t>
      </w:r>
      <w:r w:rsidRPr="00A705A5">
        <w:rPr>
          <w:rtl/>
        </w:rPr>
        <w:t>تؤدي مهامها بالعناية الواجبة، ولا تتاح لها آليات المساءلة، كثير</w:t>
      </w:r>
      <w:r w:rsidR="00A705A5" w:rsidRPr="00A705A5">
        <w:rPr>
          <w:rtl/>
        </w:rPr>
        <w:t xml:space="preserve">اً </w:t>
      </w:r>
      <w:r w:rsidRPr="00A705A5">
        <w:rPr>
          <w:rtl/>
        </w:rPr>
        <w:t xml:space="preserve">ما يكتنف الشك موثوقية أي دليل جنائي، ويمكن التلاعب بالأدلة في سياق عمليات البحث والتحقيق. وتوجد أمثلة واضحة في طلبات اتخاذ الإجراءات العاجلة بشأن حالات في الأرجنتين وكمبوديا والمكسيك، حيث ادعى مقدمو الطلبات أنه تم التلاعب في نتائج الأدلة الجنائية. وفي هذه الحالة، يُشكَّك في شرعية العملية برمتها، ويواجه الضحايا بعد ذلك صعوبات في الحصول على رأي ثان، سواء من حيث تحديد الأخصائيين وقبولهم من قبل السلطات الوطنية المختصة أو من حيث دفع تكاليف هذا التدخل. </w:t>
      </w:r>
    </w:p>
    <w:p w14:paraId="5BD67442" w14:textId="77777777" w:rsidR="0019726F" w:rsidRPr="00A705A5" w:rsidRDefault="0019726F" w:rsidP="008F4DE1">
      <w:pPr>
        <w:pStyle w:val="SingleTxtGA"/>
        <w:spacing w:line="350" w:lineRule="exact"/>
        <w:rPr>
          <w:rtl/>
        </w:rPr>
      </w:pPr>
      <w:r w:rsidRPr="00A705A5">
        <w:rPr>
          <w:szCs w:val="20"/>
          <w:rtl/>
        </w:rPr>
        <w:t>20</w:t>
      </w:r>
      <w:r w:rsidRPr="00A705A5">
        <w:rPr>
          <w:rtl/>
        </w:rPr>
        <w:t>-</w:t>
      </w:r>
      <w:r w:rsidRPr="00A705A5">
        <w:rPr>
          <w:rtl/>
        </w:rPr>
        <w:tab/>
        <w:t>وفي هذه الظروف، كثيراً ما تتذرع السلطات بصعوبة الوصول إلى الأدلة الجنائية كي لا تتخذ أي إجراء آخر. وتشير السلطات إلى تكلفة الحصول على الأدلة، وعدم كفاية المختبرات أو الموارد البشرية المدربة على الصعيد الوطني، وما يترتب على ذلك من ضرورة إرسال الأدلة إلى الخارج، بوصفها الأسباب الرئيسية لعجز السلطات عن اتخاذ مزيد من الإجراءات.</w:t>
      </w:r>
    </w:p>
    <w:p w14:paraId="4D36E94F" w14:textId="6B9DB47D" w:rsidR="0019726F" w:rsidRPr="00A705A5" w:rsidRDefault="0019726F" w:rsidP="008F4DE1">
      <w:pPr>
        <w:pStyle w:val="SingleTxtGA"/>
        <w:spacing w:line="350" w:lineRule="exact"/>
        <w:rPr>
          <w:rtl/>
        </w:rPr>
      </w:pPr>
      <w:r w:rsidRPr="00A705A5">
        <w:rPr>
          <w:szCs w:val="20"/>
          <w:rtl/>
        </w:rPr>
        <w:t>21</w:t>
      </w:r>
      <w:r w:rsidRPr="00A705A5">
        <w:rPr>
          <w:rtl/>
        </w:rPr>
        <w:t>-</w:t>
      </w:r>
      <w:r w:rsidRPr="00A705A5">
        <w:rPr>
          <w:rtl/>
        </w:rPr>
        <w:tab/>
        <w:t>وفي هذه الحالات، ذكَّرت اللجنة في توصياتها بما يلي: (أ) أن استنباط أدلة علمية جزء أساسي من استراتيجية البحث عن الأشخاص المختفين والتحقيق في حالات اختفائهم؛ (ب) أن هذه الأدلة لا تقتصر على الحمض النووي</w:t>
      </w:r>
      <w:r w:rsidR="00511930" w:rsidRPr="00A705A5">
        <w:rPr>
          <w:rtl/>
        </w:rPr>
        <w:t>،</w:t>
      </w:r>
      <w:r w:rsidRPr="00A705A5">
        <w:rPr>
          <w:rtl/>
        </w:rPr>
        <w:t xml:space="preserve"> وأن السلطات المختصة المجهزة بالموارد البشرية والمادية اللازمة يجب أن تعالج هذه الأدلة بالعناية الواجبة؛ (ج) أنه يجب إنشاء آليات موثوقة للمساءلة؛ (د) أنه في حال وجود أسئلة بشأن دقة اختبارات الحمض النووي التي أجريت، ينبغي إجراء اختبار بديل للحمض </w:t>
      </w:r>
      <w:r w:rsidRPr="00A705A5">
        <w:rPr>
          <w:spacing w:val="-4"/>
          <w:rtl/>
        </w:rPr>
        <w:t>النووي بمساعدة منظمة غير حكومية دولية مستقلة متخصصة في تحليل الحمض النووي، وذلك لضمان الاستكشاف والتحليل السليم للرفات الذي يُعثر عليه، وفق</w:t>
      </w:r>
      <w:r w:rsidR="00A705A5" w:rsidRPr="00A705A5">
        <w:rPr>
          <w:spacing w:val="-4"/>
          <w:rtl/>
        </w:rPr>
        <w:t xml:space="preserve">اً </w:t>
      </w:r>
      <w:r w:rsidRPr="00A705A5">
        <w:rPr>
          <w:spacing w:val="-4"/>
          <w:rtl/>
        </w:rPr>
        <w:t>للمعايير الدولية المتصلة بتحليل عينات الحمض النووي. واتخذت اللجنة أيضاً تدابير مؤقتة لحماية فرادى الأدلة ريثما تُتاح الموارد اللازمة لتحليلها.</w:t>
      </w:r>
      <w:r w:rsidRPr="00A705A5">
        <w:rPr>
          <w:rtl/>
        </w:rPr>
        <w:t xml:space="preserve"> </w:t>
      </w:r>
    </w:p>
    <w:p w14:paraId="4EA153AA" w14:textId="70EA563A" w:rsidR="0019726F" w:rsidRPr="00A705A5" w:rsidRDefault="0019726F" w:rsidP="004B0087">
      <w:pPr>
        <w:pStyle w:val="H23GA"/>
        <w:rPr>
          <w:rtl/>
        </w:rPr>
      </w:pPr>
      <w:r w:rsidRPr="00A705A5">
        <w:rPr>
          <w:rtl/>
        </w:rPr>
        <w:tab/>
        <w:t>(ح)</w:t>
      </w:r>
      <w:r w:rsidRPr="00A705A5">
        <w:rPr>
          <w:rtl/>
        </w:rPr>
        <w:tab/>
        <w:t>التحديات الرئيسية فيما يتعلق بتنفيذ التدابير المؤقتة التي طلبتها اللجنة</w:t>
      </w:r>
    </w:p>
    <w:p w14:paraId="1E13840A" w14:textId="77777777" w:rsidR="0019726F" w:rsidRPr="00A705A5" w:rsidRDefault="0019726F" w:rsidP="008F4DE1">
      <w:pPr>
        <w:pStyle w:val="SingleTxtGA"/>
        <w:spacing w:line="350" w:lineRule="exact"/>
        <w:rPr>
          <w:rtl/>
        </w:rPr>
      </w:pPr>
      <w:r w:rsidRPr="00A705A5">
        <w:rPr>
          <w:szCs w:val="20"/>
          <w:rtl/>
        </w:rPr>
        <w:t>22</w:t>
      </w:r>
      <w:r w:rsidRPr="00A705A5">
        <w:rPr>
          <w:rtl/>
        </w:rPr>
        <w:t>-</w:t>
      </w:r>
      <w:r w:rsidRPr="00A705A5">
        <w:rPr>
          <w:rtl/>
        </w:rPr>
        <w:tab/>
        <w:t xml:space="preserve">في الفترة قيد الاستعراض، أُبلغت اللجنة بأن أقارب الأشخاص المختفين استُهدفوا بالتهديد والترهيب بعد أن مارسوا ضغوطاً من أجل التحقيق في حالات اختفاء أقاربهم قسراً. واتسمت هذه </w:t>
      </w:r>
      <w:r w:rsidRPr="00A705A5">
        <w:rPr>
          <w:spacing w:val="-4"/>
          <w:rtl/>
        </w:rPr>
        <w:t xml:space="preserve">التهديدات بنفس الخصائص التي سُجلت في فترات الاستعراض السابقة، حيث اتخذت أشكالاً مختلفة، مثل التهديدات بالقتل، والدوريات حول منازل الأشخاص، والقرارات الإجرائية التي تؤثر على الحماية الممنوحة للأشخاص المعنيين. لذلك، طلبت اللجنة مرة أخرى إلى الدولة الطرف المعنية أن تتخذ في هذه الحالات التدابير المؤقتة اللازمة لحماية حياة الأشخاص المتضررين وسلامتهم وللسماح للأفراد بالبحث عن أقاربهم المفقودين دون التعرض للعنف أو المضايقة. وأكدت اللجنة أيضاً أهمية تنقيح خطط الحماية دورياً بالتشاور مع المستفيدين منها، ولا سيما فيما يتعلق بطرائق تدابير الحماية والطرائق المتبعة في المؤسسات المسؤولة عن تنفيذ هذه التدابير، من أجل ضمان الثقة الكاملة من قِبل المستفيدين. ومن المؤسف أن مقدمي عدد من طلبات اتخاذ الإجراءات العاجلة أفادوا بأنهم أُبلغوا، عندما قدم المستفيدون من التدابير المؤقتة قرار اللجنة إلى السلطات المختصة، بأن هذه التدابير ليست ملزمة، أو أن السلطات المختصة لن تتخذ أي إجراء لتنفيذ التدابير. وفي هذه الظروف، ذكّرت اللجنة الدولة الطرف المعنية بأن التدابير المؤقتة التي حددتها اللجنة ملزمة قانوناً وتفرض على الدولة الطرف التزاماً قانونياً دولياً. </w:t>
      </w:r>
      <w:r w:rsidRPr="00A705A5">
        <w:rPr>
          <w:rtl/>
        </w:rPr>
        <w:t>وأشارت اللجنة أيضاً إلى دورها كهيئة خبراء أُنشئت بموجب الاتفاقية بهدف رصد تنفيذ الدول الأطراف التزاماتها. وتمنح الاتفاقية اللجنة سلطة الطلب إلى الدولة الطرف اتخاذ إجراء فوري للبحث عن شخص مختفٍ، وتُلزِم الدول الأطراف بالنظر بحسن نية في توصيات اللجنة في هذه الحالات. وذكّرت اللجنة الدولة الطرف أيضاً بأن أي تقصير من جانبها في تنفيذ التدابير المؤقتة يشكل انتهاكاً لالتزامها باحترام الإجراءات العاجلة للجنة بحسن نية. وقد أُرسلت هذه المذكرات حتى الآن إلى كولومبيا والمكسيك.</w:t>
      </w:r>
    </w:p>
    <w:p w14:paraId="6DBD40F5" w14:textId="68FADE1D" w:rsidR="0019726F" w:rsidRPr="00A705A5" w:rsidRDefault="0019726F" w:rsidP="004B0087">
      <w:pPr>
        <w:pStyle w:val="H23GA"/>
        <w:rPr>
          <w:rtl/>
        </w:rPr>
      </w:pPr>
      <w:r w:rsidRPr="00A705A5">
        <w:rPr>
          <w:szCs w:val="20"/>
          <w:rtl/>
        </w:rPr>
        <w:lastRenderedPageBreak/>
        <w:tab/>
        <w:t>2</w:t>
      </w:r>
      <w:r w:rsidRPr="00A705A5">
        <w:rPr>
          <w:rtl/>
        </w:rPr>
        <w:t>-</w:t>
      </w:r>
      <w:r w:rsidRPr="00A705A5">
        <w:rPr>
          <w:rtl/>
        </w:rPr>
        <w:tab/>
        <w:t>الاتجاهات المحددة المتعلقة بالعراق والمكسيك</w:t>
      </w:r>
    </w:p>
    <w:p w14:paraId="1071E23B" w14:textId="77777777" w:rsidR="0019726F" w:rsidRPr="00A705A5" w:rsidRDefault="0019726F" w:rsidP="0019726F">
      <w:pPr>
        <w:pStyle w:val="SingleTxtGA"/>
        <w:rPr>
          <w:rtl/>
        </w:rPr>
      </w:pPr>
      <w:r w:rsidRPr="00A705A5">
        <w:rPr>
          <w:szCs w:val="20"/>
          <w:rtl/>
        </w:rPr>
        <w:t>23</w:t>
      </w:r>
      <w:r w:rsidRPr="00A705A5">
        <w:rPr>
          <w:rtl/>
        </w:rPr>
        <w:t>-</w:t>
      </w:r>
      <w:r w:rsidRPr="00A705A5">
        <w:rPr>
          <w:rtl/>
        </w:rPr>
        <w:tab/>
        <w:t>في الفترة قيد الاستعراض، كان العراق والمكسيك هما الدولتين الطرفين اللتين سُجل بشأنهما معظمُ طلبات اتخاذ الإجراءات العاجلة. وترى اللجنة أن من الضروري إبراز الاتجاهات الرئيسية التي لوحظت في هذه الحالات.</w:t>
      </w:r>
    </w:p>
    <w:p w14:paraId="7C00A235" w14:textId="7B27DFDD" w:rsidR="0019726F" w:rsidRPr="00A705A5" w:rsidRDefault="0019726F" w:rsidP="004B0087">
      <w:pPr>
        <w:pStyle w:val="H23GA"/>
        <w:rPr>
          <w:rtl/>
        </w:rPr>
      </w:pPr>
      <w:r w:rsidRPr="00A705A5">
        <w:rPr>
          <w:rtl/>
        </w:rPr>
        <w:tab/>
        <w:t>(أ)</w:t>
      </w:r>
      <w:r w:rsidRPr="00A705A5">
        <w:rPr>
          <w:rtl/>
        </w:rPr>
        <w:tab/>
        <w:t>العراق</w:t>
      </w:r>
    </w:p>
    <w:p w14:paraId="3F5BD4F9" w14:textId="77777777" w:rsidR="0019726F" w:rsidRPr="00A705A5" w:rsidRDefault="0019726F" w:rsidP="0019726F">
      <w:pPr>
        <w:pStyle w:val="SingleTxtGA"/>
        <w:rPr>
          <w:rtl/>
        </w:rPr>
      </w:pPr>
      <w:r w:rsidRPr="00A705A5">
        <w:rPr>
          <w:szCs w:val="20"/>
          <w:rtl/>
        </w:rPr>
        <w:t>24</w:t>
      </w:r>
      <w:r w:rsidRPr="00A705A5">
        <w:rPr>
          <w:rtl/>
        </w:rPr>
        <w:t>-</w:t>
      </w:r>
      <w:r w:rsidRPr="00A705A5">
        <w:rPr>
          <w:rtl/>
        </w:rPr>
        <w:tab/>
        <w:t xml:space="preserve">يساور اللجنة قلق بالغ بشأن الزيادة الكبيرة في عدد الطلبات الواردة لاتخاذ الإجراءات </w:t>
      </w:r>
      <w:r w:rsidRPr="00A705A5">
        <w:rPr>
          <w:spacing w:val="-4"/>
          <w:rtl/>
        </w:rPr>
        <w:t xml:space="preserve">العاجلة بشأن حالات في العراق: ففي </w:t>
      </w:r>
      <w:r w:rsidRPr="00A705A5">
        <w:rPr>
          <w:spacing w:val="-4"/>
          <w:szCs w:val="20"/>
          <w:rtl/>
        </w:rPr>
        <w:t>31</w:t>
      </w:r>
      <w:r w:rsidRPr="00A705A5">
        <w:rPr>
          <w:spacing w:val="-4"/>
          <w:rtl/>
        </w:rPr>
        <w:t xml:space="preserve"> آب/أغسطس </w:t>
      </w:r>
      <w:r w:rsidRPr="00A705A5">
        <w:rPr>
          <w:spacing w:val="-4"/>
          <w:szCs w:val="20"/>
          <w:rtl/>
        </w:rPr>
        <w:t>2020</w:t>
      </w:r>
      <w:r w:rsidRPr="00A705A5">
        <w:rPr>
          <w:spacing w:val="-4"/>
          <w:rtl/>
        </w:rPr>
        <w:t xml:space="preserve">، سجلت اللجنة ما مجموعه </w:t>
      </w:r>
      <w:r w:rsidRPr="00A705A5">
        <w:rPr>
          <w:spacing w:val="-4"/>
          <w:szCs w:val="20"/>
          <w:rtl/>
        </w:rPr>
        <w:t>481</w:t>
      </w:r>
      <w:r w:rsidRPr="00A705A5">
        <w:rPr>
          <w:spacing w:val="-4"/>
          <w:rtl/>
        </w:rPr>
        <w:t xml:space="preserve"> طلباً،</w:t>
      </w:r>
      <w:r w:rsidRPr="00A705A5">
        <w:rPr>
          <w:rtl/>
        </w:rPr>
        <w:t xml:space="preserve"> منها </w:t>
      </w:r>
      <w:r w:rsidRPr="00A705A5">
        <w:rPr>
          <w:szCs w:val="20"/>
          <w:rtl/>
        </w:rPr>
        <w:t>28</w:t>
      </w:r>
      <w:r w:rsidRPr="00A705A5">
        <w:rPr>
          <w:rtl/>
        </w:rPr>
        <w:t xml:space="preserve"> طلباً تتعلق بحالات اختفاء في سياق الاحتجاجات التي بدأت في تشرين الأول/أكتوبر </w:t>
      </w:r>
      <w:r w:rsidRPr="00A705A5">
        <w:rPr>
          <w:szCs w:val="20"/>
          <w:rtl/>
        </w:rPr>
        <w:t>2019</w:t>
      </w:r>
      <w:r w:rsidRPr="00A705A5">
        <w:rPr>
          <w:rtl/>
        </w:rPr>
        <w:t xml:space="preserve"> في الدولة الطرف. </w:t>
      </w:r>
    </w:p>
    <w:p w14:paraId="410628E7" w14:textId="10506722" w:rsidR="0019726F" w:rsidRPr="00A705A5" w:rsidRDefault="0019726F" w:rsidP="001413D9">
      <w:pPr>
        <w:pStyle w:val="SingleTxtGA"/>
        <w:spacing w:after="240"/>
        <w:rPr>
          <w:rtl/>
        </w:rPr>
      </w:pPr>
      <w:r w:rsidRPr="00A705A5">
        <w:rPr>
          <w:szCs w:val="20"/>
          <w:rtl/>
        </w:rPr>
        <w:t>25</w:t>
      </w:r>
      <w:r w:rsidRPr="00A705A5">
        <w:rPr>
          <w:rtl/>
        </w:rPr>
        <w:t>-</w:t>
      </w:r>
      <w:r w:rsidRPr="00A705A5">
        <w:rPr>
          <w:rtl/>
        </w:rPr>
        <w:tab/>
        <w:t xml:space="preserve">وفي الطلبات المتعلقة بالاحتجاجات، زُعم أن الأشخاص المعنيين اختفوا بعد مشاركتهم في المسيرات، ولا سيما في ميدان التحرير في بغداد، أو بعد أن قدموا نوعاً من الدعم للأفراد المشاركين في المسيرات (مثل النقل أو الدعم الطبي أو توزيع الأغذية). وأشار مقدمو الطلبات أيضاً إلى أن من المرجح، وفقاً لما أدلى به الشهود أو في ضوء سياق حالات الاختفاء، أن يكون الأشخاص قد اختفوا على أيدي "ميليشيات تتصرف بإذن من الدولة الطرف أو دعمها أو قبولها أو موافقتها" أو على أيدي </w:t>
      </w:r>
      <w:r w:rsidRPr="00A705A5">
        <w:rPr>
          <w:spacing w:val="-2"/>
          <w:rtl/>
        </w:rPr>
        <w:t>"أفراد القوات الموالية للحكومة، بما فيها الميليشيات التي ترعاها الدولة، أو أجهزة الاستخبارات الحكومية". وتوجد ثلاث فئات من الإجراءات العاجلة: (أ) الإجراءات التي حُدد فيها مكان الشخص المختفي؛</w:t>
      </w:r>
      <w:r w:rsidRPr="00A705A5">
        <w:rPr>
          <w:rtl/>
        </w:rPr>
        <w:t xml:space="preserve"> (ب) الإجراءات التي ردت الدولة الطرف بشأنها؛ (ج) الإجراءات التي لا تتوفر فيها معلومات إضافية ولم تقدم الدولة الطرف رداً بشأنها. وترحب اللجنة بالتطور الإيجابي المتمثل في إغلاق </w:t>
      </w:r>
      <w:r w:rsidRPr="00A705A5">
        <w:rPr>
          <w:szCs w:val="20"/>
          <w:rtl/>
        </w:rPr>
        <w:t>12</w:t>
      </w:r>
      <w:r w:rsidRPr="00A705A5">
        <w:rPr>
          <w:rtl/>
        </w:rPr>
        <w:t xml:space="preserve"> إجراءً عاجلاً يتعلق بأشخاص مختفين في سياق الاحتجاجات بعد تحديد مكانهم وإطلاق سراحهم. ويعرض الجدول</w:t>
      </w:r>
      <w:r w:rsidR="008F4DE1" w:rsidRPr="00A705A5">
        <w:rPr>
          <w:rFonts w:hint="cs"/>
          <w:rtl/>
        </w:rPr>
        <w:t> </w:t>
      </w:r>
      <w:r w:rsidRPr="00A705A5">
        <w:rPr>
          <w:szCs w:val="20"/>
          <w:rtl/>
        </w:rPr>
        <w:t>2</w:t>
      </w:r>
      <w:r w:rsidRPr="00A705A5">
        <w:rPr>
          <w:rtl/>
        </w:rPr>
        <w:t xml:space="preserve"> جميع الإجراءات العاجلة المسجلة في هذا السياق، والتي تندرج في الفئتين (أ) و(ج).</w:t>
      </w:r>
    </w:p>
    <w:p w14:paraId="25D85E96" w14:textId="23C91F44" w:rsidR="0019726F" w:rsidRPr="00A705A5" w:rsidRDefault="0019726F" w:rsidP="000A03B8">
      <w:pPr>
        <w:pStyle w:val="SingleTxtGA"/>
        <w:rPr>
          <w:b/>
          <w:bCs/>
          <w:rtl/>
        </w:rPr>
      </w:pPr>
      <w:r w:rsidRPr="00A705A5">
        <w:rPr>
          <w:rtl/>
        </w:rPr>
        <w:t xml:space="preserve">الجدول </w:t>
      </w:r>
      <w:r w:rsidRPr="00A705A5">
        <w:rPr>
          <w:szCs w:val="20"/>
          <w:rtl/>
        </w:rPr>
        <w:t>2</w:t>
      </w:r>
      <w:r w:rsidR="000A03B8" w:rsidRPr="00A705A5">
        <w:rPr>
          <w:rtl/>
        </w:rPr>
        <w:tab/>
      </w:r>
      <w:r w:rsidR="000A03B8" w:rsidRPr="00A705A5">
        <w:rPr>
          <w:rtl/>
        </w:rPr>
        <w:br/>
      </w:r>
      <w:r w:rsidRPr="00A705A5">
        <w:rPr>
          <w:b/>
          <w:bCs/>
          <w:rtl/>
        </w:rPr>
        <w:t xml:space="preserve">طلبات الإجراءات العاجلة المسجلة المتعلقة بالعراق في سياق الاحتجاجات التي بدأت في تشرين الأول/أكتوبر </w:t>
      </w:r>
      <w:r w:rsidRPr="00A705A5">
        <w:rPr>
          <w:b/>
          <w:bCs/>
          <w:szCs w:val="20"/>
          <w:rtl/>
        </w:rPr>
        <w:t>2019</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25"/>
        <w:gridCol w:w="2072"/>
        <w:gridCol w:w="3973"/>
      </w:tblGrid>
      <w:tr w:rsidR="000A03B8" w:rsidRPr="00A705A5" w14:paraId="04503078" w14:textId="77777777" w:rsidTr="003C4339">
        <w:trPr>
          <w:trHeight w:val="489"/>
          <w:tblHeader/>
        </w:trPr>
        <w:tc>
          <w:tcPr>
            <w:tcW w:w="1325" w:type="dxa"/>
            <w:tcBorders>
              <w:top w:val="single" w:sz="4" w:space="0" w:color="auto"/>
              <w:bottom w:val="single" w:sz="12" w:space="0" w:color="auto"/>
            </w:tcBorders>
            <w:shd w:val="clear" w:color="auto" w:fill="auto"/>
            <w:vAlign w:val="bottom"/>
          </w:tcPr>
          <w:p w14:paraId="5C656BF3" w14:textId="77777777" w:rsidR="000A03B8" w:rsidRPr="00A705A5" w:rsidRDefault="000A03B8" w:rsidP="007F60B8">
            <w:pPr>
              <w:pStyle w:val="SingleTxtG"/>
              <w:bidi/>
              <w:spacing w:before="80" w:after="80" w:line="200" w:lineRule="exact"/>
              <w:ind w:left="57" w:right="113"/>
              <w:jc w:val="left"/>
              <w:textDirection w:val="tbRlV"/>
              <w:rPr>
                <w:i/>
                <w:szCs w:val="26"/>
                <w:lang w:val="ar-SA" w:eastAsia="zh-TW" w:bidi="en-GB"/>
              </w:rPr>
            </w:pPr>
            <w:r w:rsidRPr="00A705A5">
              <w:rPr>
                <w:i/>
                <w:iCs/>
                <w:szCs w:val="26"/>
                <w:rtl/>
              </w:rPr>
              <w:t>الإجراء العاجل</w:t>
            </w:r>
          </w:p>
        </w:tc>
        <w:tc>
          <w:tcPr>
            <w:tcW w:w="2072" w:type="dxa"/>
            <w:tcBorders>
              <w:top w:val="single" w:sz="4" w:space="0" w:color="auto"/>
              <w:bottom w:val="single" w:sz="12" w:space="0" w:color="auto"/>
            </w:tcBorders>
            <w:shd w:val="clear" w:color="auto" w:fill="auto"/>
            <w:vAlign w:val="bottom"/>
          </w:tcPr>
          <w:p w14:paraId="39EB2943" w14:textId="77777777" w:rsidR="000A03B8" w:rsidRPr="00A705A5" w:rsidRDefault="000A03B8" w:rsidP="007F60B8">
            <w:pPr>
              <w:pStyle w:val="SingleTxtG"/>
              <w:bidi/>
              <w:spacing w:before="80" w:after="80" w:line="200" w:lineRule="exact"/>
              <w:ind w:left="57" w:right="113"/>
              <w:jc w:val="left"/>
              <w:textDirection w:val="tbRlV"/>
              <w:rPr>
                <w:i/>
                <w:szCs w:val="26"/>
                <w:lang w:val="ar-SA" w:eastAsia="zh-TW" w:bidi="en-GB"/>
              </w:rPr>
            </w:pPr>
            <w:r w:rsidRPr="00A705A5">
              <w:rPr>
                <w:i/>
                <w:iCs/>
                <w:szCs w:val="26"/>
                <w:rtl/>
              </w:rPr>
              <w:t>الاسم</w:t>
            </w:r>
          </w:p>
        </w:tc>
        <w:tc>
          <w:tcPr>
            <w:tcW w:w="3973" w:type="dxa"/>
            <w:tcBorders>
              <w:top w:val="single" w:sz="4" w:space="0" w:color="auto"/>
              <w:bottom w:val="single" w:sz="12" w:space="0" w:color="auto"/>
            </w:tcBorders>
            <w:shd w:val="clear" w:color="auto" w:fill="auto"/>
            <w:vAlign w:val="bottom"/>
          </w:tcPr>
          <w:p w14:paraId="0D9ABCF8" w14:textId="77777777" w:rsidR="000A03B8" w:rsidRPr="00A705A5" w:rsidRDefault="000A03B8" w:rsidP="007F60B8">
            <w:pPr>
              <w:pStyle w:val="SingleTxtG"/>
              <w:bidi/>
              <w:spacing w:before="80" w:after="80" w:line="200" w:lineRule="exact"/>
              <w:ind w:left="57" w:right="113"/>
              <w:jc w:val="left"/>
              <w:textDirection w:val="tbRlV"/>
              <w:rPr>
                <w:i/>
                <w:szCs w:val="26"/>
                <w:lang w:val="ar-SA" w:eastAsia="zh-TW" w:bidi="en-GB"/>
              </w:rPr>
            </w:pPr>
            <w:r w:rsidRPr="00A705A5">
              <w:rPr>
                <w:i/>
                <w:iCs/>
                <w:szCs w:val="26"/>
                <w:rtl/>
              </w:rPr>
              <w:t xml:space="preserve">ما كان الوضع عليه في </w:t>
            </w:r>
            <w:r w:rsidRPr="00A705A5">
              <w:rPr>
                <w:rFonts w:ascii="Traditional Arabic"/>
                <w:i/>
                <w:iCs/>
                <w:szCs w:val="20"/>
                <w:rtl/>
              </w:rPr>
              <w:t>31</w:t>
            </w:r>
            <w:r w:rsidRPr="00A705A5">
              <w:rPr>
                <w:i/>
                <w:iCs/>
                <w:szCs w:val="26"/>
                <w:rtl/>
              </w:rPr>
              <w:t xml:space="preserve"> آب/أغسطس </w:t>
            </w:r>
            <w:r w:rsidRPr="00A705A5">
              <w:rPr>
                <w:rFonts w:ascii="Traditional Arabic"/>
                <w:i/>
                <w:iCs/>
                <w:szCs w:val="20"/>
                <w:rtl/>
              </w:rPr>
              <w:t>2018</w:t>
            </w:r>
            <w:r w:rsidRPr="00A705A5">
              <w:rPr>
                <w:i/>
                <w:iCs/>
                <w:szCs w:val="26"/>
                <w:rtl/>
              </w:rPr>
              <w:t>.</w:t>
            </w:r>
          </w:p>
        </w:tc>
      </w:tr>
      <w:tr w:rsidR="000A03B8" w:rsidRPr="00A705A5" w14:paraId="738D62D7" w14:textId="77777777" w:rsidTr="003C4339">
        <w:trPr>
          <w:trHeight w:hRule="exact" w:val="113"/>
        </w:trPr>
        <w:tc>
          <w:tcPr>
            <w:tcW w:w="1325" w:type="dxa"/>
            <w:tcBorders>
              <w:top w:val="single" w:sz="12" w:space="0" w:color="auto"/>
            </w:tcBorders>
            <w:shd w:val="clear" w:color="auto" w:fill="auto"/>
          </w:tcPr>
          <w:p w14:paraId="13600BD1" w14:textId="77777777" w:rsidR="000A03B8" w:rsidRPr="00A705A5" w:rsidRDefault="000A03B8" w:rsidP="007F60B8">
            <w:pPr>
              <w:pStyle w:val="SingleTxtG"/>
              <w:spacing w:before="40" w:line="220" w:lineRule="exact"/>
              <w:ind w:left="57" w:right="113"/>
              <w:jc w:val="left"/>
              <w:rPr>
                <w:szCs w:val="26"/>
              </w:rPr>
            </w:pPr>
          </w:p>
        </w:tc>
        <w:tc>
          <w:tcPr>
            <w:tcW w:w="2072" w:type="dxa"/>
            <w:tcBorders>
              <w:top w:val="single" w:sz="12" w:space="0" w:color="auto"/>
            </w:tcBorders>
            <w:shd w:val="clear" w:color="auto" w:fill="auto"/>
          </w:tcPr>
          <w:p w14:paraId="66B20872" w14:textId="77777777" w:rsidR="000A03B8" w:rsidRPr="00A705A5" w:rsidRDefault="000A03B8" w:rsidP="007F60B8">
            <w:pPr>
              <w:pStyle w:val="SingleTxtG"/>
              <w:spacing w:before="40" w:line="220" w:lineRule="exact"/>
              <w:ind w:left="57" w:right="113"/>
              <w:jc w:val="left"/>
              <w:rPr>
                <w:szCs w:val="26"/>
              </w:rPr>
            </w:pPr>
          </w:p>
        </w:tc>
        <w:tc>
          <w:tcPr>
            <w:tcW w:w="3973" w:type="dxa"/>
            <w:tcBorders>
              <w:top w:val="single" w:sz="12" w:space="0" w:color="auto"/>
            </w:tcBorders>
            <w:shd w:val="clear" w:color="auto" w:fill="auto"/>
          </w:tcPr>
          <w:p w14:paraId="56FAEE1B" w14:textId="77777777" w:rsidR="000A03B8" w:rsidRPr="00A705A5" w:rsidRDefault="000A03B8" w:rsidP="007F60B8">
            <w:pPr>
              <w:pStyle w:val="SingleTxtG"/>
              <w:spacing w:before="40" w:line="220" w:lineRule="exact"/>
              <w:ind w:left="57" w:right="113"/>
              <w:jc w:val="left"/>
              <w:rPr>
                <w:szCs w:val="26"/>
              </w:rPr>
            </w:pPr>
          </w:p>
        </w:tc>
      </w:tr>
      <w:tr w:rsidR="000A03B8" w:rsidRPr="00A705A5" w14:paraId="0739826E" w14:textId="77777777" w:rsidTr="003C4339">
        <w:tc>
          <w:tcPr>
            <w:tcW w:w="1325" w:type="dxa"/>
            <w:shd w:val="clear" w:color="auto" w:fill="auto"/>
          </w:tcPr>
          <w:p w14:paraId="1215B490"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784</w:t>
            </w:r>
            <w:r w:rsidRPr="00A705A5">
              <w:rPr>
                <w:szCs w:val="26"/>
                <w:rtl/>
                <w:lang w:val="ar-SA" w:eastAsia="zh-TW"/>
              </w:rPr>
              <w:t>/</w:t>
            </w:r>
            <w:r w:rsidRPr="00A705A5">
              <w:rPr>
                <w:szCs w:val="20"/>
                <w:rtl/>
                <w:lang w:val="ar-SA" w:eastAsia="zh-TW"/>
              </w:rPr>
              <w:t>2019</w:t>
            </w:r>
          </w:p>
        </w:tc>
        <w:tc>
          <w:tcPr>
            <w:tcW w:w="2072" w:type="dxa"/>
            <w:shd w:val="clear" w:color="auto" w:fill="auto"/>
          </w:tcPr>
          <w:p w14:paraId="65BCC5DC"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ميثم الحلو</w:t>
            </w:r>
          </w:p>
        </w:tc>
        <w:tc>
          <w:tcPr>
            <w:tcW w:w="3973" w:type="dxa"/>
            <w:shd w:val="clear" w:color="auto" w:fill="auto"/>
          </w:tcPr>
          <w:p w14:paraId="15FF890D"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أُغلق بعد الإفراج عن الشخص</w:t>
            </w:r>
          </w:p>
        </w:tc>
      </w:tr>
      <w:tr w:rsidR="000A03B8" w:rsidRPr="00A705A5" w14:paraId="6EFB24B8" w14:textId="77777777" w:rsidTr="003C4339">
        <w:tc>
          <w:tcPr>
            <w:tcW w:w="1325" w:type="dxa"/>
            <w:shd w:val="clear" w:color="auto" w:fill="auto"/>
          </w:tcPr>
          <w:p w14:paraId="444D6D1C"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785</w:t>
            </w:r>
            <w:r w:rsidRPr="00A705A5">
              <w:rPr>
                <w:rFonts w:ascii="Traditional Arabic"/>
                <w:szCs w:val="26"/>
                <w:rtl/>
              </w:rPr>
              <w:t>/</w:t>
            </w:r>
            <w:r w:rsidRPr="00A705A5">
              <w:rPr>
                <w:rFonts w:ascii="Traditional Arabic"/>
                <w:szCs w:val="20"/>
                <w:rtl/>
              </w:rPr>
              <w:t>2019</w:t>
            </w:r>
          </w:p>
        </w:tc>
        <w:tc>
          <w:tcPr>
            <w:tcW w:w="2072" w:type="dxa"/>
            <w:shd w:val="clear" w:color="auto" w:fill="auto"/>
          </w:tcPr>
          <w:p w14:paraId="695F9905"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علي الـهليجي</w:t>
            </w:r>
          </w:p>
        </w:tc>
        <w:tc>
          <w:tcPr>
            <w:tcW w:w="3973" w:type="dxa"/>
            <w:shd w:val="clear" w:color="auto" w:fill="auto"/>
          </w:tcPr>
          <w:p w14:paraId="137E4A75"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5DD37CD3" w14:textId="77777777" w:rsidTr="003C4339">
        <w:tc>
          <w:tcPr>
            <w:tcW w:w="1325" w:type="dxa"/>
            <w:shd w:val="clear" w:color="auto" w:fill="auto"/>
          </w:tcPr>
          <w:p w14:paraId="33BCAC38" w14:textId="77777777" w:rsidR="000A03B8" w:rsidRPr="00A705A5" w:rsidRDefault="000A03B8" w:rsidP="007F60B8">
            <w:pPr>
              <w:pStyle w:val="SingleTxtG"/>
              <w:bidi/>
              <w:spacing w:before="40" w:line="220" w:lineRule="exact"/>
              <w:ind w:left="57" w:right="113"/>
              <w:jc w:val="left"/>
              <w:textDirection w:val="tbRlV"/>
              <w:rPr>
                <w:szCs w:val="26"/>
                <w:lang w:val="en-US" w:eastAsia="zh-TW" w:bidi="en-GB"/>
              </w:rPr>
            </w:pPr>
            <w:r w:rsidRPr="00A705A5">
              <w:rPr>
                <w:szCs w:val="20"/>
                <w:rtl/>
                <w:lang w:val="ar-SA" w:eastAsia="zh-TW"/>
              </w:rPr>
              <w:t>786</w:t>
            </w:r>
            <w:r w:rsidRPr="00A705A5">
              <w:rPr>
                <w:szCs w:val="26"/>
                <w:rtl/>
                <w:lang w:val="ar-SA" w:eastAsia="zh-TW"/>
              </w:rPr>
              <w:t>/</w:t>
            </w:r>
            <w:r w:rsidRPr="00A705A5">
              <w:rPr>
                <w:szCs w:val="20"/>
                <w:rtl/>
                <w:lang w:val="ar-SA" w:eastAsia="zh-TW"/>
              </w:rPr>
              <w:t>2019</w:t>
            </w:r>
          </w:p>
        </w:tc>
        <w:tc>
          <w:tcPr>
            <w:tcW w:w="2072" w:type="dxa"/>
            <w:shd w:val="clear" w:color="auto" w:fill="auto"/>
          </w:tcPr>
          <w:p w14:paraId="6827A01B"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يوسف الغريري</w:t>
            </w:r>
          </w:p>
        </w:tc>
        <w:tc>
          <w:tcPr>
            <w:tcW w:w="3973" w:type="dxa"/>
            <w:shd w:val="clear" w:color="auto" w:fill="auto"/>
          </w:tcPr>
          <w:p w14:paraId="53361BC0"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7D303115" w14:textId="77777777" w:rsidTr="003C4339">
        <w:tc>
          <w:tcPr>
            <w:tcW w:w="1325" w:type="dxa"/>
            <w:shd w:val="clear" w:color="auto" w:fill="auto"/>
          </w:tcPr>
          <w:p w14:paraId="15688FF5"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792</w:t>
            </w:r>
            <w:r w:rsidRPr="00A705A5">
              <w:rPr>
                <w:rFonts w:ascii="Traditional Arabic"/>
                <w:szCs w:val="26"/>
                <w:rtl/>
              </w:rPr>
              <w:t>/</w:t>
            </w:r>
            <w:r w:rsidRPr="00A705A5">
              <w:rPr>
                <w:rFonts w:ascii="Traditional Arabic"/>
                <w:szCs w:val="20"/>
                <w:rtl/>
              </w:rPr>
              <w:t>2019</w:t>
            </w:r>
          </w:p>
        </w:tc>
        <w:tc>
          <w:tcPr>
            <w:tcW w:w="2072" w:type="dxa"/>
            <w:shd w:val="clear" w:color="auto" w:fill="auto"/>
          </w:tcPr>
          <w:p w14:paraId="676773A8"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ميمونة المشهداني</w:t>
            </w:r>
          </w:p>
        </w:tc>
        <w:tc>
          <w:tcPr>
            <w:tcW w:w="3973" w:type="dxa"/>
            <w:shd w:val="clear" w:color="auto" w:fill="auto"/>
          </w:tcPr>
          <w:p w14:paraId="06CCE314"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أُغلق بعد الإفراج عن الشخص</w:t>
            </w:r>
          </w:p>
        </w:tc>
      </w:tr>
      <w:tr w:rsidR="000A03B8" w:rsidRPr="00A705A5" w14:paraId="25C446FA" w14:textId="77777777" w:rsidTr="003C4339">
        <w:tc>
          <w:tcPr>
            <w:tcW w:w="1325" w:type="dxa"/>
            <w:shd w:val="clear" w:color="auto" w:fill="auto"/>
          </w:tcPr>
          <w:p w14:paraId="3CD7E306"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793</w:t>
            </w:r>
            <w:r w:rsidRPr="00A705A5">
              <w:rPr>
                <w:rFonts w:ascii="Traditional Arabic"/>
                <w:szCs w:val="26"/>
                <w:rtl/>
              </w:rPr>
              <w:t>/</w:t>
            </w:r>
            <w:r w:rsidRPr="00A705A5">
              <w:rPr>
                <w:rFonts w:ascii="Traditional Arabic"/>
                <w:szCs w:val="20"/>
                <w:rtl/>
              </w:rPr>
              <w:t>2019</w:t>
            </w:r>
          </w:p>
        </w:tc>
        <w:tc>
          <w:tcPr>
            <w:tcW w:w="2072" w:type="dxa"/>
            <w:shd w:val="clear" w:color="auto" w:fill="auto"/>
          </w:tcPr>
          <w:p w14:paraId="412D2257"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صبا المهداوي</w:t>
            </w:r>
          </w:p>
        </w:tc>
        <w:tc>
          <w:tcPr>
            <w:tcW w:w="3973" w:type="dxa"/>
            <w:shd w:val="clear" w:color="auto" w:fill="auto"/>
          </w:tcPr>
          <w:p w14:paraId="7B8B302E"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أُغلق بعد الإفراج عن الشخص</w:t>
            </w:r>
          </w:p>
        </w:tc>
      </w:tr>
      <w:tr w:rsidR="000A03B8" w:rsidRPr="00A705A5" w14:paraId="28779D4F" w14:textId="77777777" w:rsidTr="003C4339">
        <w:tc>
          <w:tcPr>
            <w:tcW w:w="1325" w:type="dxa"/>
            <w:shd w:val="clear" w:color="auto" w:fill="auto"/>
          </w:tcPr>
          <w:p w14:paraId="75E3BECE"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794</w:t>
            </w:r>
            <w:r w:rsidRPr="00A705A5">
              <w:rPr>
                <w:rFonts w:ascii="Traditional Arabic"/>
                <w:szCs w:val="26"/>
                <w:rtl/>
              </w:rPr>
              <w:t>/</w:t>
            </w:r>
            <w:r w:rsidRPr="00A705A5">
              <w:rPr>
                <w:rFonts w:ascii="Traditional Arabic"/>
                <w:szCs w:val="20"/>
                <w:rtl/>
              </w:rPr>
              <w:t>2019</w:t>
            </w:r>
          </w:p>
        </w:tc>
        <w:tc>
          <w:tcPr>
            <w:tcW w:w="2072" w:type="dxa"/>
            <w:shd w:val="clear" w:color="auto" w:fill="auto"/>
          </w:tcPr>
          <w:p w14:paraId="3D1BEACF"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أحمد بوكلي</w:t>
            </w:r>
          </w:p>
        </w:tc>
        <w:tc>
          <w:tcPr>
            <w:tcW w:w="3973" w:type="dxa"/>
            <w:shd w:val="clear" w:color="auto" w:fill="auto"/>
          </w:tcPr>
          <w:p w14:paraId="730BD858"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 xml:space="preserve">أُغلق بعد الإفراج عن الشخص </w:t>
            </w:r>
          </w:p>
        </w:tc>
      </w:tr>
      <w:tr w:rsidR="000A03B8" w:rsidRPr="00A705A5" w14:paraId="4FACF285" w14:textId="77777777" w:rsidTr="003C4339">
        <w:tc>
          <w:tcPr>
            <w:tcW w:w="1325" w:type="dxa"/>
            <w:shd w:val="clear" w:color="auto" w:fill="auto"/>
          </w:tcPr>
          <w:p w14:paraId="0FDAA490"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797</w:t>
            </w:r>
            <w:r w:rsidRPr="00A705A5">
              <w:rPr>
                <w:szCs w:val="26"/>
                <w:rtl/>
                <w:lang w:val="ar-SA" w:eastAsia="zh-TW"/>
              </w:rPr>
              <w:t>/</w:t>
            </w:r>
            <w:r w:rsidRPr="00A705A5">
              <w:rPr>
                <w:szCs w:val="20"/>
                <w:rtl/>
                <w:lang w:val="ar-SA" w:eastAsia="zh-TW"/>
              </w:rPr>
              <w:t>2019</w:t>
            </w:r>
          </w:p>
        </w:tc>
        <w:tc>
          <w:tcPr>
            <w:tcW w:w="2072" w:type="dxa"/>
            <w:shd w:val="clear" w:color="auto" w:fill="auto"/>
          </w:tcPr>
          <w:p w14:paraId="51E7D904"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عمر العقيلي</w:t>
            </w:r>
          </w:p>
        </w:tc>
        <w:tc>
          <w:tcPr>
            <w:tcW w:w="3973" w:type="dxa"/>
            <w:shd w:val="clear" w:color="auto" w:fill="auto"/>
          </w:tcPr>
          <w:p w14:paraId="467D4AD7"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أُغلق بعد الإفراج عن الشخص</w:t>
            </w:r>
          </w:p>
        </w:tc>
      </w:tr>
      <w:tr w:rsidR="000A03B8" w:rsidRPr="00A705A5" w14:paraId="6BFDD941" w14:textId="77777777" w:rsidTr="003C4339">
        <w:tc>
          <w:tcPr>
            <w:tcW w:w="1325" w:type="dxa"/>
            <w:shd w:val="clear" w:color="auto" w:fill="auto"/>
          </w:tcPr>
          <w:p w14:paraId="38E0BF0B"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798</w:t>
            </w:r>
            <w:r w:rsidRPr="00A705A5">
              <w:rPr>
                <w:szCs w:val="26"/>
                <w:rtl/>
                <w:lang w:val="ar-SA" w:eastAsia="zh-TW"/>
              </w:rPr>
              <w:t>/</w:t>
            </w:r>
            <w:r w:rsidRPr="00A705A5">
              <w:rPr>
                <w:szCs w:val="20"/>
                <w:rtl/>
                <w:lang w:val="ar-SA" w:eastAsia="zh-TW"/>
              </w:rPr>
              <w:t>2019</w:t>
            </w:r>
          </w:p>
        </w:tc>
        <w:tc>
          <w:tcPr>
            <w:tcW w:w="2072" w:type="dxa"/>
            <w:shd w:val="clear" w:color="auto" w:fill="auto"/>
          </w:tcPr>
          <w:p w14:paraId="210DE3F6"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أحمد الفلاحي</w:t>
            </w:r>
          </w:p>
        </w:tc>
        <w:tc>
          <w:tcPr>
            <w:tcW w:w="3973" w:type="dxa"/>
            <w:shd w:val="clear" w:color="auto" w:fill="auto"/>
          </w:tcPr>
          <w:p w14:paraId="2CEF1B7A"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3427BB81" w14:textId="77777777" w:rsidTr="003C4339">
        <w:tc>
          <w:tcPr>
            <w:tcW w:w="1325" w:type="dxa"/>
            <w:shd w:val="clear" w:color="auto" w:fill="auto"/>
          </w:tcPr>
          <w:p w14:paraId="04848CD3"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800</w:t>
            </w:r>
            <w:r w:rsidRPr="00A705A5">
              <w:rPr>
                <w:szCs w:val="26"/>
                <w:rtl/>
                <w:lang w:val="ar-SA" w:eastAsia="zh-TW"/>
              </w:rPr>
              <w:t>/</w:t>
            </w:r>
            <w:r w:rsidRPr="00A705A5">
              <w:rPr>
                <w:szCs w:val="20"/>
                <w:rtl/>
                <w:lang w:val="ar-SA" w:eastAsia="zh-TW"/>
              </w:rPr>
              <w:t>2019</w:t>
            </w:r>
          </w:p>
        </w:tc>
        <w:tc>
          <w:tcPr>
            <w:tcW w:w="2072" w:type="dxa"/>
            <w:shd w:val="clear" w:color="auto" w:fill="auto"/>
          </w:tcPr>
          <w:p w14:paraId="6C1B3804"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علي السوداني</w:t>
            </w:r>
          </w:p>
        </w:tc>
        <w:tc>
          <w:tcPr>
            <w:tcW w:w="3973" w:type="dxa"/>
            <w:shd w:val="clear" w:color="auto" w:fill="auto"/>
          </w:tcPr>
          <w:p w14:paraId="6B40E896"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1A612C8B" w14:textId="77777777" w:rsidTr="003C4339">
        <w:tc>
          <w:tcPr>
            <w:tcW w:w="1325" w:type="dxa"/>
            <w:shd w:val="clear" w:color="auto" w:fill="auto"/>
          </w:tcPr>
          <w:p w14:paraId="735104D3"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801</w:t>
            </w:r>
            <w:r w:rsidRPr="00A705A5">
              <w:rPr>
                <w:szCs w:val="26"/>
                <w:rtl/>
                <w:lang w:val="ar-SA" w:eastAsia="zh-TW"/>
              </w:rPr>
              <w:t>/</w:t>
            </w:r>
            <w:r w:rsidRPr="00A705A5">
              <w:rPr>
                <w:szCs w:val="20"/>
                <w:rtl/>
                <w:lang w:val="ar-SA" w:eastAsia="zh-TW"/>
              </w:rPr>
              <w:t>2019</w:t>
            </w:r>
          </w:p>
        </w:tc>
        <w:tc>
          <w:tcPr>
            <w:tcW w:w="2072" w:type="dxa"/>
            <w:shd w:val="clear" w:color="auto" w:fill="auto"/>
          </w:tcPr>
          <w:p w14:paraId="0632FF01"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شاكر الخفاجي</w:t>
            </w:r>
          </w:p>
        </w:tc>
        <w:tc>
          <w:tcPr>
            <w:tcW w:w="3973" w:type="dxa"/>
            <w:shd w:val="clear" w:color="auto" w:fill="auto"/>
          </w:tcPr>
          <w:p w14:paraId="6D6D6FA6"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أُغلق بعد الإفراج عن الشخص</w:t>
            </w:r>
          </w:p>
        </w:tc>
      </w:tr>
      <w:tr w:rsidR="000A03B8" w:rsidRPr="00A705A5" w14:paraId="44D30CEB" w14:textId="77777777" w:rsidTr="003C4339">
        <w:tc>
          <w:tcPr>
            <w:tcW w:w="1325" w:type="dxa"/>
            <w:shd w:val="clear" w:color="auto" w:fill="auto"/>
          </w:tcPr>
          <w:p w14:paraId="1CF68014"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802</w:t>
            </w:r>
            <w:r w:rsidRPr="00A705A5">
              <w:rPr>
                <w:szCs w:val="26"/>
                <w:rtl/>
                <w:lang w:val="ar-SA" w:eastAsia="zh-TW"/>
              </w:rPr>
              <w:t>/</w:t>
            </w:r>
            <w:r w:rsidRPr="00A705A5">
              <w:rPr>
                <w:szCs w:val="20"/>
                <w:rtl/>
                <w:lang w:val="ar-SA" w:eastAsia="zh-TW"/>
              </w:rPr>
              <w:t>2019</w:t>
            </w:r>
          </w:p>
        </w:tc>
        <w:tc>
          <w:tcPr>
            <w:tcW w:w="2072" w:type="dxa"/>
            <w:shd w:val="clear" w:color="auto" w:fill="auto"/>
          </w:tcPr>
          <w:p w14:paraId="379C3FDB"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زيد البهادلي</w:t>
            </w:r>
          </w:p>
        </w:tc>
        <w:tc>
          <w:tcPr>
            <w:tcW w:w="3973" w:type="dxa"/>
            <w:shd w:val="clear" w:color="auto" w:fill="auto"/>
          </w:tcPr>
          <w:p w14:paraId="004A7E11"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 xml:space="preserve">أُغلق بعد الإفراج عن الشخص </w:t>
            </w:r>
          </w:p>
        </w:tc>
      </w:tr>
      <w:tr w:rsidR="000A03B8" w:rsidRPr="00A705A5" w14:paraId="2008E2A8" w14:textId="77777777" w:rsidTr="003C4339">
        <w:tc>
          <w:tcPr>
            <w:tcW w:w="1325" w:type="dxa"/>
            <w:tcBorders>
              <w:bottom w:val="nil"/>
            </w:tcBorders>
            <w:shd w:val="clear" w:color="auto" w:fill="auto"/>
          </w:tcPr>
          <w:p w14:paraId="6FA37CCB"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lastRenderedPageBreak/>
              <w:t>803</w:t>
            </w:r>
            <w:r w:rsidRPr="00A705A5">
              <w:rPr>
                <w:szCs w:val="26"/>
                <w:rtl/>
                <w:lang w:val="ar-SA" w:eastAsia="zh-TW"/>
              </w:rPr>
              <w:t>/</w:t>
            </w:r>
            <w:r w:rsidRPr="00A705A5">
              <w:rPr>
                <w:szCs w:val="20"/>
                <w:rtl/>
                <w:lang w:val="ar-SA" w:eastAsia="zh-TW"/>
              </w:rPr>
              <w:t>2019</w:t>
            </w:r>
          </w:p>
        </w:tc>
        <w:tc>
          <w:tcPr>
            <w:tcW w:w="2072" w:type="dxa"/>
            <w:tcBorders>
              <w:bottom w:val="nil"/>
            </w:tcBorders>
            <w:shd w:val="clear" w:color="auto" w:fill="auto"/>
          </w:tcPr>
          <w:p w14:paraId="6DF775C6"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خليل الجميلي</w:t>
            </w:r>
          </w:p>
        </w:tc>
        <w:tc>
          <w:tcPr>
            <w:tcW w:w="3973" w:type="dxa"/>
            <w:tcBorders>
              <w:bottom w:val="nil"/>
            </w:tcBorders>
            <w:shd w:val="clear" w:color="auto" w:fill="auto"/>
          </w:tcPr>
          <w:p w14:paraId="496E1AD9"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15C5C7AE" w14:textId="77777777" w:rsidTr="003C4339">
        <w:tc>
          <w:tcPr>
            <w:tcW w:w="1325" w:type="dxa"/>
            <w:tcBorders>
              <w:top w:val="nil"/>
              <w:bottom w:val="nil"/>
            </w:tcBorders>
            <w:shd w:val="clear" w:color="auto" w:fill="auto"/>
          </w:tcPr>
          <w:p w14:paraId="0FEC091F"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804</w:t>
            </w:r>
            <w:r w:rsidRPr="00A705A5">
              <w:rPr>
                <w:rFonts w:ascii="Traditional Arabic"/>
                <w:szCs w:val="26"/>
                <w:rtl/>
              </w:rPr>
              <w:t>/</w:t>
            </w:r>
            <w:r w:rsidRPr="00A705A5">
              <w:rPr>
                <w:rFonts w:ascii="Traditional Arabic"/>
                <w:szCs w:val="20"/>
                <w:rtl/>
              </w:rPr>
              <w:t>2019</w:t>
            </w:r>
          </w:p>
        </w:tc>
        <w:tc>
          <w:tcPr>
            <w:tcW w:w="2072" w:type="dxa"/>
            <w:tcBorders>
              <w:top w:val="nil"/>
              <w:bottom w:val="nil"/>
            </w:tcBorders>
            <w:shd w:val="clear" w:color="auto" w:fill="auto"/>
          </w:tcPr>
          <w:p w14:paraId="6D26A5AD"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أسماء العزاوي</w:t>
            </w:r>
          </w:p>
        </w:tc>
        <w:tc>
          <w:tcPr>
            <w:tcW w:w="3973" w:type="dxa"/>
            <w:tcBorders>
              <w:top w:val="nil"/>
              <w:bottom w:val="nil"/>
            </w:tcBorders>
            <w:shd w:val="clear" w:color="auto" w:fill="auto"/>
          </w:tcPr>
          <w:p w14:paraId="7EAEDF9F"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 xml:space="preserve">أُغلق بعد الإفراج عن الشخص </w:t>
            </w:r>
          </w:p>
        </w:tc>
      </w:tr>
      <w:tr w:rsidR="000A03B8" w:rsidRPr="00A705A5" w14:paraId="3DD6E047" w14:textId="77777777" w:rsidTr="003C4339">
        <w:tc>
          <w:tcPr>
            <w:tcW w:w="1325" w:type="dxa"/>
            <w:tcBorders>
              <w:top w:val="nil"/>
            </w:tcBorders>
            <w:shd w:val="clear" w:color="auto" w:fill="auto"/>
          </w:tcPr>
          <w:p w14:paraId="5F8A2DDC"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805</w:t>
            </w:r>
            <w:r w:rsidRPr="00A705A5">
              <w:rPr>
                <w:szCs w:val="26"/>
                <w:rtl/>
                <w:lang w:val="ar-SA" w:eastAsia="zh-TW"/>
              </w:rPr>
              <w:t>/</w:t>
            </w:r>
            <w:r w:rsidRPr="00A705A5">
              <w:rPr>
                <w:szCs w:val="20"/>
                <w:rtl/>
                <w:lang w:val="ar-SA" w:eastAsia="zh-TW"/>
              </w:rPr>
              <w:t>2019</w:t>
            </w:r>
          </w:p>
        </w:tc>
        <w:tc>
          <w:tcPr>
            <w:tcW w:w="2072" w:type="dxa"/>
            <w:tcBorders>
              <w:top w:val="nil"/>
            </w:tcBorders>
            <w:shd w:val="clear" w:color="auto" w:fill="auto"/>
          </w:tcPr>
          <w:p w14:paraId="530E2DFB"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قطيبة السوداني</w:t>
            </w:r>
          </w:p>
        </w:tc>
        <w:tc>
          <w:tcPr>
            <w:tcW w:w="3973" w:type="dxa"/>
            <w:tcBorders>
              <w:top w:val="nil"/>
            </w:tcBorders>
            <w:shd w:val="clear" w:color="auto" w:fill="auto"/>
          </w:tcPr>
          <w:p w14:paraId="6206E6F3"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12C4ABAD" w14:textId="77777777" w:rsidTr="003C4339">
        <w:tc>
          <w:tcPr>
            <w:tcW w:w="1325" w:type="dxa"/>
            <w:shd w:val="clear" w:color="auto" w:fill="auto"/>
          </w:tcPr>
          <w:p w14:paraId="7766E220"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810</w:t>
            </w:r>
            <w:r w:rsidRPr="00A705A5">
              <w:rPr>
                <w:rFonts w:ascii="Traditional Arabic"/>
                <w:szCs w:val="26"/>
                <w:rtl/>
              </w:rPr>
              <w:t>/</w:t>
            </w:r>
            <w:r w:rsidRPr="00A705A5">
              <w:rPr>
                <w:rFonts w:ascii="Traditional Arabic"/>
                <w:szCs w:val="20"/>
                <w:rtl/>
              </w:rPr>
              <w:t>2020</w:t>
            </w:r>
          </w:p>
        </w:tc>
        <w:tc>
          <w:tcPr>
            <w:tcW w:w="2072" w:type="dxa"/>
            <w:shd w:val="clear" w:color="auto" w:fill="auto"/>
          </w:tcPr>
          <w:p w14:paraId="40FDD9C4"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أحمد الزبيدي</w:t>
            </w:r>
          </w:p>
        </w:tc>
        <w:tc>
          <w:tcPr>
            <w:tcW w:w="3973" w:type="dxa"/>
            <w:shd w:val="clear" w:color="auto" w:fill="auto"/>
          </w:tcPr>
          <w:p w14:paraId="6597FCA8" w14:textId="7788E3B4" w:rsidR="000A03B8" w:rsidRPr="00A705A5" w:rsidRDefault="00A2287B" w:rsidP="007F60B8">
            <w:pPr>
              <w:pStyle w:val="SingleTxtG"/>
              <w:bidi/>
              <w:spacing w:before="40" w:line="220" w:lineRule="exact"/>
              <w:ind w:left="57" w:right="113"/>
              <w:jc w:val="left"/>
              <w:textDirection w:val="tbRlV"/>
              <w:rPr>
                <w:szCs w:val="26"/>
                <w:rtl/>
                <w:lang w:val="en-US" w:eastAsia="zh-TW" w:bidi="en-GB"/>
              </w:rPr>
            </w:pPr>
            <w:dir w:val="rtl">
              <w:r w:rsidR="000A03B8" w:rsidRPr="00A705A5">
                <w:rPr>
                  <w:szCs w:val="26"/>
                  <w:rtl/>
                </w:rPr>
                <w:t>لم ترد تعليقات من مقدم البلاغ على رد الدولة الطرف</w:t>
              </w:r>
              <w:r w:rsidRPr="00A705A5">
                <w:t>‬</w:t>
              </w:r>
            </w:dir>
          </w:p>
        </w:tc>
      </w:tr>
      <w:tr w:rsidR="000A03B8" w:rsidRPr="00A705A5" w14:paraId="4F3E66E5" w14:textId="77777777" w:rsidTr="003C4339">
        <w:tc>
          <w:tcPr>
            <w:tcW w:w="1325" w:type="dxa"/>
            <w:shd w:val="clear" w:color="auto" w:fill="auto"/>
          </w:tcPr>
          <w:p w14:paraId="1DFABBE1"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811</w:t>
            </w:r>
            <w:r w:rsidRPr="00A705A5">
              <w:rPr>
                <w:rFonts w:ascii="Traditional Arabic"/>
                <w:szCs w:val="26"/>
                <w:rtl/>
              </w:rPr>
              <w:t>/</w:t>
            </w:r>
            <w:r w:rsidRPr="00A705A5">
              <w:rPr>
                <w:rFonts w:ascii="Traditional Arabic"/>
                <w:szCs w:val="20"/>
                <w:rtl/>
              </w:rPr>
              <w:t>2020</w:t>
            </w:r>
          </w:p>
        </w:tc>
        <w:tc>
          <w:tcPr>
            <w:tcW w:w="2072" w:type="dxa"/>
            <w:shd w:val="clear" w:color="auto" w:fill="auto"/>
          </w:tcPr>
          <w:p w14:paraId="37066AC6"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إحسان الشيخلي</w:t>
            </w:r>
          </w:p>
        </w:tc>
        <w:tc>
          <w:tcPr>
            <w:tcW w:w="3973" w:type="dxa"/>
            <w:shd w:val="clear" w:color="auto" w:fill="auto"/>
          </w:tcPr>
          <w:p w14:paraId="0C3B0513"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283B69C1" w14:textId="77777777" w:rsidTr="003C4339">
        <w:tc>
          <w:tcPr>
            <w:tcW w:w="1325" w:type="dxa"/>
            <w:shd w:val="clear" w:color="auto" w:fill="auto"/>
          </w:tcPr>
          <w:p w14:paraId="27FE337D"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812</w:t>
            </w:r>
            <w:r w:rsidRPr="00A705A5">
              <w:rPr>
                <w:rFonts w:ascii="Traditional Arabic"/>
                <w:szCs w:val="26"/>
                <w:rtl/>
              </w:rPr>
              <w:t>/</w:t>
            </w:r>
            <w:r w:rsidRPr="00A705A5">
              <w:rPr>
                <w:rFonts w:ascii="Traditional Arabic"/>
                <w:szCs w:val="20"/>
                <w:rtl/>
              </w:rPr>
              <w:t>2020</w:t>
            </w:r>
          </w:p>
        </w:tc>
        <w:tc>
          <w:tcPr>
            <w:tcW w:w="2072" w:type="dxa"/>
            <w:shd w:val="clear" w:color="auto" w:fill="auto"/>
          </w:tcPr>
          <w:p w14:paraId="5E0A0326"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ميثم العقابي</w:t>
            </w:r>
          </w:p>
        </w:tc>
        <w:tc>
          <w:tcPr>
            <w:tcW w:w="3973" w:type="dxa"/>
            <w:shd w:val="clear" w:color="auto" w:fill="auto"/>
          </w:tcPr>
          <w:p w14:paraId="4127A03F"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2EDC56D4" w14:textId="77777777" w:rsidTr="003C4339">
        <w:tc>
          <w:tcPr>
            <w:tcW w:w="1325" w:type="dxa"/>
            <w:shd w:val="clear" w:color="auto" w:fill="auto"/>
          </w:tcPr>
          <w:p w14:paraId="0A54D4ED"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813</w:t>
            </w:r>
            <w:r w:rsidRPr="00A705A5">
              <w:rPr>
                <w:rFonts w:ascii="Traditional Arabic"/>
                <w:szCs w:val="26"/>
                <w:rtl/>
              </w:rPr>
              <w:t>/</w:t>
            </w:r>
            <w:r w:rsidRPr="00A705A5">
              <w:rPr>
                <w:rFonts w:ascii="Traditional Arabic"/>
                <w:szCs w:val="20"/>
                <w:rtl/>
              </w:rPr>
              <w:t>2020</w:t>
            </w:r>
          </w:p>
        </w:tc>
        <w:tc>
          <w:tcPr>
            <w:tcW w:w="2072" w:type="dxa"/>
            <w:shd w:val="clear" w:color="auto" w:fill="auto"/>
          </w:tcPr>
          <w:p w14:paraId="73794A55"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أسامة التميمي</w:t>
            </w:r>
          </w:p>
        </w:tc>
        <w:tc>
          <w:tcPr>
            <w:tcW w:w="3973" w:type="dxa"/>
            <w:shd w:val="clear" w:color="auto" w:fill="auto"/>
          </w:tcPr>
          <w:p w14:paraId="0F258E9A"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4808FF66" w14:textId="77777777" w:rsidTr="003C4339">
        <w:tc>
          <w:tcPr>
            <w:tcW w:w="1325" w:type="dxa"/>
            <w:shd w:val="clear" w:color="auto" w:fill="auto"/>
          </w:tcPr>
          <w:p w14:paraId="55FBD549"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815</w:t>
            </w:r>
            <w:r w:rsidRPr="00A705A5">
              <w:rPr>
                <w:rFonts w:ascii="Traditional Arabic"/>
                <w:szCs w:val="26"/>
                <w:rtl/>
              </w:rPr>
              <w:t>/</w:t>
            </w:r>
            <w:r w:rsidRPr="00A705A5">
              <w:rPr>
                <w:rFonts w:ascii="Traditional Arabic"/>
                <w:szCs w:val="20"/>
                <w:rtl/>
              </w:rPr>
              <w:t>2020</w:t>
            </w:r>
          </w:p>
        </w:tc>
        <w:tc>
          <w:tcPr>
            <w:tcW w:w="2072" w:type="dxa"/>
            <w:shd w:val="clear" w:color="auto" w:fill="auto"/>
          </w:tcPr>
          <w:p w14:paraId="39323C4B"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أحمد الدراجي</w:t>
            </w:r>
          </w:p>
        </w:tc>
        <w:tc>
          <w:tcPr>
            <w:tcW w:w="3973" w:type="dxa"/>
            <w:shd w:val="clear" w:color="auto" w:fill="auto"/>
          </w:tcPr>
          <w:p w14:paraId="573FDCDD"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أُغلق بعد الإفراج عن الشخص</w:t>
            </w:r>
          </w:p>
        </w:tc>
      </w:tr>
      <w:tr w:rsidR="000A03B8" w:rsidRPr="00A705A5" w14:paraId="0411A724" w14:textId="77777777" w:rsidTr="003C4339">
        <w:tc>
          <w:tcPr>
            <w:tcW w:w="1325" w:type="dxa"/>
            <w:shd w:val="clear" w:color="auto" w:fill="auto"/>
          </w:tcPr>
          <w:p w14:paraId="1C3AC23A"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816</w:t>
            </w:r>
            <w:r w:rsidRPr="00A705A5">
              <w:rPr>
                <w:szCs w:val="26"/>
                <w:rtl/>
                <w:lang w:val="ar-SA" w:eastAsia="zh-TW"/>
              </w:rPr>
              <w:t>/</w:t>
            </w:r>
            <w:r w:rsidRPr="00A705A5">
              <w:rPr>
                <w:szCs w:val="20"/>
                <w:rtl/>
                <w:lang w:val="ar-SA" w:eastAsia="zh-TW"/>
              </w:rPr>
              <w:t>2020</w:t>
            </w:r>
          </w:p>
        </w:tc>
        <w:tc>
          <w:tcPr>
            <w:tcW w:w="2072" w:type="dxa"/>
            <w:shd w:val="clear" w:color="auto" w:fill="auto"/>
          </w:tcPr>
          <w:p w14:paraId="1539DA34"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محمود الشويلي</w:t>
            </w:r>
          </w:p>
        </w:tc>
        <w:tc>
          <w:tcPr>
            <w:tcW w:w="3973" w:type="dxa"/>
            <w:shd w:val="clear" w:color="auto" w:fill="auto"/>
          </w:tcPr>
          <w:p w14:paraId="6774BA08"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0F53FAF6" w14:textId="77777777" w:rsidTr="003C4339">
        <w:tc>
          <w:tcPr>
            <w:tcW w:w="1325" w:type="dxa"/>
            <w:shd w:val="clear" w:color="auto" w:fill="auto"/>
          </w:tcPr>
          <w:p w14:paraId="3445C893"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817</w:t>
            </w:r>
            <w:r w:rsidRPr="00A705A5">
              <w:rPr>
                <w:szCs w:val="26"/>
                <w:rtl/>
                <w:lang w:val="ar-SA" w:eastAsia="zh-TW"/>
              </w:rPr>
              <w:t>/</w:t>
            </w:r>
            <w:r w:rsidRPr="00A705A5">
              <w:rPr>
                <w:szCs w:val="20"/>
                <w:rtl/>
                <w:lang w:val="ar-SA" w:eastAsia="zh-TW"/>
              </w:rPr>
              <w:t>2020</w:t>
            </w:r>
          </w:p>
        </w:tc>
        <w:tc>
          <w:tcPr>
            <w:tcW w:w="2072" w:type="dxa"/>
            <w:shd w:val="clear" w:color="auto" w:fill="auto"/>
          </w:tcPr>
          <w:p w14:paraId="742C8797"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خالد العوضي</w:t>
            </w:r>
          </w:p>
        </w:tc>
        <w:tc>
          <w:tcPr>
            <w:tcW w:w="3973" w:type="dxa"/>
            <w:shd w:val="clear" w:color="auto" w:fill="auto"/>
          </w:tcPr>
          <w:p w14:paraId="6B5AA40A"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أُغلق بعد الإفراج عن الشخص</w:t>
            </w:r>
          </w:p>
        </w:tc>
      </w:tr>
      <w:tr w:rsidR="000A03B8" w:rsidRPr="00A705A5" w14:paraId="58689C1B" w14:textId="77777777" w:rsidTr="003C4339">
        <w:tc>
          <w:tcPr>
            <w:tcW w:w="1325" w:type="dxa"/>
            <w:shd w:val="clear" w:color="auto" w:fill="auto"/>
          </w:tcPr>
          <w:p w14:paraId="23CF756D"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820</w:t>
            </w:r>
            <w:r w:rsidRPr="00A705A5">
              <w:rPr>
                <w:szCs w:val="26"/>
                <w:rtl/>
                <w:lang w:val="ar-SA" w:eastAsia="zh-TW"/>
              </w:rPr>
              <w:t>/</w:t>
            </w:r>
            <w:r w:rsidRPr="00A705A5">
              <w:rPr>
                <w:szCs w:val="20"/>
                <w:rtl/>
                <w:lang w:val="ar-SA" w:eastAsia="zh-TW"/>
              </w:rPr>
              <w:t>2020</w:t>
            </w:r>
          </w:p>
        </w:tc>
        <w:tc>
          <w:tcPr>
            <w:tcW w:w="2072" w:type="dxa"/>
            <w:shd w:val="clear" w:color="auto" w:fill="auto"/>
          </w:tcPr>
          <w:p w14:paraId="68D8AA11"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ماجد الدليمي</w:t>
            </w:r>
          </w:p>
        </w:tc>
        <w:tc>
          <w:tcPr>
            <w:tcW w:w="3973" w:type="dxa"/>
            <w:shd w:val="clear" w:color="auto" w:fill="auto"/>
          </w:tcPr>
          <w:p w14:paraId="5B01355A"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04A37622" w14:textId="77777777" w:rsidTr="003C4339">
        <w:tc>
          <w:tcPr>
            <w:tcW w:w="1325" w:type="dxa"/>
            <w:shd w:val="clear" w:color="auto" w:fill="auto"/>
          </w:tcPr>
          <w:p w14:paraId="40398C8E"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877</w:t>
            </w:r>
            <w:r w:rsidRPr="00A705A5">
              <w:rPr>
                <w:szCs w:val="26"/>
                <w:rtl/>
                <w:lang w:val="ar-SA" w:eastAsia="zh-TW"/>
              </w:rPr>
              <w:t>/</w:t>
            </w:r>
            <w:r w:rsidRPr="00A705A5">
              <w:rPr>
                <w:szCs w:val="20"/>
                <w:rtl/>
                <w:lang w:val="ar-SA" w:eastAsia="zh-TW"/>
              </w:rPr>
              <w:t>2020</w:t>
            </w:r>
          </w:p>
        </w:tc>
        <w:tc>
          <w:tcPr>
            <w:tcW w:w="2072" w:type="dxa"/>
            <w:shd w:val="clear" w:color="auto" w:fill="auto"/>
          </w:tcPr>
          <w:p w14:paraId="7AD1E7C4"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سرمد الزبيدي</w:t>
            </w:r>
          </w:p>
        </w:tc>
        <w:tc>
          <w:tcPr>
            <w:tcW w:w="3973" w:type="dxa"/>
            <w:shd w:val="clear" w:color="auto" w:fill="auto"/>
          </w:tcPr>
          <w:p w14:paraId="61B555A5"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أُغلق بعد الإفراج عن الشخص</w:t>
            </w:r>
          </w:p>
        </w:tc>
      </w:tr>
      <w:tr w:rsidR="000A03B8" w:rsidRPr="00A705A5" w14:paraId="621242C5" w14:textId="77777777" w:rsidTr="003C4339">
        <w:tc>
          <w:tcPr>
            <w:tcW w:w="1325" w:type="dxa"/>
            <w:shd w:val="clear" w:color="auto" w:fill="auto"/>
          </w:tcPr>
          <w:p w14:paraId="0DF7AC01"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882</w:t>
            </w:r>
            <w:r w:rsidRPr="00A705A5">
              <w:rPr>
                <w:szCs w:val="26"/>
                <w:rtl/>
                <w:lang w:val="ar-SA" w:eastAsia="zh-TW"/>
              </w:rPr>
              <w:t>/</w:t>
            </w:r>
            <w:r w:rsidRPr="00A705A5">
              <w:rPr>
                <w:szCs w:val="20"/>
                <w:rtl/>
                <w:lang w:val="ar-SA" w:eastAsia="zh-TW"/>
              </w:rPr>
              <w:t>2020</w:t>
            </w:r>
          </w:p>
        </w:tc>
        <w:tc>
          <w:tcPr>
            <w:tcW w:w="2072" w:type="dxa"/>
            <w:shd w:val="clear" w:color="auto" w:fill="auto"/>
          </w:tcPr>
          <w:p w14:paraId="718E57EF"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عبد المسيح سركيس</w:t>
            </w:r>
          </w:p>
        </w:tc>
        <w:tc>
          <w:tcPr>
            <w:tcW w:w="3973" w:type="dxa"/>
            <w:shd w:val="clear" w:color="auto" w:fill="auto"/>
          </w:tcPr>
          <w:p w14:paraId="7CD06727"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5C03DD52" w14:textId="77777777" w:rsidTr="003C4339">
        <w:tc>
          <w:tcPr>
            <w:tcW w:w="1325" w:type="dxa"/>
            <w:shd w:val="clear" w:color="auto" w:fill="auto"/>
          </w:tcPr>
          <w:p w14:paraId="7198664A"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883</w:t>
            </w:r>
            <w:r w:rsidRPr="00A705A5">
              <w:rPr>
                <w:szCs w:val="26"/>
                <w:rtl/>
                <w:lang w:val="ar-SA" w:eastAsia="zh-TW"/>
              </w:rPr>
              <w:t>/</w:t>
            </w:r>
            <w:r w:rsidRPr="00A705A5">
              <w:rPr>
                <w:szCs w:val="20"/>
                <w:rtl/>
                <w:lang w:val="ar-SA" w:eastAsia="zh-TW"/>
              </w:rPr>
              <w:t>2020</w:t>
            </w:r>
          </w:p>
        </w:tc>
        <w:tc>
          <w:tcPr>
            <w:tcW w:w="2072" w:type="dxa"/>
            <w:shd w:val="clear" w:color="auto" w:fill="auto"/>
          </w:tcPr>
          <w:p w14:paraId="7E992635"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أحمد الزبيدي</w:t>
            </w:r>
          </w:p>
        </w:tc>
        <w:tc>
          <w:tcPr>
            <w:tcW w:w="3973" w:type="dxa"/>
            <w:shd w:val="clear" w:color="auto" w:fill="auto"/>
          </w:tcPr>
          <w:p w14:paraId="545BACE0"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أُغلق بعد الإفراج عن الشخص</w:t>
            </w:r>
          </w:p>
        </w:tc>
      </w:tr>
      <w:tr w:rsidR="000A03B8" w:rsidRPr="00A705A5" w14:paraId="10FC26E5" w14:textId="77777777" w:rsidTr="003C4339">
        <w:tc>
          <w:tcPr>
            <w:tcW w:w="1325" w:type="dxa"/>
            <w:shd w:val="clear" w:color="auto" w:fill="auto"/>
          </w:tcPr>
          <w:p w14:paraId="1B4E8BBA"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0"/>
                <w:rtl/>
                <w:lang w:val="ar-SA" w:eastAsia="zh-TW"/>
              </w:rPr>
              <w:t>884</w:t>
            </w:r>
            <w:r w:rsidRPr="00A705A5">
              <w:rPr>
                <w:szCs w:val="26"/>
                <w:rtl/>
                <w:lang w:val="ar-SA" w:eastAsia="zh-TW"/>
              </w:rPr>
              <w:t>/</w:t>
            </w:r>
            <w:r w:rsidRPr="00A705A5">
              <w:rPr>
                <w:szCs w:val="20"/>
                <w:rtl/>
                <w:lang w:val="ar-SA" w:eastAsia="zh-TW"/>
              </w:rPr>
              <w:t>2020</w:t>
            </w:r>
          </w:p>
        </w:tc>
        <w:tc>
          <w:tcPr>
            <w:tcW w:w="2072" w:type="dxa"/>
            <w:shd w:val="clear" w:color="auto" w:fill="auto"/>
          </w:tcPr>
          <w:p w14:paraId="2F53187E"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ماجد الدليمي</w:t>
            </w:r>
          </w:p>
        </w:tc>
        <w:tc>
          <w:tcPr>
            <w:tcW w:w="3973" w:type="dxa"/>
            <w:shd w:val="clear" w:color="auto" w:fill="auto"/>
          </w:tcPr>
          <w:p w14:paraId="21DF5CE9"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12CE18B4" w14:textId="77777777" w:rsidTr="003C4339">
        <w:tc>
          <w:tcPr>
            <w:tcW w:w="1325" w:type="dxa"/>
            <w:shd w:val="clear" w:color="auto" w:fill="auto"/>
          </w:tcPr>
          <w:p w14:paraId="346CE746"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885</w:t>
            </w:r>
            <w:r w:rsidRPr="00A705A5">
              <w:rPr>
                <w:rFonts w:ascii="Traditional Arabic"/>
                <w:szCs w:val="26"/>
                <w:rtl/>
              </w:rPr>
              <w:t>/</w:t>
            </w:r>
            <w:r w:rsidRPr="00A705A5">
              <w:rPr>
                <w:rFonts w:ascii="Traditional Arabic"/>
                <w:szCs w:val="20"/>
                <w:rtl/>
              </w:rPr>
              <w:t>2020</w:t>
            </w:r>
          </w:p>
        </w:tc>
        <w:tc>
          <w:tcPr>
            <w:tcW w:w="2072" w:type="dxa"/>
            <w:shd w:val="clear" w:color="auto" w:fill="auto"/>
          </w:tcPr>
          <w:p w14:paraId="50F1383A"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توفيق التميمي</w:t>
            </w:r>
          </w:p>
        </w:tc>
        <w:tc>
          <w:tcPr>
            <w:tcW w:w="3973" w:type="dxa"/>
            <w:shd w:val="clear" w:color="auto" w:fill="auto"/>
          </w:tcPr>
          <w:p w14:paraId="5106F411"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r w:rsidR="000A03B8" w:rsidRPr="00A705A5" w14:paraId="1636FC4A" w14:textId="77777777" w:rsidTr="003C4339">
        <w:tc>
          <w:tcPr>
            <w:tcW w:w="1325" w:type="dxa"/>
            <w:shd w:val="clear" w:color="auto" w:fill="auto"/>
          </w:tcPr>
          <w:p w14:paraId="079673C8"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rFonts w:ascii="Traditional Arabic"/>
                <w:szCs w:val="20"/>
                <w:rtl/>
              </w:rPr>
              <w:t>887</w:t>
            </w:r>
            <w:r w:rsidRPr="00A705A5">
              <w:rPr>
                <w:rFonts w:ascii="Traditional Arabic"/>
                <w:szCs w:val="26"/>
                <w:rtl/>
              </w:rPr>
              <w:t>/</w:t>
            </w:r>
            <w:r w:rsidRPr="00A705A5">
              <w:rPr>
                <w:rFonts w:ascii="Traditional Arabic"/>
                <w:szCs w:val="20"/>
                <w:rtl/>
              </w:rPr>
              <w:t>2020</w:t>
            </w:r>
          </w:p>
        </w:tc>
        <w:tc>
          <w:tcPr>
            <w:tcW w:w="2072" w:type="dxa"/>
            <w:shd w:val="clear" w:color="auto" w:fill="auto"/>
          </w:tcPr>
          <w:p w14:paraId="31E47096"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نذير الجابري</w:t>
            </w:r>
          </w:p>
        </w:tc>
        <w:tc>
          <w:tcPr>
            <w:tcW w:w="3973" w:type="dxa"/>
            <w:shd w:val="clear" w:color="auto" w:fill="auto"/>
          </w:tcPr>
          <w:p w14:paraId="23BFF56C" w14:textId="77777777" w:rsidR="000A03B8" w:rsidRPr="00A705A5" w:rsidRDefault="000A03B8" w:rsidP="007F60B8">
            <w:pPr>
              <w:pStyle w:val="SingleTxtG"/>
              <w:bidi/>
              <w:spacing w:before="40" w:line="220" w:lineRule="exact"/>
              <w:ind w:left="57" w:right="113"/>
              <w:jc w:val="left"/>
              <w:textDirection w:val="tbRlV"/>
              <w:rPr>
                <w:szCs w:val="26"/>
                <w:lang w:val="ar-SA" w:eastAsia="zh-TW" w:bidi="en-GB"/>
              </w:rPr>
            </w:pPr>
            <w:r w:rsidRPr="00A705A5">
              <w:rPr>
                <w:szCs w:val="26"/>
                <w:rtl/>
              </w:rPr>
              <w:t>لم يرد بعد رد من الدولة الطرف</w:t>
            </w:r>
          </w:p>
        </w:tc>
      </w:tr>
    </w:tbl>
    <w:p w14:paraId="0B78CF1F" w14:textId="7B887594" w:rsidR="0019726F" w:rsidRPr="00A705A5" w:rsidRDefault="0019726F" w:rsidP="001413D9">
      <w:pPr>
        <w:pStyle w:val="H4GA"/>
        <w:rPr>
          <w:rtl/>
        </w:rPr>
      </w:pPr>
      <w:r w:rsidRPr="00A705A5">
        <w:rPr>
          <w:rtl/>
        </w:rPr>
        <w:tab/>
        <w:t>‘</w:t>
      </w:r>
      <w:r w:rsidRPr="00A705A5">
        <w:rPr>
          <w:szCs w:val="20"/>
          <w:rtl/>
        </w:rPr>
        <w:t>1</w:t>
      </w:r>
      <w:r w:rsidRPr="00A705A5">
        <w:rPr>
          <w:rtl/>
        </w:rPr>
        <w:t>’</w:t>
      </w:r>
      <w:r w:rsidRPr="00A705A5">
        <w:rPr>
          <w:rtl/>
        </w:rPr>
        <w:tab/>
        <w:t xml:space="preserve">الإجراءات العاجلة التي حُدد فيها مكان الشخص المختفي </w:t>
      </w:r>
    </w:p>
    <w:p w14:paraId="34AE82E6" w14:textId="77777777" w:rsidR="0019726F" w:rsidRPr="00A705A5" w:rsidRDefault="0019726F" w:rsidP="001413D9">
      <w:pPr>
        <w:pStyle w:val="SingleTxtGA"/>
        <w:rPr>
          <w:rtl/>
        </w:rPr>
      </w:pPr>
      <w:r w:rsidRPr="00A705A5">
        <w:rPr>
          <w:szCs w:val="20"/>
          <w:rtl/>
        </w:rPr>
        <w:t>26</w:t>
      </w:r>
      <w:r w:rsidRPr="00A705A5">
        <w:rPr>
          <w:rtl/>
        </w:rPr>
        <w:t>-</w:t>
      </w:r>
      <w:r w:rsidRPr="00A705A5">
        <w:rPr>
          <w:rtl/>
        </w:rPr>
        <w:tab/>
        <w:t xml:space="preserve">تفيد المعلومات المقدمة إلى اللجنة بأنه أمكن، في </w:t>
      </w:r>
      <w:r w:rsidRPr="00A705A5">
        <w:rPr>
          <w:szCs w:val="20"/>
          <w:rtl/>
        </w:rPr>
        <w:t>12</w:t>
      </w:r>
      <w:r w:rsidRPr="00A705A5">
        <w:rPr>
          <w:rtl/>
        </w:rPr>
        <w:t xml:space="preserve"> طلباً لاتخاذ الإجراءات العاجلة، تحديد مكان الشخص المختفي والإفراج عنه. وفي جميع الحالات، أبلغ مقدمو الطلبات اللجنة بذلك، وقررت اللجنة بناءً على ذلك إغلاق الإجراء امتثالاً للمادة </w:t>
      </w:r>
      <w:r w:rsidRPr="00A705A5">
        <w:rPr>
          <w:szCs w:val="20"/>
          <w:rtl/>
        </w:rPr>
        <w:t>30</w:t>
      </w:r>
      <w:r w:rsidRPr="00A705A5">
        <w:rPr>
          <w:rtl/>
        </w:rPr>
        <w:t>(</w:t>
      </w:r>
      <w:r w:rsidRPr="00A705A5">
        <w:rPr>
          <w:szCs w:val="20"/>
          <w:rtl/>
        </w:rPr>
        <w:t>4</w:t>
      </w:r>
      <w:r w:rsidRPr="00A705A5">
        <w:rPr>
          <w:rtl/>
        </w:rPr>
        <w:t xml:space="preserve">) من الاتفاقية، وأبلغت الدولة الطرف ومقدمي البلاغات بذلك. وفي هذه الحالات، ذكّرت اللجنة الدولة الطرف بالتزامها بالتحقيق في حالة الاختفاء من يوم اختفاء الشخص إلى يوم الإفراج عنه، امتثالاً للمواد </w:t>
      </w:r>
      <w:r w:rsidRPr="00A705A5">
        <w:rPr>
          <w:szCs w:val="20"/>
          <w:rtl/>
        </w:rPr>
        <w:t>2</w:t>
      </w:r>
      <w:r w:rsidRPr="00A705A5">
        <w:rPr>
          <w:rtl/>
        </w:rPr>
        <w:t xml:space="preserve"> و</w:t>
      </w:r>
      <w:r w:rsidRPr="00A705A5">
        <w:rPr>
          <w:szCs w:val="20"/>
          <w:rtl/>
        </w:rPr>
        <w:t>3</w:t>
      </w:r>
      <w:r w:rsidRPr="00A705A5">
        <w:rPr>
          <w:rtl/>
        </w:rPr>
        <w:t xml:space="preserve"> و</w:t>
      </w:r>
      <w:r w:rsidRPr="00A705A5">
        <w:rPr>
          <w:szCs w:val="20"/>
          <w:rtl/>
        </w:rPr>
        <w:t>12</w:t>
      </w:r>
      <w:r w:rsidRPr="00A705A5">
        <w:rPr>
          <w:rtl/>
        </w:rPr>
        <w:t xml:space="preserve"> و</w:t>
      </w:r>
      <w:r w:rsidRPr="00A705A5">
        <w:rPr>
          <w:szCs w:val="20"/>
          <w:rtl/>
        </w:rPr>
        <w:t>24</w:t>
      </w:r>
      <w:r w:rsidRPr="00A705A5">
        <w:rPr>
          <w:rtl/>
        </w:rPr>
        <w:t xml:space="preserve"> من الاتفاقية. وتأسف اللجنة لأن الدولة الطرف لم تقدم في هذه الحالات أي معلومات بعد تسجيل الحالة، ولأنه، وفقاً للمعلومات المتاحة، لم يُتخذ أي إجراء للتحقيق في حالات الاختفاء. وتشعر اللجنة بالقلق أيضاً لأن أصحاب الطلبات أجابوا، عندما طُلب منهم تقديم معلومات إضافية عن ظروف الاختفاء والإفراج عن الأشخاص المختفين، بأن الضحايا لا يرغبون في تقديم تفاصيل خوفاً من الانتقام. ومع ذلك، في إحدى الحالات، أفاد ضحية الاختفاء المدعى اللجنة بأنه ظل معصوب العينين طوال فترة احتجازه وأنه تعرض لأفعال تعذيب وسوء معاملة جسيمة. </w:t>
      </w:r>
    </w:p>
    <w:p w14:paraId="25E07298" w14:textId="55FDAD77" w:rsidR="0019726F" w:rsidRPr="00A705A5" w:rsidRDefault="0019726F" w:rsidP="001413D9">
      <w:pPr>
        <w:pStyle w:val="H4GA"/>
        <w:rPr>
          <w:rtl/>
        </w:rPr>
      </w:pPr>
      <w:r w:rsidRPr="00A705A5">
        <w:rPr>
          <w:rtl/>
        </w:rPr>
        <w:tab/>
        <w:t>‘</w:t>
      </w:r>
      <w:r w:rsidRPr="00A705A5">
        <w:rPr>
          <w:szCs w:val="20"/>
          <w:rtl/>
        </w:rPr>
        <w:t>2</w:t>
      </w:r>
      <w:r w:rsidRPr="00A705A5">
        <w:rPr>
          <w:rtl/>
        </w:rPr>
        <w:t>’</w:t>
      </w:r>
      <w:r w:rsidRPr="00A705A5">
        <w:rPr>
          <w:rtl/>
        </w:rPr>
        <w:tab/>
        <w:t xml:space="preserve"> الإجراءات العاجلة التي ردت في إطارها الدولة الطرف</w:t>
      </w:r>
    </w:p>
    <w:p w14:paraId="3E5BA65E" w14:textId="0771D66A" w:rsidR="0019726F" w:rsidRPr="00A705A5" w:rsidRDefault="0019726F" w:rsidP="001413D9">
      <w:pPr>
        <w:pStyle w:val="SingleTxtGA"/>
        <w:rPr>
          <w:rtl/>
        </w:rPr>
      </w:pPr>
      <w:r w:rsidRPr="00A705A5">
        <w:rPr>
          <w:szCs w:val="20"/>
          <w:rtl/>
        </w:rPr>
        <w:t>27</w:t>
      </w:r>
      <w:r w:rsidRPr="00A705A5">
        <w:rPr>
          <w:rtl/>
        </w:rPr>
        <w:t>-</w:t>
      </w:r>
      <w:r w:rsidRPr="00A705A5">
        <w:rPr>
          <w:rtl/>
        </w:rPr>
        <w:tab/>
        <w:t xml:space="preserve"> في إحدى الحالات، ردت الدولة الطرف على طلب الإجراء العاجل. وأعربت في ردها عن قلقها لأن اللجنة قبلت تسجيل الحالة المدعاة "دون التحقق أو الفحص بشكل دقيق قبل عرض الحالة</w:t>
      </w:r>
      <w:r w:rsidR="007F60B8" w:rsidRPr="00A705A5">
        <w:rPr>
          <w:rFonts w:hint="cs"/>
          <w:rtl/>
        </w:rPr>
        <w:t> </w:t>
      </w:r>
      <w:r w:rsidRPr="00A705A5">
        <w:rPr>
          <w:rtl/>
        </w:rPr>
        <w:t>المدعاة على الدولة الطرف، ولأن الحالة قائمة على الاحتمال، لا على شهادة شهود عيان حقيقيين أو</w:t>
      </w:r>
      <w:r w:rsidR="0069506B" w:rsidRPr="00A705A5">
        <w:rPr>
          <w:rFonts w:hint="cs"/>
          <w:rtl/>
        </w:rPr>
        <w:t> </w:t>
      </w:r>
      <w:r w:rsidRPr="00A705A5">
        <w:rPr>
          <w:rtl/>
        </w:rPr>
        <w:t>أدلة واضحة تحدد من قام بعملية الاختطاف". وطلبت الدولة الطرف أيضاً إلى اللجنة أن</w:t>
      </w:r>
      <w:r w:rsidR="007F60B8" w:rsidRPr="00A705A5">
        <w:rPr>
          <w:rFonts w:hint="cs"/>
          <w:rtl/>
        </w:rPr>
        <w:t> </w:t>
      </w:r>
      <w:r w:rsidRPr="00A705A5">
        <w:rPr>
          <w:rtl/>
        </w:rPr>
        <w:t xml:space="preserve">تقدم "أي معلومات متاحة عن الجهة التي نفذت عملية الاختطاف المدعاة ومكان الاختفاء". </w:t>
      </w:r>
      <w:r w:rsidRPr="00A705A5">
        <w:rPr>
          <w:rtl/>
        </w:rPr>
        <w:lastRenderedPageBreak/>
        <w:t>وفي</w:t>
      </w:r>
      <w:r w:rsidR="007F60B8" w:rsidRPr="00A705A5">
        <w:rPr>
          <w:rFonts w:hint="cs"/>
          <w:rtl/>
        </w:rPr>
        <w:t> </w:t>
      </w:r>
      <w:r w:rsidRPr="00A705A5">
        <w:rPr>
          <w:rtl/>
        </w:rPr>
        <w:t xml:space="preserve">هذه الحالة، ذكّرت اللجنة الدولة الطرف أولاً بأنها تقدم دائماً جميع المعلومات، بما فيها معلومات عن الجناة المحتملين. وأشارت اللجنة أيضاً إلى أنه، بموجب المادة </w:t>
      </w:r>
      <w:r w:rsidRPr="00A705A5">
        <w:rPr>
          <w:szCs w:val="20"/>
          <w:rtl/>
        </w:rPr>
        <w:t>30</w:t>
      </w:r>
      <w:r w:rsidRPr="00A705A5">
        <w:rPr>
          <w:rtl/>
        </w:rPr>
        <w:t xml:space="preserve"> من الاتفاقية، يمكن أن يُقدَّم إلى اللجنة، في أي حالة اختفاء، طلب للبحث عن شخص مختف وللعثور عليه. ولا تشترط الاتفاقية تحديد هوية الجناة، لأن من الواجبات الأساسية للدولة الطرف أن تتخذ جميع الإجراءات اللازمة للبحث عن شخص مختف والتحقيق في الاختفاء المدعى وتحديد هوية مرتكبيه. وفي ذلك الصدد، أشارت اللجنة إلى أنه في جميع حالات الاختفاء، كما هي الحال في جميع الأفعال الإجرامية، يظل تحديد هوية الجناة فرضية إلى أن تتأكد تماماً بنتائج تحقيق كامل ونزيه ومستقل. وأشارت اللجنة أيضاً إلى أن المعلومات المتعلقة من يُدّعى أنهم بالجناة وأي معلومات أخرى تُقدم في سياق أي طلب لاتخاذ الإجراءات العاجلة تهدف إلى تيسير البحث عن الشخص المختفي، وأن السلطات المسؤولة عن الحالة يجب أن تأخذ هذه المعلومات</w:t>
      </w:r>
      <w:r w:rsidR="0069506B" w:rsidRPr="00A705A5">
        <w:rPr>
          <w:rFonts w:hint="cs"/>
          <w:rtl/>
        </w:rPr>
        <w:t xml:space="preserve"> </w:t>
      </w:r>
      <w:r w:rsidRPr="00A705A5">
        <w:rPr>
          <w:rtl/>
        </w:rPr>
        <w:t xml:space="preserve">بعين الاعتبار. ووفقاً للمادة </w:t>
      </w:r>
      <w:r w:rsidRPr="00A705A5">
        <w:rPr>
          <w:szCs w:val="20"/>
          <w:rtl/>
        </w:rPr>
        <w:t>30</w:t>
      </w:r>
      <w:r w:rsidRPr="00A705A5">
        <w:rPr>
          <w:rtl/>
        </w:rPr>
        <w:t>(</w:t>
      </w:r>
      <w:r w:rsidRPr="00A705A5">
        <w:rPr>
          <w:szCs w:val="20"/>
          <w:rtl/>
        </w:rPr>
        <w:t>4</w:t>
      </w:r>
      <w:r w:rsidRPr="00A705A5">
        <w:rPr>
          <w:rtl/>
        </w:rPr>
        <w:t xml:space="preserve">) من الاتفاقية، يبقى الإجراء العاجل مفتوحاً ما دام مصير الشخص الذي يجري البحث عنه لم يتضح بعد. </w:t>
      </w:r>
      <w:r w:rsidRPr="00A705A5">
        <w:rPr>
          <w:rFonts w:ascii="Traditional Arabic" w:hAnsi="Traditional Arabic" w:hint="cs"/>
          <w:rtl/>
        </w:rPr>
        <w:t>ومع</w:t>
      </w:r>
      <w:r w:rsidRPr="00A705A5">
        <w:rPr>
          <w:rtl/>
        </w:rPr>
        <w:t xml:space="preserve"> </w:t>
      </w:r>
      <w:r w:rsidRPr="00A705A5">
        <w:rPr>
          <w:rFonts w:ascii="Traditional Arabic" w:hAnsi="Traditional Arabic" w:hint="cs"/>
          <w:rtl/>
        </w:rPr>
        <w:t>ذلك،</w:t>
      </w:r>
      <w:r w:rsidRPr="00A705A5">
        <w:rPr>
          <w:rtl/>
        </w:rPr>
        <w:t xml:space="preserve"> </w:t>
      </w:r>
      <w:r w:rsidRPr="00A705A5">
        <w:rPr>
          <w:rFonts w:ascii="Traditional Arabic" w:hAnsi="Traditional Arabic" w:hint="cs"/>
          <w:rtl/>
        </w:rPr>
        <w:t>ذكّرت</w:t>
      </w:r>
      <w:r w:rsidRPr="00A705A5">
        <w:rPr>
          <w:rtl/>
        </w:rPr>
        <w:t xml:space="preserve"> </w:t>
      </w:r>
      <w:r w:rsidRPr="00A705A5">
        <w:rPr>
          <w:rFonts w:ascii="Traditional Arabic" w:hAnsi="Traditional Arabic" w:hint="cs"/>
          <w:rtl/>
        </w:rPr>
        <w:t>اللجن</w:t>
      </w:r>
      <w:r w:rsidRPr="00A705A5">
        <w:rPr>
          <w:rtl/>
        </w:rPr>
        <w:t xml:space="preserve">ة الدولة الطرف، واضعة جميع هذه العناصر في الاعتبار، بأن مذكرة التسجيل الشفوية التي قدمتها اللجنة في هذه الحالة قدمت معلومات إلى الدولة الطرف عن المرتكبين المحتملين للاختفاء، واستشهدت بالجزء ذي الصلة من مذكرة التسجيل. ولذلك، كررت اللجنة طلباتها إلى الدولة الطرف، الواردة في مذكرتها الشفوية السابقة، وهي أن تقوم الدولة الطرف بما يلي: </w:t>
      </w:r>
    </w:p>
    <w:p w14:paraId="5D0A2975" w14:textId="48C49D81" w:rsidR="0019726F" w:rsidRPr="00A705A5" w:rsidRDefault="0019726F" w:rsidP="0019726F">
      <w:pPr>
        <w:pStyle w:val="SingleTxtGA"/>
        <w:rPr>
          <w:rtl/>
        </w:rPr>
      </w:pPr>
      <w:r w:rsidRPr="00A705A5">
        <w:rPr>
          <w:rtl/>
        </w:rPr>
        <w:tab/>
        <w:t>(أ)</w:t>
      </w:r>
      <w:r w:rsidRPr="00A705A5">
        <w:rPr>
          <w:rtl/>
        </w:rPr>
        <w:tab/>
        <w:t>اتخاذ جميع التدابير اللازمة للبحث عن الشخص المختفي وتحديد مكانه وحمايته، بطرق منها وضع وتنفيذ استراتيجية شاملة للبحث والتحقيق في اختفاء الشخص؛ وينبغي أن تتضمن هذه الاستراتيجية خطة عمل وجدول</w:t>
      </w:r>
      <w:r w:rsidR="00A705A5" w:rsidRPr="00A705A5">
        <w:rPr>
          <w:rtl/>
        </w:rPr>
        <w:t xml:space="preserve">اً </w:t>
      </w:r>
      <w:r w:rsidRPr="00A705A5">
        <w:rPr>
          <w:rtl/>
        </w:rPr>
        <w:t>زمنياً يُستعرضان دورياً، امتثال</w:t>
      </w:r>
      <w:r w:rsidR="00A705A5" w:rsidRPr="00A705A5">
        <w:rPr>
          <w:rtl/>
        </w:rPr>
        <w:t xml:space="preserve">اً </w:t>
      </w:r>
      <w:r w:rsidRPr="00A705A5">
        <w:rPr>
          <w:rtl/>
        </w:rPr>
        <w:t xml:space="preserve">للمادتين </w:t>
      </w:r>
      <w:r w:rsidRPr="00A705A5">
        <w:rPr>
          <w:szCs w:val="20"/>
          <w:rtl/>
        </w:rPr>
        <w:t>12</w:t>
      </w:r>
      <w:r w:rsidRPr="00A705A5">
        <w:rPr>
          <w:rtl/>
        </w:rPr>
        <w:t xml:space="preserve"> و</w:t>
      </w:r>
      <w:r w:rsidRPr="00A705A5">
        <w:rPr>
          <w:szCs w:val="20"/>
          <w:rtl/>
        </w:rPr>
        <w:t>24</w:t>
      </w:r>
      <w:r w:rsidRPr="00A705A5">
        <w:rPr>
          <w:rtl/>
        </w:rPr>
        <w:t xml:space="preserve"> من الاتفاقية، وللمبدأ </w:t>
      </w:r>
      <w:r w:rsidRPr="00A705A5">
        <w:rPr>
          <w:szCs w:val="20"/>
          <w:rtl/>
        </w:rPr>
        <w:t>8</w:t>
      </w:r>
      <w:r w:rsidRPr="00A705A5">
        <w:rPr>
          <w:rtl/>
        </w:rPr>
        <w:t xml:space="preserve"> من المبادئ التوجيهية للبحث عن الأشخاص المختفين؛ </w:t>
      </w:r>
    </w:p>
    <w:p w14:paraId="69E54804" w14:textId="77777777" w:rsidR="0019726F" w:rsidRPr="00A705A5" w:rsidRDefault="0019726F" w:rsidP="0019726F">
      <w:pPr>
        <w:pStyle w:val="SingleTxtGA"/>
        <w:rPr>
          <w:rtl/>
        </w:rPr>
      </w:pPr>
      <w:r w:rsidRPr="00A705A5">
        <w:rPr>
          <w:rtl/>
        </w:rPr>
        <w:tab/>
        <w:t>(ب)</w:t>
      </w:r>
      <w:r w:rsidRPr="00A705A5">
        <w:rPr>
          <w:rtl/>
        </w:rPr>
        <w:tab/>
        <w:t xml:space="preserve">وضع الشخص المختفي فوراً، في حال تأكيد مكان وجوده، تحت حماية القانون وإبلاغ اللجنة وأقارب الشخص المختفي وممثليه رسمياً بمكان وجوده، واتخاذ جميع الإجراءات اللازمة لتمكينه من الاتصال فوراً وبشكل دوري بأقاربه أو بمحاميه أو بأي شخص آخر من اختياره؛ </w:t>
      </w:r>
    </w:p>
    <w:p w14:paraId="1C08AB7B" w14:textId="77777777" w:rsidR="0019726F" w:rsidRPr="00A705A5" w:rsidRDefault="0019726F" w:rsidP="0019726F">
      <w:pPr>
        <w:pStyle w:val="SingleTxtGA"/>
        <w:rPr>
          <w:rtl/>
        </w:rPr>
      </w:pPr>
      <w:r w:rsidRPr="00A705A5">
        <w:rPr>
          <w:rtl/>
        </w:rPr>
        <w:tab/>
        <w:t>(ج)</w:t>
      </w:r>
      <w:r w:rsidRPr="00A705A5">
        <w:rPr>
          <w:rtl/>
        </w:rPr>
        <w:tab/>
        <w:t xml:space="preserve">إبلاغ اللجنة رسمياً، في حال وجود الشخص المختفي في مكان احتجاز، باحتجازه والسماح بزيارته بشكل دوري، وفقاً للمادة </w:t>
      </w:r>
      <w:r w:rsidRPr="00A705A5">
        <w:rPr>
          <w:szCs w:val="20"/>
          <w:rtl/>
        </w:rPr>
        <w:t>17</w:t>
      </w:r>
      <w:r w:rsidRPr="00A705A5">
        <w:rPr>
          <w:rtl/>
        </w:rPr>
        <w:t xml:space="preserve"> من الاتفاقية؛ </w:t>
      </w:r>
    </w:p>
    <w:p w14:paraId="13A741FD" w14:textId="77777777" w:rsidR="0019726F" w:rsidRPr="00A705A5" w:rsidRDefault="0019726F" w:rsidP="0019726F">
      <w:pPr>
        <w:pStyle w:val="SingleTxtGA"/>
        <w:rPr>
          <w:rtl/>
        </w:rPr>
      </w:pPr>
      <w:r w:rsidRPr="00A705A5">
        <w:rPr>
          <w:rtl/>
        </w:rPr>
        <w:tab/>
        <w:t>(د)</w:t>
      </w:r>
      <w:r w:rsidRPr="00A705A5">
        <w:rPr>
          <w:rtl/>
        </w:rPr>
        <w:tab/>
        <w:t xml:space="preserve">اتخاذ إجراء فوري، في حال عدم إمكانية تأكيد مكان الشخص المختفي، لأجل تحديد مكانه، وتوضيح مسألة اختفائه القسري المدعى، وضمان وضعه تحت حماية القانون؛ </w:t>
      </w:r>
    </w:p>
    <w:p w14:paraId="129B3226" w14:textId="77777777" w:rsidR="0019726F" w:rsidRPr="00A705A5" w:rsidRDefault="0019726F" w:rsidP="0019726F">
      <w:pPr>
        <w:pStyle w:val="SingleTxtGA"/>
        <w:rPr>
          <w:spacing w:val="-2"/>
          <w:rtl/>
        </w:rPr>
      </w:pPr>
      <w:r w:rsidRPr="00A705A5">
        <w:rPr>
          <w:rtl/>
        </w:rPr>
        <w:tab/>
        <w:t>(هـ)</w:t>
      </w:r>
      <w:r w:rsidRPr="00A705A5">
        <w:rPr>
          <w:rtl/>
        </w:rPr>
        <w:tab/>
        <w:t xml:space="preserve">اتخاذ جميع التدابير اللازمة، امتثالاً لالتزاماتها بموجب المادتين </w:t>
      </w:r>
      <w:r w:rsidRPr="00A705A5">
        <w:rPr>
          <w:szCs w:val="20"/>
          <w:rtl/>
        </w:rPr>
        <w:t>12</w:t>
      </w:r>
      <w:r w:rsidRPr="00A705A5">
        <w:rPr>
          <w:rtl/>
        </w:rPr>
        <w:t xml:space="preserve"> و</w:t>
      </w:r>
      <w:r w:rsidRPr="00A705A5">
        <w:rPr>
          <w:szCs w:val="20"/>
          <w:rtl/>
        </w:rPr>
        <w:t>24</w:t>
      </w:r>
      <w:r w:rsidRPr="00A705A5">
        <w:rPr>
          <w:rtl/>
        </w:rPr>
        <w:t xml:space="preserve"> من الاتفاقية، لأجل تحديد هوية من يُدّعى أنهم ارتكبوا الاختفاء القسري في حق الشخص المختفي، مع مراعاة </w:t>
      </w:r>
      <w:r w:rsidRPr="00A705A5">
        <w:rPr>
          <w:spacing w:val="-2"/>
          <w:rtl/>
        </w:rPr>
        <w:t xml:space="preserve">الأهمية البالغة التي يمكن أن تكون لتحديد هوية الجناة في عمليات البحث عن الشخص وتحديد مكانه؛ </w:t>
      </w:r>
    </w:p>
    <w:p w14:paraId="66DF87DC" w14:textId="77777777" w:rsidR="0019726F" w:rsidRPr="00A705A5" w:rsidRDefault="0019726F" w:rsidP="0019726F">
      <w:pPr>
        <w:pStyle w:val="SingleTxtGA"/>
        <w:rPr>
          <w:rtl/>
        </w:rPr>
      </w:pPr>
      <w:r w:rsidRPr="00A705A5">
        <w:rPr>
          <w:spacing w:val="-2"/>
          <w:rtl/>
        </w:rPr>
        <w:tab/>
        <w:t>(و)</w:t>
      </w:r>
      <w:r w:rsidRPr="00A705A5">
        <w:rPr>
          <w:spacing w:val="-2"/>
          <w:rtl/>
        </w:rPr>
        <w:tab/>
        <w:t>تزويد اللجنة بمعلومات عن التدابير المتخذة لتنفيذ كل توصية من التوصيات المذكورة</w:t>
      </w:r>
      <w:r w:rsidRPr="00A705A5">
        <w:rPr>
          <w:rtl/>
        </w:rPr>
        <w:t xml:space="preserve"> أعلاه، وعن نتائج هذه التدابير. </w:t>
      </w:r>
    </w:p>
    <w:p w14:paraId="286BFBA2" w14:textId="0E4EB1C5" w:rsidR="0019726F" w:rsidRPr="00A705A5" w:rsidRDefault="0019726F" w:rsidP="0069506B">
      <w:pPr>
        <w:pStyle w:val="H4GA"/>
        <w:rPr>
          <w:rtl/>
        </w:rPr>
      </w:pPr>
      <w:r w:rsidRPr="00A705A5">
        <w:rPr>
          <w:rtl/>
        </w:rPr>
        <w:tab/>
        <w:t>‘</w:t>
      </w:r>
      <w:r w:rsidRPr="00A705A5">
        <w:rPr>
          <w:szCs w:val="20"/>
          <w:rtl/>
        </w:rPr>
        <w:t>3</w:t>
      </w:r>
      <w:r w:rsidRPr="00A705A5">
        <w:rPr>
          <w:rtl/>
        </w:rPr>
        <w:t>’</w:t>
      </w:r>
      <w:r w:rsidRPr="00A705A5">
        <w:rPr>
          <w:rtl/>
        </w:rPr>
        <w:tab/>
        <w:t>الإجراءات التي لا تتوفر فيها معلومات إضافية ولم ترد في إطارها الدولة الطرف</w:t>
      </w:r>
    </w:p>
    <w:p w14:paraId="51A1413B" w14:textId="5183BA4B" w:rsidR="0019726F" w:rsidRPr="00A705A5" w:rsidRDefault="0019726F" w:rsidP="0019726F">
      <w:pPr>
        <w:pStyle w:val="SingleTxtGA"/>
        <w:rPr>
          <w:rFonts w:hint="cs"/>
          <w:rtl/>
        </w:rPr>
      </w:pPr>
      <w:r w:rsidRPr="00A705A5">
        <w:rPr>
          <w:szCs w:val="20"/>
          <w:rtl/>
        </w:rPr>
        <w:t>28</w:t>
      </w:r>
      <w:r w:rsidRPr="00A705A5">
        <w:rPr>
          <w:rtl/>
        </w:rPr>
        <w:t>-</w:t>
      </w:r>
      <w:r w:rsidR="0069506B" w:rsidRPr="00A705A5">
        <w:rPr>
          <w:rtl/>
        </w:rPr>
        <w:tab/>
      </w:r>
      <w:r w:rsidRPr="00A705A5">
        <w:rPr>
          <w:rtl/>
        </w:rPr>
        <w:t xml:space="preserve">حتى وقت كتابة هذا التقرير، لم تتلق اللجنة أي رد من الدولة الطرف فيما يتعلق بـ </w:t>
      </w:r>
      <w:r w:rsidRPr="00A705A5">
        <w:rPr>
          <w:szCs w:val="20"/>
          <w:rtl/>
        </w:rPr>
        <w:t>16</w:t>
      </w:r>
      <w:r w:rsidRPr="00A705A5">
        <w:rPr>
          <w:rtl/>
        </w:rPr>
        <w:t xml:space="preserve"> طلباً من طلبات اتخاذ الإجراءات العاجلة المسجلة في سياق الاحتجاجات المستمرة. وقد أُرسلت رسائل تذكير إلى الدولة الطرف.</w:t>
      </w:r>
    </w:p>
    <w:p w14:paraId="325043EF" w14:textId="2870B786" w:rsidR="0019726F" w:rsidRPr="00A705A5" w:rsidRDefault="0019726F" w:rsidP="0019726F">
      <w:pPr>
        <w:pStyle w:val="SingleTxtGA"/>
        <w:rPr>
          <w:rtl/>
        </w:rPr>
      </w:pPr>
      <w:r w:rsidRPr="00A705A5">
        <w:rPr>
          <w:szCs w:val="20"/>
          <w:rtl/>
        </w:rPr>
        <w:lastRenderedPageBreak/>
        <w:t>29</w:t>
      </w:r>
      <w:r w:rsidRPr="00A705A5">
        <w:rPr>
          <w:rtl/>
        </w:rPr>
        <w:t>-</w:t>
      </w:r>
      <w:r w:rsidRPr="00A705A5">
        <w:rPr>
          <w:rtl/>
        </w:rPr>
        <w:tab/>
        <w:t>وفيما يتعلق بحالات الاختفاء خارج سياق الاحتجاجات التي بدأت في تشرين الأول/</w:t>
      </w:r>
      <w:r w:rsidR="007F60B8" w:rsidRPr="00A705A5">
        <w:rPr>
          <w:rFonts w:hint="cs"/>
          <w:rtl/>
        </w:rPr>
        <w:t xml:space="preserve">  </w:t>
      </w:r>
      <w:r w:rsidRPr="00A705A5">
        <w:rPr>
          <w:rtl/>
        </w:rPr>
        <w:t xml:space="preserve">أكتوبر </w:t>
      </w:r>
      <w:r w:rsidRPr="00A705A5">
        <w:rPr>
          <w:szCs w:val="20"/>
          <w:rtl/>
        </w:rPr>
        <w:t>2019</w:t>
      </w:r>
      <w:r w:rsidRPr="00A705A5">
        <w:rPr>
          <w:rtl/>
        </w:rPr>
        <w:t xml:space="preserve">، تعرب اللجنة عن قلقها أيضاً لعدم رد العراق على معظم طلبات اتخاذ الإجراءات العاجلة </w:t>
      </w:r>
      <w:r w:rsidRPr="00A705A5">
        <w:rPr>
          <w:spacing w:val="-4"/>
          <w:rtl/>
        </w:rPr>
        <w:t>المسجلة بشأن حوادث وقعت في إقليمه. وفي الفترة قيد الاستعراض، أُرسلت أربع رسائل تذكير بشأن</w:t>
      </w:r>
      <w:r w:rsidR="0069506B" w:rsidRPr="00A705A5">
        <w:rPr>
          <w:rFonts w:hint="cs"/>
          <w:spacing w:val="-4"/>
          <w:rtl/>
        </w:rPr>
        <w:t> </w:t>
      </w:r>
      <w:r w:rsidRPr="00A705A5">
        <w:rPr>
          <w:spacing w:val="-4"/>
          <w:szCs w:val="20"/>
          <w:rtl/>
        </w:rPr>
        <w:t>197</w:t>
      </w:r>
      <w:r w:rsidRPr="00A705A5">
        <w:rPr>
          <w:rtl/>
        </w:rPr>
        <w:t xml:space="preserve"> طلب</w:t>
      </w:r>
      <w:r w:rsidR="00A705A5" w:rsidRPr="00A705A5">
        <w:rPr>
          <w:rtl/>
        </w:rPr>
        <w:t xml:space="preserve">اً </w:t>
      </w:r>
      <w:r w:rsidRPr="00A705A5">
        <w:rPr>
          <w:rtl/>
        </w:rPr>
        <w:t xml:space="preserve">مسجلاً تتعلق باتخاذ الإجراءات العاجلة؛ ولم يُوجه أي رد على أي من رسائل </w:t>
      </w:r>
      <w:r w:rsidRPr="00A705A5">
        <w:rPr>
          <w:spacing w:val="-4"/>
          <w:rtl/>
        </w:rPr>
        <w:t>التذكير. وحيثما أرسلت الدولة الطرف ردوداً إلى اللجنة، فإنها اتخذت نفس الاتجاه الذي لاحظته اللجنة في تقاريرها السابقة،</w:t>
      </w:r>
      <w:r w:rsidRPr="00A705A5">
        <w:rPr>
          <w:rtl/>
        </w:rPr>
        <w:t xml:space="preserve"> وهو أن الدولة الطرف لم تقدم أي معلومات عن الإجراءات المتخذة للبحث عن الأشخاص </w:t>
      </w:r>
      <w:r w:rsidRPr="00A705A5">
        <w:rPr>
          <w:spacing w:val="-4"/>
          <w:rtl/>
        </w:rPr>
        <w:t>المختفين أو للتحقيق في اختفائهم القسري المدعى. وعلاوة على ذلك، لم توضح الدولة الطرف الإجراءات</w:t>
      </w:r>
      <w:r w:rsidRPr="00A705A5">
        <w:rPr>
          <w:rtl/>
        </w:rPr>
        <w:t xml:space="preserve"> المتاحة للضحايا. ولا تزال المعلومات المقدمة من أفراد أسرة الأشخاص المختفين ومعارفهم تؤكد، </w:t>
      </w:r>
      <w:r w:rsidRPr="00A705A5">
        <w:rPr>
          <w:spacing w:val="-4"/>
          <w:rtl/>
        </w:rPr>
        <w:t>بشكل عام، أنهم يتعرضون لسوء المعاملة على أيدي سلطات الدولة عندما يطلبون معلومات أو يلتمسون</w:t>
      </w:r>
      <w:r w:rsidRPr="00A705A5">
        <w:rPr>
          <w:rtl/>
        </w:rPr>
        <w:t xml:space="preserve"> الدعم فيما يتعلق بعمليات البحث عن الأشخاص المختفين أو التحقيق في اختفائهم القسري المدعى. </w:t>
      </w:r>
    </w:p>
    <w:p w14:paraId="4C4AF6F3" w14:textId="6F61999B" w:rsidR="0019726F" w:rsidRPr="00A705A5" w:rsidRDefault="0019726F" w:rsidP="0019726F">
      <w:pPr>
        <w:pStyle w:val="SingleTxtGA"/>
        <w:rPr>
          <w:rtl/>
        </w:rPr>
      </w:pPr>
      <w:r w:rsidRPr="00A705A5">
        <w:rPr>
          <w:szCs w:val="20"/>
          <w:rtl/>
        </w:rPr>
        <w:t>30</w:t>
      </w:r>
      <w:r w:rsidRPr="00A705A5">
        <w:rPr>
          <w:rtl/>
        </w:rPr>
        <w:t>-</w:t>
      </w:r>
      <w:r w:rsidRPr="00A705A5">
        <w:rPr>
          <w:rtl/>
        </w:rPr>
        <w:tab/>
        <w:t xml:space="preserve">واكتفت الدولة الطرف بالتأكيد، في العديد من ردودها، أن من يُدّعى أنهم الضحايا ينتمون إلى جماعات إرهابية، دون تقديم مزيد من المعلومات. وفي هذه الحالات، ذكّرت اللجنة الدولة </w:t>
      </w:r>
      <w:r w:rsidRPr="00A705A5">
        <w:rPr>
          <w:spacing w:val="-2"/>
          <w:rtl/>
        </w:rPr>
        <w:t>الطرف</w:t>
      </w:r>
      <w:r w:rsidR="0069506B" w:rsidRPr="00A705A5">
        <w:rPr>
          <w:rFonts w:hint="cs"/>
          <w:spacing w:val="-2"/>
          <w:rtl/>
        </w:rPr>
        <w:t> </w:t>
      </w:r>
      <w:r w:rsidRPr="00A705A5">
        <w:rPr>
          <w:spacing w:val="-2"/>
          <w:rtl/>
        </w:rPr>
        <w:t>بأن البحث عن الأشخاص المختفين والتحقيق في اختفائهم واجبٌ بصرف النظر عن خصائصهم</w:t>
      </w:r>
      <w:r w:rsidRPr="00A705A5">
        <w:rPr>
          <w:rtl/>
        </w:rPr>
        <w:t xml:space="preserve"> أو انتمائهم السياسي.</w:t>
      </w:r>
    </w:p>
    <w:p w14:paraId="72F09AEC" w14:textId="458EAFFA" w:rsidR="0019726F" w:rsidRPr="00A705A5" w:rsidRDefault="0019726F" w:rsidP="0069506B">
      <w:pPr>
        <w:pStyle w:val="H23GA"/>
        <w:rPr>
          <w:rtl/>
        </w:rPr>
      </w:pPr>
      <w:r w:rsidRPr="00A705A5">
        <w:rPr>
          <w:rtl/>
        </w:rPr>
        <w:tab/>
        <w:t>(ب)</w:t>
      </w:r>
      <w:r w:rsidRPr="00A705A5">
        <w:rPr>
          <w:rtl/>
        </w:rPr>
        <w:tab/>
        <w:t>المكسيك</w:t>
      </w:r>
    </w:p>
    <w:p w14:paraId="137436FD" w14:textId="4F166113" w:rsidR="0019726F" w:rsidRPr="00A705A5" w:rsidRDefault="0019726F" w:rsidP="0019726F">
      <w:pPr>
        <w:pStyle w:val="SingleTxtGA"/>
        <w:rPr>
          <w:rtl/>
        </w:rPr>
      </w:pPr>
      <w:r w:rsidRPr="00A705A5">
        <w:rPr>
          <w:szCs w:val="20"/>
          <w:rtl/>
        </w:rPr>
        <w:t>31</w:t>
      </w:r>
      <w:r w:rsidRPr="00A705A5">
        <w:rPr>
          <w:rtl/>
        </w:rPr>
        <w:t>-</w:t>
      </w:r>
      <w:r w:rsidRPr="00A705A5">
        <w:rPr>
          <w:rtl/>
        </w:rPr>
        <w:tab/>
      </w:r>
      <w:r w:rsidRPr="00A705A5">
        <w:rPr>
          <w:spacing w:val="-4"/>
          <w:rtl/>
        </w:rPr>
        <w:t xml:space="preserve">في </w:t>
      </w:r>
      <w:r w:rsidRPr="00A705A5">
        <w:rPr>
          <w:spacing w:val="-4"/>
          <w:szCs w:val="20"/>
          <w:rtl/>
        </w:rPr>
        <w:t>31</w:t>
      </w:r>
      <w:r w:rsidRPr="00A705A5">
        <w:rPr>
          <w:spacing w:val="-4"/>
          <w:rtl/>
        </w:rPr>
        <w:t xml:space="preserve"> آب/أغسطس </w:t>
      </w:r>
      <w:r w:rsidRPr="00A705A5">
        <w:rPr>
          <w:spacing w:val="-4"/>
          <w:szCs w:val="20"/>
          <w:rtl/>
        </w:rPr>
        <w:t>2020</w:t>
      </w:r>
      <w:r w:rsidRPr="00A705A5">
        <w:rPr>
          <w:spacing w:val="-4"/>
          <w:rtl/>
        </w:rPr>
        <w:t xml:space="preserve">، كانت اللجنة قد سجلت ما مجموعه </w:t>
      </w:r>
      <w:r w:rsidRPr="00A705A5">
        <w:rPr>
          <w:spacing w:val="-4"/>
          <w:szCs w:val="20"/>
          <w:rtl/>
        </w:rPr>
        <w:t>412</w:t>
      </w:r>
      <w:r w:rsidRPr="00A705A5">
        <w:rPr>
          <w:spacing w:val="-4"/>
          <w:rtl/>
        </w:rPr>
        <w:t xml:space="preserve"> طلباً لاتخاذ الإجراءات</w:t>
      </w:r>
      <w:r w:rsidRPr="00A705A5">
        <w:rPr>
          <w:rtl/>
        </w:rPr>
        <w:t xml:space="preserve"> العاجلة، تتعلق بأحداث في المكسيك. وفي الفترة المشمولة بالتقرير، أبلغ مقدمو الطلبات اللجنة في</w:t>
      </w:r>
      <w:r w:rsidR="00383E3F" w:rsidRPr="00A705A5">
        <w:rPr>
          <w:rFonts w:hint="cs"/>
          <w:rtl/>
        </w:rPr>
        <w:t> </w:t>
      </w:r>
      <w:r w:rsidRPr="00A705A5">
        <w:rPr>
          <w:rtl/>
        </w:rPr>
        <w:t xml:space="preserve">ست حالات بأنه قد عُثر على الأشخاص المختفين أحياء، ولذلك أُغلقت الإجراءات العاجلة. </w:t>
      </w:r>
    </w:p>
    <w:p w14:paraId="6C6E4713" w14:textId="77777777" w:rsidR="0019726F" w:rsidRPr="00A705A5" w:rsidRDefault="0019726F" w:rsidP="0019726F">
      <w:pPr>
        <w:pStyle w:val="SingleTxtGA"/>
        <w:rPr>
          <w:rtl/>
        </w:rPr>
      </w:pPr>
      <w:r w:rsidRPr="00A705A5">
        <w:rPr>
          <w:szCs w:val="20"/>
          <w:rtl/>
        </w:rPr>
        <w:t>32</w:t>
      </w:r>
      <w:r w:rsidRPr="00A705A5">
        <w:rPr>
          <w:rtl/>
        </w:rPr>
        <w:t>-</w:t>
      </w:r>
      <w:r w:rsidRPr="00A705A5">
        <w:rPr>
          <w:rtl/>
        </w:rPr>
        <w:tab/>
        <w:t xml:space="preserve">وأُرسلت رسائل تذكير إلى الدولة الطرف في </w:t>
      </w:r>
      <w:r w:rsidRPr="00A705A5">
        <w:rPr>
          <w:szCs w:val="20"/>
          <w:rtl/>
        </w:rPr>
        <w:t>85</w:t>
      </w:r>
      <w:r w:rsidRPr="00A705A5">
        <w:rPr>
          <w:rtl/>
        </w:rPr>
        <w:t xml:space="preserve"> في المائة من الحالات. وأرسلت اللجنة، لدى تلقي المعلومات المطلوبة، مذكرات متابعة كررت فيها مختلف توصياتها السابقة المتعلقة بإعداد وتنفيذ استراتيجيات للبحث والتحقيق من قِبل السلطات المختصة (انظر الفقرة </w:t>
      </w:r>
      <w:r w:rsidRPr="00A705A5">
        <w:rPr>
          <w:szCs w:val="20"/>
          <w:rtl/>
        </w:rPr>
        <w:t>11</w:t>
      </w:r>
      <w:r w:rsidRPr="00A705A5">
        <w:rPr>
          <w:rtl/>
        </w:rPr>
        <w:t xml:space="preserve"> أعلاه). </w:t>
      </w:r>
    </w:p>
    <w:p w14:paraId="5DA98276" w14:textId="77777777" w:rsidR="0019726F" w:rsidRPr="00A705A5" w:rsidRDefault="0019726F" w:rsidP="003C4339">
      <w:pPr>
        <w:pStyle w:val="SingleTxtGA"/>
        <w:spacing w:line="342" w:lineRule="exact"/>
        <w:rPr>
          <w:rtl/>
        </w:rPr>
      </w:pPr>
      <w:r w:rsidRPr="00A705A5">
        <w:rPr>
          <w:szCs w:val="20"/>
          <w:rtl/>
        </w:rPr>
        <w:t>33</w:t>
      </w:r>
      <w:r w:rsidRPr="00A705A5">
        <w:rPr>
          <w:rtl/>
        </w:rPr>
        <w:t>-</w:t>
      </w:r>
      <w:r w:rsidRPr="00A705A5">
        <w:rPr>
          <w:rtl/>
        </w:rPr>
        <w:tab/>
        <w:t xml:space="preserve">وسلطت اللجنة الضوء في توصياتها إلى المكسيك، عدة مرات، على أن من واجب الدولة الطرف بموجب الاتفاقية أن تكفل إبلاغ الضحايا دورياً بالخطوات التي تتخذها السلطات المكلفة بالبحث والتحقيق، وبأن تجعلهم جزءاً من العملية. وفي الفترة قيد الاستعراض، ظل التقدم المحرز في العمليات يعتمد اعتماداً كبيراً على المبادرات والإجراءات التي يتخذها أقارب الأشخاص المختفين. وكانت إمكانية تفاعل الضحايا مع سلطات الدولة الطرف المسؤولة عن البحث والتحقيق عاملاً أساسياً في عدة حالات للتمكين من إحراز بعض التقدم. ومع ذلك، أشار مقدمو طلبات اتخاذ الإجراءات العاجلة في أحيان كثيرة إلى الصعوبات التي تعترضهم في سبيل ضمان أن تأخذ السلطات في الاعتبار وبالعناية الواجبة ما يقدمونه من معلومات. وأعربوا أيضاً في كثير من الأحيان عن أسفهم لتكرار عدم إجراء تحقيقات في الموقع وتحليلات شاملة للأدلة المتاحة. </w:t>
      </w:r>
    </w:p>
    <w:p w14:paraId="4AFECBB2" w14:textId="31E67923" w:rsidR="0019726F" w:rsidRPr="00A705A5" w:rsidRDefault="0019726F" w:rsidP="003C4339">
      <w:pPr>
        <w:pStyle w:val="SingleTxtGA"/>
        <w:spacing w:line="342" w:lineRule="exact"/>
        <w:rPr>
          <w:rtl/>
        </w:rPr>
      </w:pPr>
      <w:r w:rsidRPr="00A705A5">
        <w:rPr>
          <w:szCs w:val="20"/>
          <w:rtl/>
        </w:rPr>
        <w:t>34</w:t>
      </w:r>
      <w:r w:rsidRPr="00A705A5">
        <w:rPr>
          <w:rtl/>
        </w:rPr>
        <w:t>-</w:t>
      </w:r>
      <w:r w:rsidRPr="00A705A5">
        <w:rPr>
          <w:rtl/>
        </w:rPr>
        <w:tab/>
        <w:t>وواصل مقدمو طلبات اتخاذ الإجراءات العاجلة بشأن أحداث في المكسيك تكرار ادعاءاتهم أن سلطات الدولة متورطة بصورة مباشرة أو غير مباشرة في الأحداث التي أحاطت بحالات الاختفاء، وأن جهود البحث والتحقيق قد توقفت. وعند وقوع الأحداث قبل عدة سنوات، أشار أصحاب البلاغ مراراً إلى مسؤولية سلطات الدولة الطرف من حيث عدم بذل العناية، معتبرين أن تقاعسها أصبح عاملاً إضافياً في المسؤولية عن الاختفاء القسري المدعى. وفي هذه الحالات، أكدت اللجنة للدولة الطرف أهمية إنشاء آليات لمساءلة موظفي الدولة المسؤولين عن عمليات البحث والتحقيق، وطلبت إلى الدولة الطرف التحقيق في الادعاءات التي تتهم هؤلاء المسؤولين بإعاقة الإجراءات.</w:t>
      </w:r>
      <w:r w:rsidR="00511930" w:rsidRPr="00A705A5">
        <w:rPr>
          <w:rtl/>
        </w:rPr>
        <w:t xml:space="preserve"> </w:t>
      </w:r>
    </w:p>
    <w:p w14:paraId="2BD95BE8" w14:textId="57C5490A" w:rsidR="0019726F" w:rsidRPr="00A705A5" w:rsidRDefault="0019726F" w:rsidP="007F60B8">
      <w:pPr>
        <w:pStyle w:val="SingleTxtGA"/>
        <w:rPr>
          <w:rtl/>
        </w:rPr>
      </w:pPr>
      <w:r w:rsidRPr="00A705A5">
        <w:rPr>
          <w:szCs w:val="20"/>
          <w:rtl/>
        </w:rPr>
        <w:lastRenderedPageBreak/>
        <w:t>35</w:t>
      </w:r>
      <w:r w:rsidRPr="00A705A5">
        <w:rPr>
          <w:rtl/>
        </w:rPr>
        <w:t>-</w:t>
      </w:r>
      <w:r w:rsidRPr="00A705A5">
        <w:rPr>
          <w:rtl/>
        </w:rPr>
        <w:tab/>
        <w:t xml:space="preserve">وأشار مقدمو طلبات اتخاذ الإجراءات العاجلة أيضاً إلى التحديات التي تعترض أقارب الأشخاص المختفين للحصول على الدعم الذي تكفله التشريعات الوطنية والمادة </w:t>
      </w:r>
      <w:r w:rsidRPr="00A705A5">
        <w:rPr>
          <w:szCs w:val="20"/>
          <w:rtl/>
        </w:rPr>
        <w:t>24</w:t>
      </w:r>
      <w:r w:rsidRPr="00A705A5">
        <w:rPr>
          <w:rtl/>
        </w:rPr>
        <w:t>(</w:t>
      </w:r>
      <w:r w:rsidRPr="00A705A5">
        <w:rPr>
          <w:szCs w:val="20"/>
          <w:rtl/>
        </w:rPr>
        <w:t>6</w:t>
      </w:r>
      <w:r w:rsidRPr="00A705A5">
        <w:rPr>
          <w:rtl/>
        </w:rPr>
        <w:t xml:space="preserve">) من الاتفاقية. </w:t>
      </w:r>
      <w:dir w:val="rtl">
        <w:r w:rsidRPr="00A705A5">
          <w:rPr>
            <w:rFonts w:ascii="Traditional Arabic" w:hAnsi="Traditional Arabic" w:hint="cs"/>
            <w:rtl/>
          </w:rPr>
          <w:t>وتنص</w:t>
        </w:r>
        <w:r w:rsidRPr="00A705A5">
          <w:rPr>
            <w:rtl/>
          </w:rPr>
          <w:t xml:space="preserve"> </w:t>
        </w:r>
        <w:r w:rsidRPr="00A705A5">
          <w:rPr>
            <w:rFonts w:ascii="Traditional Arabic" w:hAnsi="Traditional Arabic" w:hint="cs"/>
            <w:rtl/>
          </w:rPr>
          <w:t>هذه</w:t>
        </w:r>
        <w:r w:rsidRPr="00A705A5">
          <w:rPr>
            <w:rtl/>
          </w:rPr>
          <w:t xml:space="preserve"> </w:t>
        </w:r>
        <w:r w:rsidRPr="00A705A5">
          <w:rPr>
            <w:rFonts w:ascii="Traditional Arabic" w:hAnsi="Traditional Arabic" w:hint="cs"/>
            <w:rtl/>
          </w:rPr>
          <w:t>المادة</w:t>
        </w:r>
        <w:r w:rsidRPr="00A705A5">
          <w:rPr>
            <w:rtl/>
          </w:rPr>
          <w:t xml:space="preserve"> </w:t>
        </w:r>
        <w:r w:rsidRPr="00A705A5">
          <w:rPr>
            <w:rFonts w:ascii="Traditional Arabic" w:hAnsi="Traditional Arabic" w:hint="cs"/>
            <w:rtl/>
          </w:rPr>
          <w:t>على</w:t>
        </w:r>
        <w:r w:rsidRPr="00A705A5">
          <w:rPr>
            <w:rtl/>
          </w:rPr>
          <w:t xml:space="preserve"> </w:t>
        </w:r>
        <w:r w:rsidRPr="00A705A5">
          <w:rPr>
            <w:rFonts w:ascii="Traditional Arabic" w:hAnsi="Traditional Arabic" w:hint="cs"/>
            <w:rtl/>
          </w:rPr>
          <w:t>أنه،</w:t>
        </w:r>
        <w:r w:rsidRPr="00A705A5">
          <w:rPr>
            <w:rtl/>
          </w:rPr>
          <w:t xml:space="preserve"> </w:t>
        </w:r>
        <w:r w:rsidRPr="00A705A5">
          <w:rPr>
            <w:rFonts w:ascii="Traditional Arabic" w:hAnsi="Traditional Arabic" w:hint="cs"/>
            <w:rtl/>
          </w:rPr>
          <w:t>مع</w:t>
        </w:r>
        <w:r w:rsidRPr="00A705A5">
          <w:rPr>
            <w:rtl/>
          </w:rPr>
          <w:t xml:space="preserve"> </w:t>
        </w:r>
        <w:r w:rsidRPr="00A705A5">
          <w:rPr>
            <w:rFonts w:ascii="Traditional Arabic" w:hAnsi="Traditional Arabic" w:hint="cs"/>
            <w:rtl/>
          </w:rPr>
          <w:t>عدم</w:t>
        </w:r>
        <w:r w:rsidRPr="00A705A5">
          <w:rPr>
            <w:rtl/>
          </w:rPr>
          <w:t xml:space="preserve"> </w:t>
        </w:r>
        <w:r w:rsidRPr="00A705A5">
          <w:rPr>
            <w:rFonts w:ascii="Traditional Arabic" w:hAnsi="Traditional Arabic" w:hint="cs"/>
            <w:rtl/>
          </w:rPr>
          <w:t>الإخلال</w:t>
        </w:r>
        <w:r w:rsidRPr="00A705A5">
          <w:rPr>
            <w:rtl/>
          </w:rPr>
          <w:t xml:space="preserve"> </w:t>
        </w:r>
        <w:r w:rsidRPr="00A705A5">
          <w:rPr>
            <w:rFonts w:ascii="Traditional Arabic" w:hAnsi="Traditional Arabic" w:hint="cs"/>
            <w:rtl/>
          </w:rPr>
          <w:t>بالالتزام</w:t>
        </w:r>
        <w:r w:rsidRPr="00A705A5">
          <w:rPr>
            <w:rtl/>
          </w:rPr>
          <w:t xml:space="preserve"> </w:t>
        </w:r>
        <w:r w:rsidRPr="00A705A5">
          <w:rPr>
            <w:rFonts w:ascii="Traditional Arabic" w:hAnsi="Traditional Arabic" w:hint="cs"/>
            <w:rtl/>
          </w:rPr>
          <w:t>بمواصلة</w:t>
        </w:r>
        <w:r w:rsidRPr="00A705A5">
          <w:rPr>
            <w:rtl/>
          </w:rPr>
          <w:t xml:space="preserve"> </w:t>
        </w:r>
        <w:r w:rsidRPr="00A705A5">
          <w:rPr>
            <w:rFonts w:ascii="Traditional Arabic" w:hAnsi="Traditional Arabic" w:hint="cs"/>
            <w:rtl/>
          </w:rPr>
          <w:t>التحقيق</w:t>
        </w:r>
        <w:r w:rsidRPr="00A705A5">
          <w:rPr>
            <w:rtl/>
          </w:rPr>
          <w:t xml:space="preserve"> </w:t>
        </w:r>
        <w:r w:rsidRPr="00A705A5">
          <w:rPr>
            <w:rFonts w:ascii="Traditional Arabic" w:hAnsi="Traditional Arabic" w:hint="cs"/>
            <w:rtl/>
          </w:rPr>
          <w:t>إلى</w:t>
        </w:r>
        <w:r w:rsidRPr="00A705A5">
          <w:rPr>
            <w:rtl/>
          </w:rPr>
          <w:t xml:space="preserve"> </w:t>
        </w:r>
        <w:r w:rsidRPr="00A705A5">
          <w:rPr>
            <w:rFonts w:ascii="Traditional Arabic" w:hAnsi="Traditional Arabic" w:hint="cs"/>
            <w:rtl/>
          </w:rPr>
          <w:t>أن</w:t>
        </w:r>
        <w:r w:rsidRPr="00A705A5">
          <w:rPr>
            <w:rtl/>
          </w:rPr>
          <w:t xml:space="preserve"> </w:t>
        </w:r>
        <w:r w:rsidRPr="00A705A5">
          <w:rPr>
            <w:rFonts w:ascii="Traditional Arabic" w:hAnsi="Traditional Arabic" w:hint="cs"/>
            <w:rtl/>
          </w:rPr>
          <w:t>يتضح</w:t>
        </w:r>
        <w:r w:rsidRPr="00A705A5">
          <w:rPr>
            <w:rtl/>
          </w:rPr>
          <w:t xml:space="preserve"> </w:t>
        </w:r>
        <w:r w:rsidRPr="00A705A5">
          <w:rPr>
            <w:rFonts w:ascii="Traditional Arabic" w:hAnsi="Traditional Arabic" w:hint="cs"/>
            <w:rtl/>
          </w:rPr>
          <w:t>مصير</w:t>
        </w:r>
        <w:r w:rsidRPr="00A705A5">
          <w:rPr>
            <w:rtl/>
          </w:rPr>
          <w:t xml:space="preserve"> </w:t>
        </w:r>
        <w:r w:rsidRPr="00A705A5">
          <w:rPr>
            <w:rFonts w:ascii="Traditional Arabic" w:hAnsi="Traditional Arabic" w:hint="cs"/>
            <w:rtl/>
          </w:rPr>
          <w:t>الشخص</w:t>
        </w:r>
        <w:r w:rsidRPr="00A705A5">
          <w:rPr>
            <w:rtl/>
          </w:rPr>
          <w:t xml:space="preserve"> </w:t>
        </w:r>
        <w:r w:rsidRPr="00A705A5">
          <w:rPr>
            <w:rFonts w:ascii="Traditional Arabic" w:hAnsi="Traditional Arabic" w:hint="cs"/>
            <w:rtl/>
          </w:rPr>
          <w:t>المختفي،</w:t>
        </w:r>
        <w:r w:rsidRPr="00A705A5">
          <w:rPr>
            <w:rtl/>
          </w:rPr>
          <w:t xml:space="preserve"> </w:t>
        </w:r>
        <w:r w:rsidRPr="00A705A5">
          <w:rPr>
            <w:rFonts w:ascii="Traditional Arabic" w:hAnsi="Traditional Arabic" w:hint="cs"/>
            <w:rtl/>
          </w:rPr>
          <w:t>يجب</w:t>
        </w:r>
        <w:r w:rsidRPr="00A705A5">
          <w:rPr>
            <w:rtl/>
          </w:rPr>
          <w:t xml:space="preserve"> </w:t>
        </w:r>
        <w:r w:rsidRPr="00A705A5">
          <w:rPr>
            <w:rFonts w:ascii="Traditional Arabic" w:hAnsi="Traditional Arabic" w:hint="cs"/>
            <w:rtl/>
          </w:rPr>
          <w:t>على</w:t>
        </w:r>
        <w:r w:rsidRPr="00A705A5">
          <w:rPr>
            <w:rtl/>
          </w:rPr>
          <w:t xml:space="preserve"> </w:t>
        </w:r>
        <w:r w:rsidRPr="00A705A5">
          <w:rPr>
            <w:rFonts w:ascii="Traditional Arabic" w:hAnsi="Traditional Arabic" w:hint="cs"/>
            <w:rtl/>
          </w:rPr>
          <w:t>كل</w:t>
        </w:r>
        <w:r w:rsidRPr="00A705A5">
          <w:rPr>
            <w:rtl/>
          </w:rPr>
          <w:t xml:space="preserve"> </w:t>
        </w:r>
        <w:r w:rsidRPr="00A705A5">
          <w:rPr>
            <w:rFonts w:ascii="Traditional Arabic" w:hAnsi="Traditional Arabic" w:hint="cs"/>
            <w:rtl/>
          </w:rPr>
          <w:t>دولة</w:t>
        </w:r>
        <w:r w:rsidRPr="00A705A5">
          <w:rPr>
            <w:rtl/>
          </w:rPr>
          <w:t xml:space="preserve"> </w:t>
        </w:r>
        <w:r w:rsidRPr="00A705A5">
          <w:rPr>
            <w:rFonts w:ascii="Traditional Arabic" w:hAnsi="Traditional Arabic" w:hint="cs"/>
            <w:rtl/>
          </w:rPr>
          <w:t>طرف</w:t>
        </w:r>
        <w:r w:rsidRPr="00A705A5">
          <w:rPr>
            <w:rtl/>
          </w:rPr>
          <w:t xml:space="preserve"> </w:t>
        </w:r>
        <w:r w:rsidRPr="00A705A5">
          <w:rPr>
            <w:rFonts w:ascii="Traditional Arabic" w:hAnsi="Traditional Arabic" w:hint="cs"/>
            <w:rtl/>
          </w:rPr>
          <w:t>أن</w:t>
        </w:r>
        <w:r w:rsidRPr="00A705A5">
          <w:rPr>
            <w:rtl/>
          </w:rPr>
          <w:t xml:space="preserve"> </w:t>
        </w:r>
        <w:r w:rsidRPr="00A705A5">
          <w:rPr>
            <w:rFonts w:ascii="Traditional Arabic" w:hAnsi="Traditional Arabic" w:hint="cs"/>
            <w:rtl/>
          </w:rPr>
          <w:t>تتخذ</w:t>
        </w:r>
        <w:r w:rsidRPr="00A705A5">
          <w:rPr>
            <w:rtl/>
          </w:rPr>
          <w:t xml:space="preserve"> </w:t>
        </w:r>
        <w:r w:rsidRPr="00A705A5">
          <w:rPr>
            <w:rFonts w:ascii="Traditional Arabic" w:hAnsi="Traditional Arabic" w:hint="cs"/>
            <w:rtl/>
          </w:rPr>
          <w:t>التدابير</w:t>
        </w:r>
        <w:r w:rsidRPr="00A705A5">
          <w:rPr>
            <w:rtl/>
          </w:rPr>
          <w:t xml:space="preserve"> </w:t>
        </w:r>
        <w:r w:rsidRPr="00A705A5">
          <w:rPr>
            <w:rFonts w:ascii="Traditional Arabic" w:hAnsi="Traditional Arabic" w:hint="cs"/>
            <w:rtl/>
          </w:rPr>
          <w:t>الملائمة</w:t>
        </w:r>
        <w:r w:rsidRPr="00A705A5">
          <w:rPr>
            <w:rtl/>
          </w:rPr>
          <w:t xml:space="preserve"> </w:t>
        </w:r>
        <w:r w:rsidRPr="00A705A5">
          <w:rPr>
            <w:rFonts w:ascii="Traditional Arabic" w:hAnsi="Traditional Arabic" w:hint="cs"/>
            <w:rtl/>
          </w:rPr>
          <w:t>بشأن</w:t>
        </w:r>
        <w:r w:rsidRPr="00A705A5">
          <w:rPr>
            <w:rtl/>
          </w:rPr>
          <w:t xml:space="preserve"> </w:t>
        </w:r>
        <w:r w:rsidRPr="00A705A5">
          <w:rPr>
            <w:rFonts w:ascii="Traditional Arabic" w:hAnsi="Traditional Arabic" w:hint="cs"/>
            <w:rtl/>
          </w:rPr>
          <w:t>الوضع</w:t>
        </w:r>
        <w:r w:rsidRPr="00A705A5">
          <w:rPr>
            <w:rtl/>
          </w:rPr>
          <w:t xml:space="preserve"> </w:t>
        </w:r>
        <w:r w:rsidRPr="00A705A5">
          <w:rPr>
            <w:rFonts w:ascii="Traditional Arabic" w:hAnsi="Traditional Arabic" w:hint="cs"/>
            <w:rtl/>
          </w:rPr>
          <w:t>القانوني</w:t>
        </w:r>
        <w:r w:rsidRPr="00A705A5">
          <w:rPr>
            <w:rtl/>
          </w:rPr>
          <w:t xml:space="preserve"> </w:t>
        </w:r>
        <w:r w:rsidRPr="00A705A5">
          <w:rPr>
            <w:rFonts w:ascii="Traditional Arabic" w:hAnsi="Traditional Arabic" w:hint="cs"/>
            <w:rtl/>
          </w:rPr>
          <w:t>للأشخاص</w:t>
        </w:r>
        <w:r w:rsidRPr="00A705A5">
          <w:rPr>
            <w:rtl/>
          </w:rPr>
          <w:t xml:space="preserve"> </w:t>
        </w:r>
        <w:r w:rsidRPr="00A705A5">
          <w:rPr>
            <w:rFonts w:ascii="Traditional Arabic" w:hAnsi="Traditional Arabic" w:hint="cs"/>
            <w:rtl/>
          </w:rPr>
          <w:t>المختفين</w:t>
        </w:r>
        <w:r w:rsidRPr="00A705A5">
          <w:rPr>
            <w:rtl/>
          </w:rPr>
          <w:t xml:space="preserve"> </w:t>
        </w:r>
        <w:r w:rsidRPr="00A705A5">
          <w:rPr>
            <w:rFonts w:ascii="Traditional Arabic" w:hAnsi="Traditional Arabic" w:hint="cs"/>
            <w:rtl/>
          </w:rPr>
          <w:t>الذين</w:t>
        </w:r>
        <w:r w:rsidRPr="00A705A5">
          <w:rPr>
            <w:rtl/>
          </w:rPr>
          <w:t xml:space="preserve"> </w:t>
        </w:r>
        <w:r w:rsidRPr="00A705A5">
          <w:rPr>
            <w:rFonts w:ascii="Traditional Arabic" w:hAnsi="Traditional Arabic" w:hint="cs"/>
            <w:rtl/>
          </w:rPr>
          <w:t>لم</w:t>
        </w:r>
        <w:r w:rsidRPr="00A705A5">
          <w:rPr>
            <w:rtl/>
          </w:rPr>
          <w:t xml:space="preserve"> </w:t>
        </w:r>
        <w:r w:rsidRPr="00A705A5">
          <w:rPr>
            <w:rFonts w:ascii="Traditional Arabic" w:hAnsi="Traditional Arabic" w:hint="cs"/>
            <w:rtl/>
          </w:rPr>
          <w:t>يتضح</w:t>
        </w:r>
        <w:r w:rsidRPr="00A705A5">
          <w:rPr>
            <w:rtl/>
          </w:rPr>
          <w:t xml:space="preserve"> </w:t>
        </w:r>
        <w:r w:rsidRPr="00A705A5">
          <w:rPr>
            <w:rFonts w:ascii="Traditional Arabic" w:hAnsi="Traditional Arabic" w:hint="cs"/>
            <w:rtl/>
          </w:rPr>
          <w:t>مصير</w:t>
        </w:r>
        <w:r w:rsidRPr="00A705A5">
          <w:rPr>
            <w:rtl/>
          </w:rPr>
          <w:t xml:space="preserve">هم والوضع القانوني لأقاربهم، في مجالات مثل الرعاية الاجتماعية والمسائل المالية وقانون الأسرة وحقوق الملكية. </w:t>
        </w:r>
        <w:r w:rsidRPr="00A705A5">
          <w:rPr>
            <w:rFonts w:ascii="Traditional Arabic" w:hAnsi="Traditional Arabic" w:hint="cs"/>
            <w:rtl/>
          </w:rPr>
          <w:t>وفي</w:t>
        </w:r>
        <w:r w:rsidRPr="00A705A5">
          <w:rPr>
            <w:rtl/>
          </w:rPr>
          <w:t xml:space="preserve"> </w:t>
        </w:r>
        <w:r w:rsidRPr="00A705A5">
          <w:rPr>
            <w:rFonts w:ascii="Traditional Arabic" w:hAnsi="Traditional Arabic" w:hint="cs"/>
            <w:rtl/>
          </w:rPr>
          <w:t>كل</w:t>
        </w:r>
        <w:r w:rsidRPr="00A705A5">
          <w:rPr>
            <w:rtl/>
          </w:rPr>
          <w:t xml:space="preserve"> </w:t>
        </w:r>
        <w:r w:rsidRPr="00A705A5">
          <w:rPr>
            <w:rFonts w:ascii="Traditional Arabic" w:hAnsi="Traditional Arabic" w:hint="cs"/>
            <w:rtl/>
          </w:rPr>
          <w:t>حالة</w:t>
        </w:r>
        <w:r w:rsidRPr="00A705A5">
          <w:rPr>
            <w:rtl/>
          </w:rPr>
          <w:t xml:space="preserve"> </w:t>
        </w:r>
        <w:r w:rsidRPr="00A705A5">
          <w:rPr>
            <w:rFonts w:ascii="Traditional Arabic" w:hAnsi="Traditional Arabic" w:hint="cs"/>
            <w:rtl/>
          </w:rPr>
          <w:t>من</w:t>
        </w:r>
        <w:r w:rsidRPr="00A705A5">
          <w:rPr>
            <w:rtl/>
          </w:rPr>
          <w:t xml:space="preserve"> </w:t>
        </w:r>
        <w:r w:rsidRPr="00A705A5">
          <w:rPr>
            <w:rFonts w:ascii="Traditional Arabic" w:hAnsi="Traditional Arabic" w:hint="cs"/>
            <w:rtl/>
          </w:rPr>
          <w:t>هذه</w:t>
        </w:r>
        <w:r w:rsidRPr="00A705A5">
          <w:rPr>
            <w:rtl/>
          </w:rPr>
          <w:t xml:space="preserve"> </w:t>
        </w:r>
        <w:r w:rsidRPr="00A705A5">
          <w:rPr>
            <w:rFonts w:ascii="Traditional Arabic" w:hAnsi="Traditional Arabic" w:hint="cs"/>
            <w:rtl/>
          </w:rPr>
          <w:t>الحالات،</w:t>
        </w:r>
        <w:r w:rsidRPr="00A705A5">
          <w:rPr>
            <w:rtl/>
          </w:rPr>
          <w:t xml:space="preserve"> </w:t>
        </w:r>
        <w:r w:rsidRPr="00A705A5">
          <w:rPr>
            <w:rFonts w:ascii="Traditional Arabic" w:hAnsi="Traditional Arabic" w:hint="cs"/>
            <w:rtl/>
          </w:rPr>
          <w:t>أوضحت</w:t>
        </w:r>
        <w:r w:rsidRPr="00A705A5">
          <w:rPr>
            <w:rtl/>
          </w:rPr>
          <w:t xml:space="preserve"> </w:t>
        </w:r>
        <w:r w:rsidRPr="00A705A5">
          <w:rPr>
            <w:rFonts w:ascii="Traditional Arabic" w:hAnsi="Traditional Arabic" w:hint="cs"/>
            <w:rtl/>
          </w:rPr>
          <w:t>اللجنة</w:t>
        </w:r>
        <w:r w:rsidRPr="00A705A5">
          <w:rPr>
            <w:rtl/>
          </w:rPr>
          <w:t xml:space="preserve"> </w:t>
        </w:r>
        <w:r w:rsidRPr="00A705A5">
          <w:rPr>
            <w:rFonts w:ascii="Traditional Arabic" w:hAnsi="Traditional Arabic" w:hint="cs"/>
            <w:rtl/>
          </w:rPr>
          <w:t>للدولة</w:t>
        </w:r>
        <w:r w:rsidRPr="00A705A5">
          <w:rPr>
            <w:rtl/>
          </w:rPr>
          <w:t xml:space="preserve"> </w:t>
        </w:r>
        <w:r w:rsidRPr="00A705A5">
          <w:rPr>
            <w:rFonts w:ascii="Traditional Arabic" w:hAnsi="Traditional Arabic" w:hint="cs"/>
            <w:rtl/>
          </w:rPr>
          <w:t>الطرف</w:t>
        </w:r>
        <w:r w:rsidRPr="00A705A5">
          <w:rPr>
            <w:rtl/>
          </w:rPr>
          <w:t xml:space="preserve"> </w:t>
        </w:r>
        <w:r w:rsidRPr="00A705A5">
          <w:rPr>
            <w:rFonts w:ascii="Traditional Arabic" w:hAnsi="Traditional Arabic" w:hint="cs"/>
            <w:rtl/>
          </w:rPr>
          <w:t>التدابير</w:t>
        </w:r>
        <w:r w:rsidRPr="00A705A5">
          <w:rPr>
            <w:rtl/>
          </w:rPr>
          <w:t xml:space="preserve"> </w:t>
        </w:r>
        <w:r w:rsidRPr="00A705A5">
          <w:rPr>
            <w:rFonts w:ascii="Traditional Arabic" w:hAnsi="Traditional Arabic" w:hint="cs"/>
            <w:rtl/>
          </w:rPr>
          <w:t>اللازمة</w:t>
        </w:r>
        <w:r w:rsidRPr="00A705A5">
          <w:rPr>
            <w:rtl/>
          </w:rPr>
          <w:t xml:space="preserve"> </w:t>
        </w:r>
        <w:r w:rsidRPr="00A705A5">
          <w:rPr>
            <w:rFonts w:ascii="Traditional Arabic" w:hAnsi="Traditional Arabic" w:hint="cs"/>
            <w:rtl/>
          </w:rPr>
          <w:t>بحسب</w:t>
        </w:r>
        <w:r w:rsidRPr="00A705A5">
          <w:rPr>
            <w:rtl/>
          </w:rPr>
          <w:t xml:space="preserve"> </w:t>
        </w:r>
        <w:r w:rsidRPr="00A705A5">
          <w:rPr>
            <w:rFonts w:ascii="Traditional Arabic" w:hAnsi="Traditional Arabic" w:hint="cs"/>
            <w:rtl/>
          </w:rPr>
          <w:t>الاحتياجات</w:t>
        </w:r>
        <w:r w:rsidRPr="00A705A5">
          <w:rPr>
            <w:rtl/>
          </w:rPr>
          <w:t xml:space="preserve"> </w:t>
        </w:r>
        <w:r w:rsidRPr="00A705A5">
          <w:rPr>
            <w:rFonts w:ascii="Traditional Arabic" w:hAnsi="Traditional Arabic" w:hint="cs"/>
            <w:rtl/>
          </w:rPr>
          <w:t>المحددة</w:t>
        </w:r>
        <w:r w:rsidRPr="00A705A5">
          <w:rPr>
            <w:rtl/>
          </w:rPr>
          <w:t xml:space="preserve"> </w:t>
        </w:r>
        <w:r w:rsidRPr="00A705A5">
          <w:rPr>
            <w:rFonts w:ascii="Traditional Arabic" w:hAnsi="Traditional Arabic" w:hint="cs"/>
            <w:rtl/>
          </w:rPr>
          <w:t>لأقارب</w:t>
        </w:r>
        <w:r w:rsidRPr="00A705A5">
          <w:rPr>
            <w:rtl/>
          </w:rPr>
          <w:t xml:space="preserve"> </w:t>
        </w:r>
        <w:r w:rsidRPr="00A705A5">
          <w:rPr>
            <w:rFonts w:ascii="Traditional Arabic" w:hAnsi="Traditional Arabic" w:hint="cs"/>
            <w:rtl/>
          </w:rPr>
          <w:t>الشخص</w:t>
        </w:r>
        <w:r w:rsidRPr="00A705A5">
          <w:rPr>
            <w:rtl/>
          </w:rPr>
          <w:t xml:space="preserve"> </w:t>
        </w:r>
        <w:r w:rsidRPr="00A705A5">
          <w:rPr>
            <w:rFonts w:ascii="Traditional Arabic" w:hAnsi="Traditional Arabic" w:hint="cs"/>
            <w:rtl/>
          </w:rPr>
          <w:t>المختفي،</w:t>
        </w:r>
        <w:r w:rsidRPr="00A705A5">
          <w:rPr>
            <w:rtl/>
          </w:rPr>
          <w:t xml:space="preserve"> </w:t>
        </w:r>
        <w:r w:rsidRPr="00A705A5">
          <w:rPr>
            <w:rFonts w:ascii="Traditional Arabic" w:hAnsi="Traditional Arabic" w:hint="cs"/>
            <w:rtl/>
          </w:rPr>
          <w:t>فيما</w:t>
        </w:r>
        <w:r w:rsidRPr="00A705A5">
          <w:rPr>
            <w:rtl/>
          </w:rPr>
          <w:t xml:space="preserve"> </w:t>
        </w:r>
        <w:r w:rsidRPr="00A705A5">
          <w:rPr>
            <w:rFonts w:ascii="Traditional Arabic" w:hAnsi="Traditional Arabic" w:hint="cs"/>
            <w:rtl/>
          </w:rPr>
          <w:t>يتعلق</w:t>
        </w:r>
        <w:r w:rsidRPr="00A705A5">
          <w:rPr>
            <w:rtl/>
          </w:rPr>
          <w:t xml:space="preserve"> </w:t>
        </w:r>
        <w:r w:rsidRPr="00A705A5">
          <w:rPr>
            <w:rFonts w:ascii="Traditional Arabic" w:hAnsi="Traditional Arabic" w:hint="cs"/>
            <w:rtl/>
          </w:rPr>
          <w:t>مثلاً</w:t>
        </w:r>
        <w:r w:rsidRPr="00A705A5">
          <w:rPr>
            <w:rtl/>
          </w:rPr>
          <w:t xml:space="preserve"> </w:t>
        </w:r>
        <w:r w:rsidRPr="00A705A5">
          <w:rPr>
            <w:rFonts w:ascii="Traditional Arabic" w:hAnsi="Traditional Arabic" w:hint="cs"/>
            <w:rtl/>
          </w:rPr>
          <w:t>بالحصول</w:t>
        </w:r>
        <w:r w:rsidRPr="00A705A5">
          <w:rPr>
            <w:rtl/>
          </w:rPr>
          <w:t xml:space="preserve"> </w:t>
        </w:r>
        <w:r w:rsidRPr="00A705A5">
          <w:rPr>
            <w:rFonts w:ascii="Traditional Arabic" w:hAnsi="Traditional Arabic" w:hint="cs"/>
            <w:rtl/>
          </w:rPr>
          <w:t>على</w:t>
        </w:r>
        <w:r w:rsidRPr="00A705A5">
          <w:rPr>
            <w:rtl/>
          </w:rPr>
          <w:t xml:space="preserve"> </w:t>
        </w:r>
        <w:r w:rsidRPr="00A705A5">
          <w:rPr>
            <w:rFonts w:ascii="Traditional Arabic" w:hAnsi="Traditional Arabic" w:hint="cs"/>
            <w:rtl/>
          </w:rPr>
          <w:t>ا</w:t>
        </w:r>
        <w:r w:rsidRPr="00A705A5">
          <w:rPr>
            <w:rtl/>
          </w:rPr>
          <w:t xml:space="preserve">لغذاء أو التعليم أو السكن أو الخدمات الصحية. وأشارت اللجنة أيضاً إلى التزام سلطات الدولة الطرف المختصة بإبلاغ أقارب الشخص المختفي بمضمون الدعم الذي يستحقونه من السلطات المختصة ونطاقه وإطاره الزمني. وطلبت اللجنة إلى الدولة الطرف أن تكفل أن تولي اللجنة التنفيذية لدعم الضحايا، عند وضع خطط الدعم وتنقيحها، الاعتبار الواجب لحالة المستفيدين واحتياجاتهم. </w:t>
        </w:r>
        <w:r w:rsidR="00A2287B" w:rsidRPr="00A705A5">
          <w:t>‬</w:t>
        </w:r>
      </w:dir>
    </w:p>
    <w:p w14:paraId="4CA7B0DE" w14:textId="26F5AEE3" w:rsidR="0019726F" w:rsidRPr="00A705A5" w:rsidRDefault="0019726F" w:rsidP="007F60B8">
      <w:pPr>
        <w:pStyle w:val="SingleTxtGA"/>
        <w:rPr>
          <w:rtl/>
        </w:rPr>
      </w:pPr>
      <w:r w:rsidRPr="00A705A5">
        <w:rPr>
          <w:szCs w:val="20"/>
          <w:rtl/>
        </w:rPr>
        <w:t>36</w:t>
      </w:r>
      <w:r w:rsidRPr="00A705A5">
        <w:rPr>
          <w:rtl/>
        </w:rPr>
        <w:t>-</w:t>
      </w:r>
      <w:r w:rsidRPr="00A705A5">
        <w:rPr>
          <w:rtl/>
        </w:rPr>
        <w:tab/>
        <w:t xml:space="preserve">وتأسف اللجنة لاستمرار اختفاء </w:t>
      </w:r>
      <w:r w:rsidRPr="00A705A5">
        <w:rPr>
          <w:szCs w:val="20"/>
          <w:rtl/>
        </w:rPr>
        <w:t>368</w:t>
      </w:r>
      <w:r w:rsidRPr="00A705A5">
        <w:rPr>
          <w:rtl/>
        </w:rPr>
        <w:t xml:space="preserve"> شخصاً من بين الـ </w:t>
      </w:r>
      <w:r w:rsidRPr="00A705A5">
        <w:rPr>
          <w:szCs w:val="20"/>
          <w:rtl/>
        </w:rPr>
        <w:t>412</w:t>
      </w:r>
      <w:r w:rsidRPr="00A705A5">
        <w:rPr>
          <w:rtl/>
        </w:rPr>
        <w:t xml:space="preserve"> شخصاً الذين سجلت اللجنة </w:t>
      </w:r>
      <w:r w:rsidRPr="00A705A5">
        <w:rPr>
          <w:spacing w:val="-2"/>
          <w:rtl/>
        </w:rPr>
        <w:t>نيابة عنهم طلبات لاتخاذ الإجراءات العاجلة تتعلق بأحداث وقعت في المكسيك. ولا تزال هذه القضايا</w:t>
      </w:r>
      <w:r w:rsidRPr="00A705A5">
        <w:rPr>
          <w:rtl/>
        </w:rPr>
        <w:t xml:space="preserve"> الـ</w:t>
      </w:r>
      <w:r w:rsidR="003C4339" w:rsidRPr="00A705A5">
        <w:rPr>
          <w:rFonts w:hint="cs"/>
          <w:rtl/>
        </w:rPr>
        <w:t> </w:t>
      </w:r>
      <w:r w:rsidRPr="00A705A5">
        <w:rPr>
          <w:szCs w:val="20"/>
          <w:rtl/>
        </w:rPr>
        <w:t>368</w:t>
      </w:r>
      <w:r w:rsidRPr="00A705A5">
        <w:rPr>
          <w:rtl/>
        </w:rPr>
        <w:t xml:space="preserve"> مفتوحة، وتدعو اللجنة بشكل دوري مقدمي البلاغات والدولة الطرف إلى الرد على طلباتها التي تلتمس فيها تقديم تعليقات وملاحظات. </w:t>
      </w:r>
    </w:p>
    <w:p w14:paraId="58390977" w14:textId="5717A6BE" w:rsidR="0019726F" w:rsidRPr="00A705A5" w:rsidRDefault="0019726F" w:rsidP="007F60B8">
      <w:pPr>
        <w:pStyle w:val="SingleTxtGA"/>
        <w:rPr>
          <w:spacing w:val="-2"/>
          <w:rtl/>
        </w:rPr>
      </w:pPr>
      <w:r w:rsidRPr="00A705A5">
        <w:rPr>
          <w:spacing w:val="-2"/>
          <w:szCs w:val="20"/>
          <w:rtl/>
        </w:rPr>
        <w:t>37</w:t>
      </w:r>
      <w:r w:rsidRPr="00A705A5">
        <w:rPr>
          <w:spacing w:val="-2"/>
          <w:rtl/>
        </w:rPr>
        <w:t>-</w:t>
      </w:r>
      <w:r w:rsidRPr="00A705A5">
        <w:rPr>
          <w:spacing w:val="-2"/>
          <w:rtl/>
        </w:rPr>
        <w:tab/>
        <w:t xml:space="preserve">وفي هذا السياق، تود اللجنة أن تشير إلى طلبات اتخاذ الإجراءات العاجلة المسجلة في </w:t>
      </w:r>
      <w:r w:rsidRPr="00A705A5">
        <w:rPr>
          <w:spacing w:val="-2"/>
          <w:szCs w:val="20"/>
          <w:rtl/>
        </w:rPr>
        <w:t>10</w:t>
      </w:r>
      <w:r w:rsidRPr="00A705A5">
        <w:rPr>
          <w:spacing w:val="-2"/>
          <w:rtl/>
        </w:rPr>
        <w:t xml:space="preserve"> تشرين الأول/أكتوبر </w:t>
      </w:r>
      <w:r w:rsidRPr="00A705A5">
        <w:rPr>
          <w:spacing w:val="-2"/>
          <w:szCs w:val="20"/>
          <w:rtl/>
        </w:rPr>
        <w:t>2014</w:t>
      </w:r>
      <w:r w:rsidRPr="00A705A5">
        <w:rPr>
          <w:spacing w:val="-2"/>
          <w:rtl/>
        </w:rPr>
        <w:t xml:space="preserve"> بشأن اختفاء </w:t>
      </w:r>
      <w:r w:rsidRPr="00A705A5">
        <w:rPr>
          <w:spacing w:val="-2"/>
          <w:szCs w:val="20"/>
          <w:rtl/>
        </w:rPr>
        <w:t>43</w:t>
      </w:r>
      <w:r w:rsidRPr="00A705A5">
        <w:rPr>
          <w:spacing w:val="-2"/>
          <w:rtl/>
        </w:rPr>
        <w:t xml:space="preserve"> طالب</w:t>
      </w:r>
      <w:r w:rsidR="00A705A5" w:rsidRPr="00A705A5">
        <w:rPr>
          <w:spacing w:val="-2"/>
          <w:rtl/>
        </w:rPr>
        <w:t xml:space="preserve">اً </w:t>
      </w:r>
      <w:r w:rsidRPr="00A705A5">
        <w:rPr>
          <w:spacing w:val="-2"/>
          <w:rtl/>
        </w:rPr>
        <w:t xml:space="preserve">من أيوتسينابا في </w:t>
      </w:r>
      <w:r w:rsidRPr="00A705A5">
        <w:rPr>
          <w:spacing w:val="-2"/>
          <w:szCs w:val="20"/>
          <w:rtl/>
        </w:rPr>
        <w:t>26</w:t>
      </w:r>
      <w:r w:rsidRPr="00A705A5">
        <w:rPr>
          <w:spacing w:val="-2"/>
          <w:rtl/>
        </w:rPr>
        <w:t xml:space="preserve"> أيلول/سبتمبر </w:t>
      </w:r>
      <w:r w:rsidRPr="00A705A5">
        <w:rPr>
          <w:spacing w:val="-2"/>
          <w:szCs w:val="20"/>
          <w:rtl/>
        </w:rPr>
        <w:t>2014</w:t>
      </w:r>
      <w:r w:rsidRPr="00A705A5">
        <w:rPr>
          <w:spacing w:val="-2"/>
          <w:rtl/>
        </w:rPr>
        <w:t xml:space="preserve">، وأن تشير إلى قراراتها السابقة المتعلقة بدعم إجراءات لجنة البلدان الأمريكية لحقوق الإنسان، من خلال كل من فريق الخبراء المستقلين وآليات المتابعة المنشأة بعد ذلك، بما فيها فريق الخبراء المتعدد التخصصات الذي أُنشئ مؤخراً. وفي هذا السياق، تؤكد اللجنة المعنية بحالات الاختفاء القسري أهمية تجنب الازدواجية في تدخلات آليات حقوق الإنسان. ومع ذلك، تود اللجنة أن تؤكد أن طبيعة آليات لجنة البلدان الأمريكية لحقوق الإنسان تختلف عن طبيعة عملية الإجراءات العاجلة. وتذكِّر اللجنة كذلك بأن جميع الإجراءات العاجلة، وفقاً للمادة </w:t>
      </w:r>
      <w:r w:rsidRPr="00A705A5">
        <w:rPr>
          <w:spacing w:val="-2"/>
          <w:szCs w:val="20"/>
          <w:rtl/>
        </w:rPr>
        <w:t>30</w:t>
      </w:r>
      <w:r w:rsidRPr="00A705A5">
        <w:rPr>
          <w:spacing w:val="-2"/>
          <w:rtl/>
        </w:rPr>
        <w:t>(</w:t>
      </w:r>
      <w:r w:rsidRPr="00A705A5">
        <w:rPr>
          <w:spacing w:val="-2"/>
          <w:szCs w:val="20"/>
          <w:rtl/>
        </w:rPr>
        <w:t>4</w:t>
      </w:r>
      <w:r w:rsidRPr="00A705A5">
        <w:rPr>
          <w:spacing w:val="-2"/>
          <w:rtl/>
        </w:rPr>
        <w:t xml:space="preserve">) من الاتفاقية، ستظل مفتوحةً "ما دام مصير الشخص الذي يجري البحث عنه لم يتضح بعد". </w:t>
      </w:r>
    </w:p>
    <w:p w14:paraId="1F2D0BC0" w14:textId="63F08901" w:rsidR="0019726F" w:rsidRPr="00A705A5" w:rsidRDefault="0019726F" w:rsidP="0019726F">
      <w:pPr>
        <w:pStyle w:val="H1GA"/>
        <w:rPr>
          <w:rtl/>
        </w:rPr>
      </w:pPr>
      <w:r w:rsidRPr="00A705A5">
        <w:rPr>
          <w:rtl/>
        </w:rPr>
        <w:tab/>
        <w:t>دال-</w:t>
      </w:r>
      <w:r w:rsidRPr="00A705A5">
        <w:rPr>
          <w:rtl/>
        </w:rPr>
        <w:tab/>
        <w:t>طلبات الإجراءات العاجلة التي أُوقف النظر فيها أو أُغلقت أو لا تزال مفتوحة لحماية الأشخاص المستفيدين من تدابير مؤقتة</w:t>
      </w:r>
    </w:p>
    <w:p w14:paraId="1E287F59" w14:textId="77777777" w:rsidR="0019726F" w:rsidRPr="00A705A5" w:rsidRDefault="0019726F" w:rsidP="0019726F">
      <w:pPr>
        <w:pStyle w:val="SingleTxtGA"/>
        <w:rPr>
          <w:rtl/>
        </w:rPr>
      </w:pPr>
      <w:r w:rsidRPr="00A705A5">
        <w:rPr>
          <w:szCs w:val="20"/>
          <w:rtl/>
        </w:rPr>
        <w:t>38</w:t>
      </w:r>
      <w:r w:rsidRPr="00A705A5">
        <w:rPr>
          <w:rtl/>
        </w:rPr>
        <w:t>-</w:t>
      </w:r>
      <w:r w:rsidRPr="00A705A5">
        <w:rPr>
          <w:rtl/>
        </w:rPr>
        <w:tab/>
        <w:t>وفقاً للمعايير التي اعتمدتها اللجنة في جلسة عامة في دورتها الثامنة:</w:t>
      </w:r>
    </w:p>
    <w:p w14:paraId="12AA2E76" w14:textId="77777777" w:rsidR="0019726F" w:rsidRPr="00A705A5" w:rsidRDefault="0019726F" w:rsidP="0019726F">
      <w:pPr>
        <w:pStyle w:val="SingleTxtGA"/>
        <w:rPr>
          <w:rtl/>
        </w:rPr>
      </w:pPr>
      <w:r w:rsidRPr="00A705A5">
        <w:rPr>
          <w:rtl/>
        </w:rPr>
        <w:tab/>
        <w:t>(أ)</w:t>
      </w:r>
      <w:r w:rsidRPr="00A705A5">
        <w:rPr>
          <w:rtl/>
        </w:rPr>
        <w:tab/>
        <w:t>يوقَف الإجراء العاجل عندما يُحدَّد مكان الشخص المختفي ولكنه لا يزال محتجزاً؛ وسبب اتخاذ هذه الخطوة هو أن الشخص المعني يكون أشد تعرضاً لخطر الوقوع ضحية اختفاء قسري جديد والخروج من نطاق حماية القانون؛</w:t>
      </w:r>
    </w:p>
    <w:p w14:paraId="25C51007" w14:textId="77777777" w:rsidR="0019726F" w:rsidRPr="00A705A5" w:rsidRDefault="0019726F" w:rsidP="0019726F">
      <w:pPr>
        <w:pStyle w:val="SingleTxtGA"/>
        <w:rPr>
          <w:rtl/>
        </w:rPr>
      </w:pPr>
      <w:r w:rsidRPr="00A705A5">
        <w:rPr>
          <w:rtl/>
        </w:rPr>
        <w:tab/>
        <w:t>(ب)</w:t>
      </w:r>
      <w:r w:rsidRPr="00A705A5">
        <w:rPr>
          <w:rtl/>
        </w:rPr>
        <w:tab/>
        <w:t>يُغلَق الإجراء العاجل متى عُثر على الشخص المختفي حراً طليقاً، أو عُرف مكانه وأُفرج عنه، أو عُثر عليه ميتاً، شريطة ألا يعترض أفراد أسرته و/أو مقدمو الطلب على هذه الوقائع؛</w:t>
      </w:r>
    </w:p>
    <w:p w14:paraId="1404A800" w14:textId="77777777" w:rsidR="0019726F" w:rsidRPr="00A705A5" w:rsidRDefault="0019726F" w:rsidP="0019726F">
      <w:pPr>
        <w:pStyle w:val="SingleTxtGA"/>
        <w:rPr>
          <w:rtl/>
        </w:rPr>
      </w:pPr>
      <w:r w:rsidRPr="00A705A5">
        <w:rPr>
          <w:rtl/>
        </w:rPr>
        <w:tab/>
        <w:t>(ج)</w:t>
      </w:r>
      <w:r w:rsidRPr="00A705A5">
        <w:rPr>
          <w:rtl/>
        </w:rPr>
        <w:tab/>
        <w:t>يظل الإجراء العاجل مفتوحاً إذا حُدد مكان الشخص المختفي ولكن لا يزال الأشخاص الذين مُنحوا تدابير مؤقتة في سياق الإجراء العاجل معرضين للتهديد؛ وفي هذه الحالات، يقتصر تدخل اللجنة على متابعة التدابير المؤقتة.</w:t>
      </w:r>
    </w:p>
    <w:p w14:paraId="11ADB81B" w14:textId="77777777" w:rsidR="0019726F" w:rsidRPr="00A705A5" w:rsidRDefault="0019726F" w:rsidP="0019726F">
      <w:pPr>
        <w:pStyle w:val="SingleTxtGA"/>
        <w:rPr>
          <w:rtl/>
        </w:rPr>
      </w:pPr>
      <w:r w:rsidRPr="00A705A5">
        <w:rPr>
          <w:szCs w:val="20"/>
          <w:rtl/>
        </w:rPr>
        <w:lastRenderedPageBreak/>
        <w:t>39</w:t>
      </w:r>
      <w:r w:rsidRPr="00A705A5">
        <w:rPr>
          <w:rtl/>
        </w:rPr>
        <w:t>-</w:t>
      </w:r>
      <w:r w:rsidRPr="00A705A5">
        <w:rPr>
          <w:rtl/>
        </w:rPr>
        <w:tab/>
        <w:t xml:space="preserve">وفي وقت كتابة هذا التقرير، كانت اللجنة قد أغلقت </w:t>
      </w:r>
      <w:r w:rsidRPr="00A705A5">
        <w:rPr>
          <w:szCs w:val="20"/>
          <w:rtl/>
        </w:rPr>
        <w:t>71</w:t>
      </w:r>
      <w:r w:rsidRPr="00A705A5">
        <w:rPr>
          <w:rtl/>
        </w:rPr>
        <w:t xml:space="preserve"> حالة من حالات الإجراءات العاجلة وأوقفت النظر في </w:t>
      </w:r>
      <w:r w:rsidRPr="00A705A5">
        <w:rPr>
          <w:szCs w:val="20"/>
          <w:rtl/>
        </w:rPr>
        <w:t>13</w:t>
      </w:r>
      <w:r w:rsidRPr="00A705A5">
        <w:rPr>
          <w:rtl/>
        </w:rPr>
        <w:t xml:space="preserve"> حالة. وتعرب اللجنة عن ارتياحها بوجه خاص بشأن الحالات التي عُثر فيها على الأشخاص المختفين أحياء. وتود اللجنة أن تبرز النتائج الإيجابية التي لوحظت خلال الفترة قيد الاستعراض في طلبات اتخاذ الإجراءات العاجلة المسجلة بشأن الحالة الموجودة في دولة بوليفيا المتعددة القوميات وثلاث حالات في المكسيك. </w:t>
      </w:r>
    </w:p>
    <w:p w14:paraId="507CAED0" w14:textId="706B2E32" w:rsidR="0019726F" w:rsidRPr="00A705A5" w:rsidRDefault="0019726F" w:rsidP="0019726F">
      <w:pPr>
        <w:pStyle w:val="SingleTxtGA"/>
        <w:rPr>
          <w:rtl/>
        </w:rPr>
      </w:pPr>
      <w:r w:rsidRPr="00A705A5">
        <w:rPr>
          <w:szCs w:val="20"/>
          <w:rtl/>
        </w:rPr>
        <w:t>40</w:t>
      </w:r>
      <w:r w:rsidRPr="00A705A5">
        <w:rPr>
          <w:rtl/>
        </w:rPr>
        <w:t>-</w:t>
      </w:r>
      <w:r w:rsidRPr="00A705A5">
        <w:rPr>
          <w:rtl/>
        </w:rPr>
        <w:tab/>
        <w:t xml:space="preserve">وفي اثنتين من حالات الإجراءات العاجلة التي عُثر فيها على الأشخاص المختفين أمواتاً </w:t>
      </w:r>
      <w:r w:rsidRPr="00A705A5">
        <w:rPr>
          <w:spacing w:val="-2"/>
          <w:rtl/>
        </w:rPr>
        <w:t xml:space="preserve">(الحالة رقم </w:t>
      </w:r>
      <w:r w:rsidRPr="00A705A5">
        <w:rPr>
          <w:spacing w:val="-2"/>
          <w:szCs w:val="20"/>
          <w:rtl/>
        </w:rPr>
        <w:t>12</w:t>
      </w:r>
      <w:r w:rsidRPr="00A705A5">
        <w:rPr>
          <w:spacing w:val="-2"/>
          <w:rtl/>
        </w:rPr>
        <w:t>/</w:t>
      </w:r>
      <w:r w:rsidRPr="00A705A5">
        <w:rPr>
          <w:spacing w:val="-2"/>
          <w:szCs w:val="20"/>
          <w:rtl/>
        </w:rPr>
        <w:t>2014</w:t>
      </w:r>
      <w:r w:rsidRPr="00A705A5">
        <w:rPr>
          <w:spacing w:val="-2"/>
          <w:rtl/>
        </w:rPr>
        <w:t xml:space="preserve"> المتعلقة بكولومبيا، ورقم </w:t>
      </w:r>
      <w:r w:rsidRPr="00A705A5">
        <w:rPr>
          <w:spacing w:val="-2"/>
          <w:szCs w:val="20"/>
          <w:rtl/>
        </w:rPr>
        <w:t>8</w:t>
      </w:r>
      <w:r w:rsidRPr="00A705A5">
        <w:rPr>
          <w:spacing w:val="-2"/>
          <w:rtl/>
        </w:rPr>
        <w:t>/</w:t>
      </w:r>
      <w:r w:rsidRPr="00A705A5">
        <w:rPr>
          <w:spacing w:val="-2"/>
          <w:szCs w:val="20"/>
          <w:rtl/>
        </w:rPr>
        <w:t>2013</w:t>
      </w:r>
      <w:r w:rsidRPr="00A705A5">
        <w:rPr>
          <w:spacing w:val="-2"/>
          <w:rtl/>
        </w:rPr>
        <w:t xml:space="preserve"> المتعلقة بالمكسيك)، ظل الإجراء العاجل مفتوحاً</w:t>
      </w:r>
      <w:r w:rsidRPr="00A705A5">
        <w:rPr>
          <w:rtl/>
        </w:rPr>
        <w:t xml:space="preserve"> لأن الأشخاص الذين اتُخذت لصالحهم تدابير مؤقتة كانوا لا يزالون معرضين للتهديد.</w:t>
      </w:r>
      <w:r w:rsidR="00FF7DDF" w:rsidRPr="00A705A5">
        <w:rPr>
          <w:rFonts w:hint="cs"/>
          <w:rtl/>
        </w:rPr>
        <w:t xml:space="preserve"> </w:t>
      </w:r>
    </w:p>
    <w:p w14:paraId="5A4B3495" w14:textId="77777777" w:rsidR="0019726F" w:rsidRPr="00A705A5" w:rsidRDefault="0019726F" w:rsidP="0019726F">
      <w:pPr>
        <w:pStyle w:val="SingleTxtGA"/>
        <w:rPr>
          <w:rtl/>
        </w:rPr>
      </w:pPr>
      <w:r w:rsidRPr="00A705A5">
        <w:rPr>
          <w:szCs w:val="20"/>
          <w:rtl/>
        </w:rPr>
        <w:t>41</w:t>
      </w:r>
      <w:r w:rsidRPr="00A705A5">
        <w:rPr>
          <w:rtl/>
        </w:rPr>
        <w:t>-</w:t>
      </w:r>
      <w:r w:rsidRPr="00A705A5">
        <w:rPr>
          <w:rtl/>
        </w:rPr>
        <w:tab/>
        <w:t>وفيما يتعلق بطلبي اتخاذ الإجراءات العاجلة بشأن حالات في توغو وطلب اتخاذ الإجراءات العاجلة فيما يتعلق بسري لانكا، أُبلغت اللجنة بأن مقدمي الطلبات الثلاثة قدموا طلباتهم وهم يعلمون أنه لم يحدث أي اختفاء. ولذلك أُغلقت هذه الحالات وأُبلغت جميع الأطراف المعنية بذلك.</w:t>
      </w:r>
    </w:p>
    <w:p w14:paraId="122D1BDD" w14:textId="1DC4C7AD" w:rsidR="0019726F" w:rsidRPr="00A705A5" w:rsidRDefault="0019726F" w:rsidP="0019726F">
      <w:pPr>
        <w:pStyle w:val="H1GA"/>
        <w:rPr>
          <w:rtl/>
        </w:rPr>
      </w:pPr>
      <w:r w:rsidRPr="00A705A5">
        <w:rPr>
          <w:rtl/>
        </w:rPr>
        <w:tab/>
        <w:t>هاء-</w:t>
      </w:r>
      <w:r w:rsidRPr="00A705A5">
        <w:rPr>
          <w:rtl/>
        </w:rPr>
        <w:tab/>
        <w:t>بنود ناقشتها اللجنة في دورتها التاسعة عشرة</w:t>
      </w:r>
    </w:p>
    <w:p w14:paraId="679297B1" w14:textId="77777777" w:rsidR="0019726F" w:rsidRPr="00A705A5" w:rsidRDefault="0019726F" w:rsidP="0019726F">
      <w:pPr>
        <w:pStyle w:val="SingleTxtGA"/>
        <w:rPr>
          <w:rtl/>
        </w:rPr>
      </w:pPr>
      <w:r w:rsidRPr="00A705A5">
        <w:rPr>
          <w:szCs w:val="20"/>
          <w:rtl/>
        </w:rPr>
        <w:t>42</w:t>
      </w:r>
      <w:r w:rsidRPr="00A705A5">
        <w:rPr>
          <w:rtl/>
        </w:rPr>
        <w:t>-</w:t>
      </w:r>
      <w:r w:rsidRPr="00A705A5">
        <w:rPr>
          <w:rtl/>
        </w:rPr>
        <w:tab/>
        <w:t xml:space="preserve">كررت اللجنة القول إن تزايد عدد طلبات اتخاذ الإجراءات العاجلة المسجلة يتطلب زيادة عدد موظفي المفوضية السامية لحقوق الإنسان المكرسين لمعالجة </w:t>
      </w:r>
      <w:bookmarkStart w:id="0" w:name="_GoBack"/>
      <w:bookmarkEnd w:id="0"/>
      <w:r w:rsidRPr="00A705A5">
        <w:rPr>
          <w:rtl/>
        </w:rPr>
        <w:t>هذه الطلبات.</w:t>
      </w:r>
    </w:p>
    <w:p w14:paraId="7DD25A28" w14:textId="4CA16E46" w:rsidR="0019726F" w:rsidRPr="00A705A5" w:rsidRDefault="0019726F" w:rsidP="0019726F">
      <w:pPr>
        <w:pStyle w:val="SingleTxtGA"/>
        <w:rPr>
          <w:rtl/>
        </w:rPr>
      </w:pPr>
      <w:r w:rsidRPr="00A705A5">
        <w:rPr>
          <w:szCs w:val="20"/>
          <w:rtl/>
        </w:rPr>
        <w:t>43</w:t>
      </w:r>
      <w:r w:rsidRPr="00A705A5">
        <w:rPr>
          <w:rtl/>
        </w:rPr>
        <w:t>-</w:t>
      </w:r>
      <w:r w:rsidRPr="00A705A5">
        <w:rPr>
          <w:rtl/>
        </w:rPr>
        <w:tab/>
        <w:t>وزادت اللجنة عدد أعضاء الفريق العامل المعني بالإجراءات العاجلة بعضو إضافي. وظل توزيع المهام داخل الفريق العامل قائم</w:t>
      </w:r>
      <w:r w:rsidR="00A705A5" w:rsidRPr="00A705A5">
        <w:rPr>
          <w:rtl/>
        </w:rPr>
        <w:t xml:space="preserve">اً </w:t>
      </w:r>
      <w:r w:rsidRPr="00A705A5">
        <w:rPr>
          <w:rtl/>
        </w:rPr>
        <w:t>بلغة العمل.</w:t>
      </w:r>
    </w:p>
    <w:p w14:paraId="67C005DE" w14:textId="19CE5C11" w:rsidR="0019726F" w:rsidRDefault="0019726F" w:rsidP="0019726F">
      <w:pPr>
        <w:pStyle w:val="SingleTxtGA"/>
        <w:rPr>
          <w:rtl/>
        </w:rPr>
      </w:pPr>
      <w:r w:rsidRPr="00A705A5">
        <w:rPr>
          <w:szCs w:val="20"/>
          <w:rtl/>
        </w:rPr>
        <w:t>44</w:t>
      </w:r>
      <w:r w:rsidRPr="00A705A5">
        <w:rPr>
          <w:rtl/>
        </w:rPr>
        <w:t>-</w:t>
      </w:r>
      <w:r w:rsidRPr="00A705A5">
        <w:rPr>
          <w:rtl/>
        </w:rPr>
        <w:tab/>
        <w:t>وقررت اللجنة نشر تقاريرها المتعلقة بطلبات اتخاذ الإجراءات العاجلة على صفحتها الشبكية الرئيسية، وكذلك على الصفحة الشبكية للدورة ذات الصلة، لزيادة إبراز أهميتها، وقررت أيضاً إصدار نشرات صحفية، حسب الاقتضاء، عن التقارير المتعلقة بطلبات اتخاذ الإجراءات العاجلة وعن أثر هذه الطلبات.</w:t>
      </w:r>
    </w:p>
    <w:p w14:paraId="1CAEC6EE" w14:textId="78124843" w:rsidR="00FF7DDF" w:rsidRPr="00FF7DDF" w:rsidRDefault="00FF7DDF" w:rsidP="00FF7DDF">
      <w:pPr>
        <w:spacing w:before="120"/>
        <w:jc w:val="center"/>
        <w:rPr>
          <w:u w:val="single"/>
          <w:rtl/>
        </w:rPr>
      </w:pPr>
      <w:r>
        <w:rPr>
          <w:u w:val="single"/>
          <w:rtl/>
        </w:rPr>
        <w:tab/>
      </w:r>
      <w:r>
        <w:rPr>
          <w:u w:val="single"/>
          <w:rtl/>
        </w:rPr>
        <w:tab/>
      </w:r>
      <w:r>
        <w:rPr>
          <w:u w:val="single"/>
          <w:rtl/>
        </w:rPr>
        <w:tab/>
      </w:r>
    </w:p>
    <w:sectPr w:rsidR="00FF7DDF" w:rsidRPr="00FF7DDF" w:rsidSect="008B686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77C91" w14:textId="77777777" w:rsidR="00A2287B" w:rsidRPr="002901D9" w:rsidRDefault="00A2287B" w:rsidP="002901D9">
      <w:pPr>
        <w:spacing w:after="60" w:line="240" w:lineRule="auto"/>
        <w:rPr>
          <w:i/>
          <w:iCs/>
        </w:rPr>
      </w:pPr>
      <w:r>
        <w:rPr>
          <w:rFonts w:hint="cs"/>
          <w:i/>
          <w:iCs/>
          <w:rtl/>
        </w:rPr>
        <w:t>الحواشي</w:t>
      </w:r>
    </w:p>
  </w:endnote>
  <w:endnote w:type="continuationSeparator" w:id="0">
    <w:p w14:paraId="7FD36598" w14:textId="77777777" w:rsidR="00A2287B" w:rsidRDefault="00A2287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B9206" w14:textId="77777777" w:rsidR="00A2287B" w:rsidRPr="0019726F" w:rsidRDefault="00A2287B" w:rsidP="0019726F">
    <w:pPr>
      <w:pStyle w:val="Footer"/>
      <w:tabs>
        <w:tab w:val="right" w:pos="9598"/>
      </w:tabs>
      <w:rPr>
        <w:sz w:val="17"/>
      </w:rPr>
    </w:pPr>
    <w:r>
      <w:rPr>
        <w:sz w:val="17"/>
      </w:rPr>
      <w:t>GE.20-14276</w:t>
    </w:r>
    <w:r>
      <w:rPr>
        <w:sz w:val="17"/>
      </w:rPr>
      <w:tab/>
    </w:r>
    <w:r w:rsidRPr="0019726F">
      <w:rPr>
        <w:b/>
        <w:sz w:val="18"/>
      </w:rPr>
      <w:fldChar w:fldCharType="begin"/>
    </w:r>
    <w:r w:rsidRPr="0019726F">
      <w:rPr>
        <w:b/>
        <w:sz w:val="18"/>
      </w:rPr>
      <w:instrText xml:space="preserve"> PAGE  \* MERGEFORMAT </w:instrText>
    </w:r>
    <w:r w:rsidRPr="0019726F">
      <w:rPr>
        <w:b/>
        <w:sz w:val="18"/>
      </w:rPr>
      <w:fldChar w:fldCharType="separate"/>
    </w:r>
    <w:r>
      <w:rPr>
        <w:b/>
        <w:sz w:val="18"/>
      </w:rPr>
      <w:t>2</w:t>
    </w:r>
    <w:r w:rsidRPr="0019726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6F070" w14:textId="77777777" w:rsidR="00A2287B" w:rsidRPr="0019726F" w:rsidRDefault="00A2287B" w:rsidP="006959B0">
    <w:pPr>
      <w:pStyle w:val="Footer"/>
      <w:tabs>
        <w:tab w:val="right" w:pos="9599"/>
      </w:tabs>
      <w:jc w:val="left"/>
      <w:rPr>
        <w:b/>
        <w:sz w:val="18"/>
        <w:lang w:val="en-US"/>
      </w:rPr>
    </w:pPr>
    <w:r w:rsidRPr="0019726F">
      <w:rPr>
        <w:b/>
        <w:sz w:val="18"/>
        <w:lang w:val="en-US"/>
      </w:rPr>
      <w:fldChar w:fldCharType="begin"/>
    </w:r>
    <w:r w:rsidRPr="0019726F">
      <w:rPr>
        <w:b/>
        <w:sz w:val="18"/>
        <w:lang w:val="en-US"/>
      </w:rPr>
      <w:instrText xml:space="preserve"> PAGE  \* MERGEFORMAT </w:instrText>
    </w:r>
    <w:r w:rsidRPr="0019726F">
      <w:rPr>
        <w:b/>
        <w:sz w:val="18"/>
        <w:lang w:val="en-US"/>
      </w:rPr>
      <w:fldChar w:fldCharType="separate"/>
    </w:r>
    <w:r w:rsidRPr="0019726F">
      <w:rPr>
        <w:b/>
        <w:noProof/>
        <w:sz w:val="18"/>
        <w:lang w:val="en-US"/>
      </w:rPr>
      <w:t>3</w:t>
    </w:r>
    <w:r w:rsidRPr="0019726F">
      <w:rPr>
        <w:b/>
        <w:sz w:val="18"/>
        <w:lang w:val="en-US"/>
      </w:rPr>
      <w:fldChar w:fldCharType="end"/>
    </w:r>
    <w:r>
      <w:rPr>
        <w:b/>
        <w:sz w:val="18"/>
        <w:lang w:val="en-US"/>
      </w:rPr>
      <w:tab/>
    </w:r>
    <w:r>
      <w:rPr>
        <w:sz w:val="17"/>
        <w:lang w:val="en-US"/>
      </w:rPr>
      <w:t>GE.20-14276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DFCA6" w14:textId="166E2800" w:rsidR="00A2287B" w:rsidRDefault="00A2287B" w:rsidP="00F6741C">
    <w:pPr>
      <w:pStyle w:val="Footer"/>
      <w:spacing w:before="360"/>
      <w:jc w:val="right"/>
      <w:rPr>
        <w:sz w:val="20"/>
        <w:szCs w:val="20"/>
      </w:rPr>
    </w:pPr>
    <w:r>
      <w:rPr>
        <w:sz w:val="20"/>
        <w:szCs w:val="20"/>
      </w:rPr>
      <w:t>GE.20-14276</w:t>
    </w:r>
    <w:r w:rsidR="00142F35">
      <w:rPr>
        <w:noProof/>
      </w:rPr>
      <w:drawing>
        <wp:anchor distT="0" distB="0" distL="114300" distR="114300" simplePos="0" relativeHeight="251657728" behindDoc="1" locked="1" layoutInCell="0" allowOverlap="1" wp14:anchorId="73F438D8" wp14:editId="7CD870D9">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14:paraId="7AF23CC6" w14:textId="3B1372B6" w:rsidR="00A2287B" w:rsidRPr="008B6861" w:rsidRDefault="00A2287B" w:rsidP="008B6861">
    <w:pPr>
      <w:pStyle w:val="Footer"/>
      <w:jc w:val="right"/>
      <w:rPr>
        <w:rFonts w:ascii="C39T30Lfz" w:hAnsi="C39T30Lfz"/>
        <w:sz w:val="56"/>
        <w:szCs w:val="20"/>
      </w:rPr>
    </w:pPr>
    <w:r>
      <w:rPr>
        <w:rFonts w:ascii="C39T30Lfz" w:hAnsi="C39T30Lfz"/>
        <w:sz w:val="56"/>
        <w:szCs w:val="20"/>
      </w:rPr>
      <w:t>*2014276*</w:t>
    </w:r>
    <w:r w:rsidR="00142F35">
      <w:rPr>
        <w:noProof/>
      </w:rPr>
      <w:drawing>
        <wp:anchor distT="0" distB="0" distL="114300" distR="114300" simplePos="0" relativeHeight="251659776" behindDoc="0" locked="0" layoutInCell="1" allowOverlap="1" wp14:anchorId="7B35B6AB" wp14:editId="0CC34AA6">
          <wp:simplePos x="0" y="0"/>
          <wp:positionH relativeFrom="page">
            <wp:posOffset>719455</wp:posOffset>
          </wp:positionH>
          <wp:positionV relativeFrom="page">
            <wp:posOffset>9611995</wp:posOffset>
          </wp:positionV>
          <wp:extent cx="562610" cy="5626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6F6F3" w14:textId="77777777" w:rsidR="00A2287B" w:rsidRPr="0054762C" w:rsidRDefault="00A2287B" w:rsidP="000E524A">
      <w:pPr>
        <w:pStyle w:val="Footer"/>
        <w:bidi/>
        <w:spacing w:after="80" w:line="200" w:lineRule="exact"/>
        <w:ind w:left="680"/>
      </w:pPr>
      <w:r>
        <w:rPr>
          <w:rtl/>
        </w:rPr>
        <w:t>__________</w:t>
      </w:r>
    </w:p>
  </w:footnote>
  <w:footnote w:type="continuationSeparator" w:id="0">
    <w:p w14:paraId="1BA33C38" w14:textId="77777777" w:rsidR="00A2287B" w:rsidRDefault="00A2287B" w:rsidP="00656392">
      <w:pPr>
        <w:spacing w:line="240" w:lineRule="auto"/>
      </w:pPr>
      <w:r>
        <w:continuationSeparator/>
      </w:r>
    </w:p>
  </w:footnote>
  <w:footnote w:id="1">
    <w:p w14:paraId="1EF4B149" w14:textId="474CB101" w:rsidR="00A2287B" w:rsidRPr="00C7148C" w:rsidRDefault="00A2287B" w:rsidP="003C4339">
      <w:pPr>
        <w:pStyle w:val="FootnoteText1"/>
        <w:rPr>
          <w:rtl/>
        </w:rPr>
      </w:pPr>
      <w:r>
        <w:rPr>
          <w:rtl/>
        </w:rPr>
        <w:t>*</w:t>
      </w:r>
      <w:r>
        <w:rPr>
          <w:rtl/>
        </w:rPr>
        <w:tab/>
      </w:r>
      <w:r w:rsidRPr="00C7148C">
        <w:rPr>
          <w:rtl/>
        </w:rPr>
        <w:t>اعتمدته اللجنة في دورتها التاسعة عشرة (</w:t>
      </w:r>
      <w:r w:rsidRPr="003C4339">
        <w:rPr>
          <w:szCs w:val="18"/>
          <w:rtl/>
        </w:rPr>
        <w:t>7</w:t>
      </w:r>
      <w:r w:rsidRPr="00C7148C">
        <w:rPr>
          <w:rtl/>
        </w:rPr>
        <w:t>-</w:t>
      </w:r>
      <w:r w:rsidRPr="003C4339">
        <w:rPr>
          <w:szCs w:val="18"/>
          <w:rtl/>
        </w:rPr>
        <w:t>25</w:t>
      </w:r>
      <w:r w:rsidRPr="00C7148C">
        <w:rPr>
          <w:rtl/>
        </w:rPr>
        <w:t xml:space="preserve"> أيلول/سبتمبر </w:t>
      </w:r>
      <w:r w:rsidRPr="003C4339">
        <w:rPr>
          <w:szCs w:val="18"/>
          <w:rtl/>
        </w:rPr>
        <w:t>2020</w:t>
      </w:r>
      <w:r w:rsidRPr="00C7148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2F951" w14:textId="77777777" w:rsidR="00A2287B" w:rsidRPr="0019726F" w:rsidRDefault="00A2287B" w:rsidP="0019726F">
    <w:pPr>
      <w:pStyle w:val="Header"/>
      <w:jc w:val="right"/>
    </w:pPr>
    <w:r w:rsidRPr="0019726F">
      <w:t>CED/C/19/2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BECC7" w14:textId="77777777" w:rsidR="00A2287B" w:rsidRPr="0019726F" w:rsidRDefault="00A2287B" w:rsidP="0019726F">
    <w:pPr>
      <w:pStyle w:val="Header"/>
      <w:jc w:val="left"/>
    </w:pPr>
    <w:r w:rsidRPr="0019726F">
      <w:t>CED/C/19/2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A3668C"/>
    <w:rsid w:val="000076D5"/>
    <w:rsid w:val="00043663"/>
    <w:rsid w:val="000505CF"/>
    <w:rsid w:val="000A03B8"/>
    <w:rsid w:val="000D701C"/>
    <w:rsid w:val="000E2A71"/>
    <w:rsid w:val="000E524A"/>
    <w:rsid w:val="000E60EE"/>
    <w:rsid w:val="000F4D63"/>
    <w:rsid w:val="001413D9"/>
    <w:rsid w:val="00142F35"/>
    <w:rsid w:val="00160263"/>
    <w:rsid w:val="001773DB"/>
    <w:rsid w:val="00181F96"/>
    <w:rsid w:val="0019726F"/>
    <w:rsid w:val="001A1371"/>
    <w:rsid w:val="001B346A"/>
    <w:rsid w:val="001C5FC6"/>
    <w:rsid w:val="001E1CAD"/>
    <w:rsid w:val="001E290D"/>
    <w:rsid w:val="002144FA"/>
    <w:rsid w:val="0023469A"/>
    <w:rsid w:val="00243C8A"/>
    <w:rsid w:val="00267A0E"/>
    <w:rsid w:val="00281242"/>
    <w:rsid w:val="002901D9"/>
    <w:rsid w:val="002976C2"/>
    <w:rsid w:val="00325CC1"/>
    <w:rsid w:val="003260FF"/>
    <w:rsid w:val="00343D95"/>
    <w:rsid w:val="00374341"/>
    <w:rsid w:val="00383E3F"/>
    <w:rsid w:val="003C4339"/>
    <w:rsid w:val="003D1062"/>
    <w:rsid w:val="003E159A"/>
    <w:rsid w:val="004205C7"/>
    <w:rsid w:val="00420D7B"/>
    <w:rsid w:val="00442FBA"/>
    <w:rsid w:val="00450B21"/>
    <w:rsid w:val="00453B63"/>
    <w:rsid w:val="00455780"/>
    <w:rsid w:val="004B0087"/>
    <w:rsid w:val="004B0A1C"/>
    <w:rsid w:val="004B27BB"/>
    <w:rsid w:val="004D298E"/>
    <w:rsid w:val="004E32F4"/>
    <w:rsid w:val="00511930"/>
    <w:rsid w:val="00517BC9"/>
    <w:rsid w:val="005212F8"/>
    <w:rsid w:val="00527E4C"/>
    <w:rsid w:val="0054472E"/>
    <w:rsid w:val="0054762C"/>
    <w:rsid w:val="005662A9"/>
    <w:rsid w:val="005817D9"/>
    <w:rsid w:val="005827D4"/>
    <w:rsid w:val="005945F9"/>
    <w:rsid w:val="0059622A"/>
    <w:rsid w:val="00597599"/>
    <w:rsid w:val="005C5878"/>
    <w:rsid w:val="005C7CEA"/>
    <w:rsid w:val="005D3C0B"/>
    <w:rsid w:val="005E5217"/>
    <w:rsid w:val="005F0FA4"/>
    <w:rsid w:val="005F30EE"/>
    <w:rsid w:val="0060473A"/>
    <w:rsid w:val="00606EDF"/>
    <w:rsid w:val="00656392"/>
    <w:rsid w:val="00673245"/>
    <w:rsid w:val="0068781D"/>
    <w:rsid w:val="0069506B"/>
    <w:rsid w:val="006959B0"/>
    <w:rsid w:val="006B3E27"/>
    <w:rsid w:val="006B6507"/>
    <w:rsid w:val="006C104C"/>
    <w:rsid w:val="00733704"/>
    <w:rsid w:val="00740188"/>
    <w:rsid w:val="00764796"/>
    <w:rsid w:val="0078071A"/>
    <w:rsid w:val="007A70BB"/>
    <w:rsid w:val="007F60B8"/>
    <w:rsid w:val="00852A9A"/>
    <w:rsid w:val="00871544"/>
    <w:rsid w:val="008930DB"/>
    <w:rsid w:val="00895D16"/>
    <w:rsid w:val="008B6861"/>
    <w:rsid w:val="008F49E1"/>
    <w:rsid w:val="008F4DE1"/>
    <w:rsid w:val="0090370F"/>
    <w:rsid w:val="009269D2"/>
    <w:rsid w:val="00942135"/>
    <w:rsid w:val="009521B0"/>
    <w:rsid w:val="009A7E9F"/>
    <w:rsid w:val="009E5018"/>
    <w:rsid w:val="00A04EB8"/>
    <w:rsid w:val="00A12B37"/>
    <w:rsid w:val="00A2287B"/>
    <w:rsid w:val="00A3668C"/>
    <w:rsid w:val="00A50EC0"/>
    <w:rsid w:val="00A705A5"/>
    <w:rsid w:val="00A74331"/>
    <w:rsid w:val="00AB3BCA"/>
    <w:rsid w:val="00AB6758"/>
    <w:rsid w:val="00AF203E"/>
    <w:rsid w:val="00B13763"/>
    <w:rsid w:val="00B477A4"/>
    <w:rsid w:val="00B54045"/>
    <w:rsid w:val="00BA5E8B"/>
    <w:rsid w:val="00C022F5"/>
    <w:rsid w:val="00C06421"/>
    <w:rsid w:val="00C438D7"/>
    <w:rsid w:val="00C53FE8"/>
    <w:rsid w:val="00C7148C"/>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23D3"/>
    <w:rsid w:val="00F763B4"/>
    <w:rsid w:val="00F900C3"/>
    <w:rsid w:val="00FC105F"/>
    <w:rsid w:val="00FC75D1"/>
    <w:rsid w:val="00FD28F3"/>
    <w:rsid w:val="00FD4BC9"/>
    <w:rsid w:val="00FF2AB2"/>
    <w:rsid w:val="00FF6ECD"/>
    <w:rsid w:val="00FF7D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1DA2DFA0"/>
  <w15:docId w15:val="{1C14E550-CD33-421D-BE80-438DA8C9D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4B0087"/>
    <w:pPr>
      <w:bidi w:val="0"/>
      <w:spacing w:after="120" w:line="240" w:lineRule="auto"/>
      <w:ind w:left="1134" w:right="1134"/>
      <w:jc w:val="both"/>
    </w:pPr>
    <w:rPr>
      <w:rFonts w:eastAsia="SimSun" w:hAnsi="Calibri"/>
      <w:szCs w:val="30"/>
      <w:lang w:val="en-GB" w:eastAsia="zh-CN"/>
    </w:rPr>
  </w:style>
  <w:style w:type="character" w:customStyle="1" w:styleId="SingleTxtGChar">
    <w:name w:val="_ Single Txt_G Char"/>
    <w:link w:val="SingleTxtG"/>
    <w:rsid w:val="004B0087"/>
    <w:rPr>
      <w:rFonts w:ascii="Times New Roman" w:eastAsia="SimSun" w:cs="Traditional Arabic"/>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1ACB5-5AB0-426D-AD53-4F2F6A514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13</Pages>
  <Words>5225</Words>
  <Characters>29789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CED/C/19/2</vt:lpstr>
    </vt:vector>
  </TitlesOfParts>
  <Company>DCM</Company>
  <LinksUpToDate>false</LinksUpToDate>
  <CharactersWithSpaces>34945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CED/C/19/2</dc:title>
  <dc:subject>GE.2014276</dc:subject>
  <dc:creator>Gamal MAHMOUD-NAB</dc:creator>
  <cp:keywords>ODS No.2027616</cp:keywords>
  <dc:description>Distr.: General_x000d_
29 October 2020_x000d_
Original: English</dc:description>
  <cp:lastModifiedBy>Gamal Mohamed Abdelhamid Mahmoud</cp:lastModifiedBy>
  <cp:revision>2</cp:revision>
  <dcterms:created xsi:type="dcterms:W3CDTF">2020-11-30T14:56:00Z</dcterms:created>
  <dcterms:modified xsi:type="dcterms:W3CDTF">2020-11-30T14:56:00Z</dcterms:modified>
  <cp:category>Final</cp:category>
</cp:coreProperties>
</file>