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E0D768A" w14:textId="77777777" w:rsidTr="00BC3629">
        <w:trPr>
          <w:trHeight w:hRule="exact" w:val="851"/>
        </w:trPr>
        <w:tc>
          <w:tcPr>
            <w:tcW w:w="142" w:type="dxa"/>
            <w:tcBorders>
              <w:bottom w:val="single" w:sz="4" w:space="0" w:color="auto"/>
            </w:tcBorders>
          </w:tcPr>
          <w:p w14:paraId="3CB5BE76" w14:textId="77777777" w:rsidR="002D5AAC" w:rsidRDefault="002D5AAC" w:rsidP="00444C7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358809F"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54B1FBE" w14:textId="46D04BD6" w:rsidR="002D5AAC" w:rsidRDefault="00444C7E" w:rsidP="00444C7E">
            <w:pPr>
              <w:jc w:val="right"/>
            </w:pPr>
            <w:r w:rsidRPr="00444C7E">
              <w:rPr>
                <w:sz w:val="40"/>
              </w:rPr>
              <w:t>CCPR</w:t>
            </w:r>
            <w:r>
              <w:t>/C/137/2/Add.2</w:t>
            </w:r>
          </w:p>
        </w:tc>
      </w:tr>
      <w:tr w:rsidR="002D5AAC" w14:paraId="1037EAE3" w14:textId="77777777" w:rsidTr="00BC3629">
        <w:trPr>
          <w:trHeight w:hRule="exact" w:val="2835"/>
        </w:trPr>
        <w:tc>
          <w:tcPr>
            <w:tcW w:w="1280" w:type="dxa"/>
            <w:gridSpan w:val="2"/>
            <w:tcBorders>
              <w:top w:val="single" w:sz="4" w:space="0" w:color="auto"/>
              <w:bottom w:val="single" w:sz="12" w:space="0" w:color="auto"/>
            </w:tcBorders>
          </w:tcPr>
          <w:p w14:paraId="65898703" w14:textId="77777777" w:rsidR="002D5AAC" w:rsidRDefault="002E5067" w:rsidP="00BC3629">
            <w:pPr>
              <w:spacing w:before="120"/>
              <w:jc w:val="center"/>
            </w:pPr>
            <w:r>
              <w:rPr>
                <w:noProof/>
                <w:lang w:val="fr-CH" w:eastAsia="fr-CH"/>
              </w:rPr>
              <w:drawing>
                <wp:inline distT="0" distB="0" distL="0" distR="0" wp14:anchorId="04D97A45" wp14:editId="263451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0D7A18"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4051A94" w14:textId="77777777" w:rsidR="002D5AAC" w:rsidRDefault="00444C7E" w:rsidP="00BC3629">
            <w:pPr>
              <w:spacing w:before="240"/>
            </w:pPr>
            <w:r>
              <w:t>Distr.: General</w:t>
            </w:r>
          </w:p>
          <w:p w14:paraId="64907A23" w14:textId="77777777" w:rsidR="00444C7E" w:rsidRDefault="00444C7E" w:rsidP="00444C7E">
            <w:pPr>
              <w:spacing w:line="240" w:lineRule="exact"/>
            </w:pPr>
            <w:r>
              <w:t>1 May 2023</w:t>
            </w:r>
          </w:p>
          <w:p w14:paraId="25B7213A" w14:textId="77777777" w:rsidR="00444C7E" w:rsidRDefault="00444C7E" w:rsidP="00444C7E">
            <w:pPr>
              <w:spacing w:line="240" w:lineRule="exact"/>
            </w:pPr>
            <w:r>
              <w:t>Russian</w:t>
            </w:r>
          </w:p>
          <w:p w14:paraId="6811DC28" w14:textId="0F019CBB" w:rsidR="00444C7E" w:rsidRPr="00375F01" w:rsidRDefault="00444C7E" w:rsidP="00444C7E">
            <w:pPr>
              <w:spacing w:line="240" w:lineRule="exact"/>
            </w:pPr>
            <w:r>
              <w:t>Original: English</w:t>
            </w:r>
          </w:p>
        </w:tc>
      </w:tr>
    </w:tbl>
    <w:p w14:paraId="50925978" w14:textId="77777777" w:rsidR="00444C7E" w:rsidRPr="00444C7E" w:rsidRDefault="00444C7E" w:rsidP="00444C7E">
      <w:pPr>
        <w:spacing w:before="120"/>
        <w:jc w:val="both"/>
        <w:rPr>
          <w:sz w:val="24"/>
          <w:szCs w:val="24"/>
        </w:rPr>
      </w:pPr>
      <w:r w:rsidRPr="00444C7E">
        <w:rPr>
          <w:b/>
          <w:bCs/>
          <w:sz w:val="24"/>
          <w:szCs w:val="24"/>
        </w:rPr>
        <w:t>Комитет по правам человека</w:t>
      </w:r>
    </w:p>
    <w:p w14:paraId="197F2BEF" w14:textId="72F14B9B" w:rsidR="00444C7E" w:rsidRPr="005C751D" w:rsidRDefault="00444C7E" w:rsidP="00444C7E">
      <w:pPr>
        <w:pStyle w:val="HChG"/>
      </w:pPr>
      <w:r>
        <w:tab/>
      </w:r>
      <w:r>
        <w:tab/>
      </w:r>
      <w:r>
        <w:rPr>
          <w:bCs/>
        </w:rPr>
        <w:t xml:space="preserve">Доклад о последующих мерах в связи </w:t>
      </w:r>
      <w:r>
        <w:rPr>
          <w:bCs/>
        </w:rPr>
        <w:br/>
      </w:r>
      <w:r>
        <w:rPr>
          <w:bCs/>
        </w:rPr>
        <w:t>с заключительными замечаниями Комитета по правам человека</w:t>
      </w:r>
      <w:r w:rsidRPr="00444C7E">
        <w:rPr>
          <w:rStyle w:val="aa"/>
          <w:b w:val="0"/>
          <w:bCs/>
          <w:sz w:val="20"/>
          <w:vertAlign w:val="baseline"/>
        </w:rPr>
        <w:footnoteReference w:customMarkFollows="1" w:id="1"/>
        <w:t>*</w:t>
      </w:r>
      <w:bookmarkStart w:id="0" w:name="_Toc506807534"/>
      <w:bookmarkEnd w:id="0"/>
    </w:p>
    <w:p w14:paraId="3EC53369" w14:textId="77777777" w:rsidR="00444C7E" w:rsidRPr="001563CA" w:rsidRDefault="00444C7E" w:rsidP="00444C7E">
      <w:pPr>
        <w:pStyle w:val="H23G"/>
        <w:rPr>
          <w:rFonts w:eastAsia="SimSun"/>
        </w:rPr>
      </w:pPr>
      <w:r>
        <w:tab/>
      </w:r>
      <w:r>
        <w:tab/>
      </w:r>
      <w:r>
        <w:rPr>
          <w:bCs/>
        </w:rPr>
        <w:t>Добавление</w:t>
      </w:r>
    </w:p>
    <w:p w14:paraId="2E5216D7" w14:textId="56114E33" w:rsidR="00444C7E" w:rsidRPr="001563CA" w:rsidRDefault="00444C7E" w:rsidP="00444C7E">
      <w:pPr>
        <w:pStyle w:val="HChG"/>
      </w:pPr>
      <w:r>
        <w:tab/>
      </w:r>
      <w:r>
        <w:tab/>
      </w:r>
      <w:r>
        <w:rPr>
          <w:bCs/>
        </w:rPr>
        <w:t xml:space="preserve">Оценка информации о последующих действиях в связи </w:t>
      </w:r>
      <w:r>
        <w:rPr>
          <w:bCs/>
        </w:rPr>
        <w:br/>
      </w:r>
      <w:r>
        <w:rPr>
          <w:bCs/>
        </w:rPr>
        <w:t>с заключительными замечаниями по Эстонии</w:t>
      </w:r>
    </w:p>
    <w:p w14:paraId="1E430BD3" w14:textId="4489D432" w:rsidR="00444C7E" w:rsidRPr="001563CA" w:rsidRDefault="00444C7E" w:rsidP="005C31C7">
      <w:pPr>
        <w:tabs>
          <w:tab w:val="left" w:pos="4962"/>
        </w:tabs>
        <w:spacing w:after="120"/>
        <w:ind w:left="4962" w:right="1134" w:hanging="3828"/>
        <w:rPr>
          <w:rFonts w:eastAsia="SimSun"/>
        </w:rPr>
      </w:pPr>
      <w:r>
        <w:rPr>
          <w:i/>
          <w:iCs/>
        </w:rPr>
        <w:t>Заключительные замечания (125-я сессия):</w:t>
      </w:r>
      <w:r>
        <w:tab/>
      </w:r>
      <w:hyperlink r:id="rId8" w:history="1">
        <w:r>
          <w:rPr>
            <w:rStyle w:val="af1"/>
          </w:rPr>
          <w:t>CCPR/C/EST/CO/4</w:t>
        </w:r>
      </w:hyperlink>
      <w:r>
        <w:t>, 21 марта 2019 года</w:t>
      </w:r>
    </w:p>
    <w:p w14:paraId="0D296FB4" w14:textId="473E238E" w:rsidR="00444C7E" w:rsidRDefault="00444C7E" w:rsidP="005C31C7">
      <w:pPr>
        <w:tabs>
          <w:tab w:val="left" w:pos="4962"/>
        </w:tabs>
        <w:spacing w:after="120"/>
        <w:ind w:left="1134" w:right="1134"/>
        <w:rPr>
          <w:b/>
          <w:bCs/>
        </w:rPr>
      </w:pPr>
      <w:r>
        <w:rPr>
          <w:i/>
          <w:iCs/>
        </w:rPr>
        <w:t>Пункты, предусматривающие</w:t>
      </w:r>
      <w:r>
        <w:tab/>
        <w:t>14, 24 и 28</w:t>
      </w:r>
      <w:r>
        <w:br/>
      </w:r>
      <w:r>
        <w:rPr>
          <w:i/>
          <w:iCs/>
        </w:rPr>
        <w:t>последующие действия:</w:t>
      </w:r>
    </w:p>
    <w:p w14:paraId="09AEFBE6" w14:textId="6D144C48" w:rsidR="00444C7E" w:rsidRDefault="00444C7E" w:rsidP="005C31C7">
      <w:pPr>
        <w:tabs>
          <w:tab w:val="left" w:pos="4962"/>
        </w:tabs>
        <w:spacing w:after="120"/>
        <w:ind w:left="1134" w:right="1134"/>
        <w:rPr>
          <w:rFonts w:eastAsia="SimSun"/>
        </w:rPr>
      </w:pPr>
      <w:r>
        <w:rPr>
          <w:i/>
          <w:iCs/>
        </w:rPr>
        <w:t>Информация, полученная от</w:t>
      </w:r>
      <w:r>
        <w:tab/>
      </w:r>
      <w:hyperlink r:id="rId9" w:history="1">
        <w:r>
          <w:rPr>
            <w:rStyle w:val="af1"/>
          </w:rPr>
          <w:t>CCPR/C/EST/FCO/4</w:t>
        </w:r>
      </w:hyperlink>
      <w:r>
        <w:t>, 22 марта 2021 года</w:t>
      </w:r>
      <w:r>
        <w:br/>
      </w:r>
      <w:r>
        <w:rPr>
          <w:i/>
          <w:iCs/>
        </w:rPr>
        <w:t>государства-участника:</w:t>
      </w:r>
    </w:p>
    <w:p w14:paraId="1902602D" w14:textId="77777777" w:rsidR="00444C7E" w:rsidRPr="00532538" w:rsidRDefault="00444C7E" w:rsidP="005C31C7">
      <w:pPr>
        <w:tabs>
          <w:tab w:val="left" w:pos="4962"/>
        </w:tabs>
        <w:spacing w:after="120"/>
        <w:ind w:left="4962" w:right="1134" w:hanging="3828"/>
        <w:rPr>
          <w:rFonts w:eastAsia="SimSun"/>
        </w:rPr>
      </w:pPr>
      <w:r>
        <w:rPr>
          <w:i/>
          <w:iCs/>
        </w:rPr>
        <w:t>Оценка Комитета:</w:t>
      </w:r>
      <w:r>
        <w:t xml:space="preserve"> </w:t>
      </w:r>
      <w:r>
        <w:tab/>
        <w:t>14 [B][C], 24 [C] и 28 [C][A]</w:t>
      </w:r>
    </w:p>
    <w:p w14:paraId="0B306BFA" w14:textId="77777777" w:rsidR="00444C7E" w:rsidRDefault="00444C7E" w:rsidP="00444C7E">
      <w:pPr>
        <w:pStyle w:val="H1G"/>
        <w:rPr>
          <w:bCs/>
        </w:rPr>
      </w:pPr>
      <w:r>
        <w:tab/>
      </w:r>
      <w:r>
        <w:tab/>
      </w:r>
      <w:r>
        <w:tab/>
      </w:r>
      <w:r>
        <w:rPr>
          <w:bCs/>
        </w:rPr>
        <w:t>Пункт14: Язык ненависти и преступления на почве ненависти</w:t>
      </w:r>
      <w:r w:rsidRPr="00444C7E">
        <w:rPr>
          <w:rStyle w:val="aa"/>
          <w:b w:val="0"/>
          <w:bCs/>
        </w:rPr>
        <w:footnoteReference w:id="2"/>
      </w:r>
      <w:bookmarkStart w:id="1" w:name="_Toc6392591"/>
      <w:bookmarkEnd w:id="1"/>
    </w:p>
    <w:p w14:paraId="5BAB1030" w14:textId="77777777" w:rsidR="00444C7E" w:rsidRDefault="00444C7E" w:rsidP="00444C7E">
      <w:pPr>
        <w:pStyle w:val="H23G"/>
        <w:rPr>
          <w:rFonts w:eastAsiaTheme="minorEastAsia"/>
        </w:rPr>
      </w:pPr>
      <w:r>
        <w:tab/>
      </w:r>
      <w:r>
        <w:tab/>
      </w:r>
      <w:r>
        <w:rPr>
          <w:bCs/>
        </w:rPr>
        <w:t>Резюме информации, полученной от государства-участника</w:t>
      </w:r>
    </w:p>
    <w:p w14:paraId="4C98EE62" w14:textId="4DB8A0C3" w:rsidR="00444C7E" w:rsidRDefault="00444C7E" w:rsidP="00444C7E">
      <w:pPr>
        <w:pStyle w:val="SingleTxtG"/>
      </w:pPr>
      <w:r>
        <w:t>a) и b)</w:t>
      </w:r>
      <w:r>
        <w:tab/>
      </w:r>
      <w:r>
        <w:t xml:space="preserve">  </w:t>
      </w:r>
      <w:r>
        <w:t>В феврале 2021 года Министерство юстиции инициировало пересмотр Уголовного кодекса в части правонарушений, касающихся равенства; оно планирует подготовить проект поправок, который будет представлен в установленном порядке. Гражданское общество и другие заинтересованные стороны будут приглашены к участию в этом процессе.</w:t>
      </w:r>
    </w:p>
    <w:p w14:paraId="21FE037D" w14:textId="1B657B9E" w:rsidR="00444C7E" w:rsidRDefault="00444C7E" w:rsidP="00444C7E">
      <w:pPr>
        <w:pStyle w:val="SingleTxtG"/>
      </w:pPr>
      <w:r>
        <w:t xml:space="preserve">c) </w:t>
      </w:r>
      <w:r>
        <w:tab/>
        <w:t xml:space="preserve">Хотя Уголовный кодекс прямо не предусматривает мотив ненависти в качестве отягчающего обстоятельства, он признает </w:t>
      </w:r>
      <w:r>
        <w:t>«</w:t>
      </w:r>
      <w:r>
        <w:t>другой основной мотив</w:t>
      </w:r>
      <w:r>
        <w:t>»</w:t>
      </w:r>
      <w:r>
        <w:t xml:space="preserve"> в качестве отягчающего обстоятельства, по которому можно классифицировать преступления на почве ненависти. Оценка судом основного мотива зависит от обстоятельств, сопутствующих преступлению. Правоохранительные органы обязаны применять закон в соответствии с международными обязательствами государства.</w:t>
      </w:r>
    </w:p>
    <w:p w14:paraId="28D89CBE" w14:textId="77777777" w:rsidR="00444C7E" w:rsidRDefault="00444C7E" w:rsidP="00444C7E">
      <w:pPr>
        <w:pStyle w:val="SingleTxtG"/>
      </w:pPr>
      <w:r>
        <w:t xml:space="preserve">d) </w:t>
      </w:r>
      <w:r>
        <w:tab/>
        <w:t>Информация не была представлена.</w:t>
      </w:r>
    </w:p>
    <w:p w14:paraId="1901DFB2" w14:textId="77777777" w:rsidR="00444C7E" w:rsidRDefault="00444C7E" w:rsidP="00444C7E">
      <w:pPr>
        <w:pStyle w:val="SingleTxtG"/>
      </w:pPr>
      <w:r>
        <w:t>e)</w:t>
      </w:r>
      <w:r>
        <w:tab/>
        <w:t xml:space="preserve">Сотрудники правоохранительных органов прошли обучение по применению Уголовного кодекса в соответствии с международными обязательствами государства. Представители Эстонии регулярно участвуют в международных рабочих группах по </w:t>
      </w:r>
      <w:r>
        <w:lastRenderedPageBreak/>
        <w:t>отчетности и регистрации преступлений на почве ненависти. С 2016 года в Эстонии составляются ежегодные обзоры зарегистрированных преступлений на почве ненависти, а для полиции подготовлено руководство по регистрации преступлений на почве ненависти. Проведенные в последние годы опросы пострадавших показывают, что 1–2 % респондентов считают, что жертва преступления пострадала по причине своей национальности, расы, цвета кожи, религии, инвалидности или сексуальной ориентации.</w:t>
      </w:r>
    </w:p>
    <w:p w14:paraId="77EF6BC1" w14:textId="77777777" w:rsidR="00444C7E" w:rsidRDefault="00444C7E" w:rsidP="00444C7E">
      <w:pPr>
        <w:pStyle w:val="SingleTxtG"/>
      </w:pPr>
      <w:r>
        <w:t>f)</w:t>
      </w:r>
      <w:r>
        <w:tab/>
        <w:t>Не было представлено никакой информации.</w:t>
      </w:r>
    </w:p>
    <w:p w14:paraId="3705BEE1" w14:textId="77777777" w:rsidR="00444C7E" w:rsidRPr="00864039" w:rsidRDefault="00444C7E" w:rsidP="00444C7E">
      <w:pPr>
        <w:pStyle w:val="H23G"/>
        <w:rPr>
          <w:rFonts w:eastAsiaTheme="minorEastAsia"/>
        </w:rPr>
      </w:pPr>
      <w:r>
        <w:tab/>
      </w:r>
      <w:r>
        <w:tab/>
      </w:r>
      <w:r>
        <w:rPr>
          <w:bCs/>
        </w:rPr>
        <w:t>Оценка Комитета</w:t>
      </w:r>
    </w:p>
    <w:p w14:paraId="727889A3" w14:textId="77777777" w:rsidR="00444C7E" w:rsidRDefault="00444C7E" w:rsidP="00444C7E">
      <w:pPr>
        <w:pStyle w:val="SingleTxtG"/>
        <w:rPr>
          <w:bCs/>
          <w:strike/>
        </w:rPr>
      </w:pPr>
      <w:r>
        <w:t>[B]: a), b) и e)</w:t>
      </w:r>
    </w:p>
    <w:p w14:paraId="1545327F" w14:textId="77777777" w:rsidR="00444C7E" w:rsidRDefault="00444C7E" w:rsidP="00444C7E">
      <w:pPr>
        <w:pStyle w:val="SingleTxtG"/>
        <w:rPr>
          <w:bCs/>
        </w:rPr>
      </w:pPr>
      <w:r>
        <w:t>Комитет принимает к сведению текущий обзор и планируемые поправки к Уголовному кодексу в отношении преступлений против равенства. Он просит предоставить дополнительную информацию о сроках и результатах обзора, а также о содержании запланированного проекта поправок к конкретным статьям Кодекса. Комитет также принимает к сведению обучение сотрудников правоохранительных органов и разработку руководства по регистрации преступлений на почве ненависти. Он просит предоставить дополнительную информацию о содержании обучения, особенно в отношении преступлений на почве ненависти, их частоты и обязательного характера. Комитет сожалеет об отсутствии информации об обучении прокуроров и судей, информационно-просветительских мероприятиях, проводимых среди населения, и о реализации плана по увеличению числа веб-констеблей. Он повторяет свою рекомендацию в этом отношении.</w:t>
      </w:r>
    </w:p>
    <w:p w14:paraId="1AAEE46B" w14:textId="77777777" w:rsidR="00444C7E" w:rsidRDefault="00444C7E" w:rsidP="00444C7E">
      <w:pPr>
        <w:pStyle w:val="SingleTxtG"/>
      </w:pPr>
      <w:r>
        <w:t>[C]:) с), d) и f)</w:t>
      </w:r>
    </w:p>
    <w:p w14:paraId="427D8BC7" w14:textId="1E62A0AA" w:rsidR="00444C7E" w:rsidRPr="00007354" w:rsidRDefault="00444C7E" w:rsidP="00444C7E">
      <w:pPr>
        <w:pStyle w:val="SingleTxtG"/>
      </w:pPr>
      <w:r>
        <w:t xml:space="preserve">Принимая к сведению информацию о признании </w:t>
      </w:r>
      <w:r>
        <w:t>«</w:t>
      </w:r>
      <w:r>
        <w:t>другого основного мотива</w:t>
      </w:r>
      <w:r>
        <w:t>»</w:t>
      </w:r>
      <w:r>
        <w:t xml:space="preserve"> в</w:t>
      </w:r>
      <w:r>
        <w:t> </w:t>
      </w:r>
      <w:r>
        <w:t>качестве отягчающего обстоятельства, Комитет сожалеет об отсутствии конкретных шагов, предпринятых для признания мотивов ненависти в качестве отягчающих обстоятельств для всех преступлений. Он повторяет свою рекомендацию в этом отношении.</w:t>
      </w:r>
    </w:p>
    <w:p w14:paraId="65681FE4" w14:textId="460AB13C" w:rsidR="00444C7E" w:rsidRDefault="00444C7E" w:rsidP="00444C7E">
      <w:pPr>
        <w:pStyle w:val="SingleTxtG"/>
      </w:pPr>
      <w:r>
        <w:t>Комитет сожалеет об отсутствии информации о каких-либо законодательных мерах, принятых для запрета публичного отрицания, оправдания или потворства преступлениям геноцида, преступлениям против человечности, военным преступлениям или пропаганде ненависти, которая носит расистский характер или иным образом подстрекает к дискриминации. Он повторяет свою рекомендацию в этом отношении. Комитет также сожалеет об отсутствии конкретной информации о мерах, принятых для обеспечения эффективного расследования, осуждения и наказания за преступления на почве ненависти. Он повторяет свою рекомендацию и просит предоставить статистическую информацию</w:t>
      </w:r>
      <w:r>
        <w:t xml:space="preserve"> </w:t>
      </w:r>
      <w:r>
        <w:t>в этой связи за отчетный период.</w:t>
      </w:r>
    </w:p>
    <w:p w14:paraId="669C5C6C" w14:textId="77777777" w:rsidR="00444C7E" w:rsidRPr="001101D0" w:rsidRDefault="00444C7E" w:rsidP="00444C7E">
      <w:pPr>
        <w:pStyle w:val="H1G"/>
        <w:rPr>
          <w:szCs w:val="24"/>
        </w:rPr>
      </w:pPr>
      <w:r>
        <w:tab/>
      </w:r>
      <w:r>
        <w:tab/>
        <w:t>Пункт 24:</w:t>
      </w:r>
      <w:r w:rsidRPr="001101D0">
        <w:t xml:space="preserve"> Психиатрическое лечение без согласия пациента</w:t>
      </w:r>
    </w:p>
    <w:p w14:paraId="179278F9" w14:textId="77777777" w:rsidR="00444C7E" w:rsidRDefault="00444C7E" w:rsidP="00444C7E">
      <w:pPr>
        <w:pStyle w:val="H23G"/>
        <w:rPr>
          <w:rFonts w:eastAsiaTheme="minorEastAsia"/>
        </w:rPr>
      </w:pPr>
      <w:r>
        <w:tab/>
      </w:r>
      <w:r>
        <w:tab/>
      </w:r>
      <w:r>
        <w:rPr>
          <w:bCs/>
        </w:rPr>
        <w:t>Резюме информации, полученной от государства-участника</w:t>
      </w:r>
    </w:p>
    <w:p w14:paraId="6937A4D9" w14:textId="77777777" w:rsidR="00444C7E" w:rsidRDefault="00444C7E" w:rsidP="00444C7E">
      <w:pPr>
        <w:pStyle w:val="H4G"/>
      </w:pPr>
      <w:r>
        <w:tab/>
      </w:r>
      <w:r>
        <w:tab/>
      </w:r>
      <w:r>
        <w:rPr>
          <w:iCs/>
        </w:rPr>
        <w:t>Недобровольное лечение в рамках гражданского процесса</w:t>
      </w:r>
    </w:p>
    <w:p w14:paraId="16BC021C" w14:textId="334DADA0" w:rsidR="00444C7E" w:rsidRDefault="00444C7E" w:rsidP="00444C7E">
      <w:pPr>
        <w:pStyle w:val="SingleTxtG"/>
      </w:pPr>
      <w:r>
        <w:t>Согласно Закону о психическом здоровье, недобровольное лечение применяется или продолжается только при наличии всех следующих обстоятельств: a) у человека тяжелое психическое заболевание, которое ограничивает его способность понимать или контролировать свое поведение; b) без стационарного лечения</w:t>
      </w:r>
      <w:r>
        <w:t xml:space="preserve"> </w:t>
      </w:r>
      <w:r>
        <w:t xml:space="preserve">это лицо подвергает опасности свою жизнь, здоровье или безопасность или жизнь, здоровье или безопасность других лиц в связи с состоянием своего психического здоровья; </w:t>
      </w:r>
      <w:r>
        <w:br/>
      </w:r>
      <w:r>
        <w:t>и с) другой психиатрической помощи недостаточно. Закон предусматривает, что недобровольное психиатрическое лечение может применяться только на основании решения суда.</w:t>
      </w:r>
    </w:p>
    <w:p w14:paraId="45A9A784" w14:textId="74FBE7C8" w:rsidR="00444C7E" w:rsidRDefault="00444C7E" w:rsidP="00444C7E">
      <w:pPr>
        <w:pStyle w:val="SingleTxtG"/>
      </w:pPr>
      <w:r>
        <w:lastRenderedPageBreak/>
        <w:t>Соответствующая процедура недобровольного помещения и лечения регулируется Гражданским процессуальным кодексом. В процессе рассмотрения дела о помещении в закрытое учреждение суд назначает представителя соответствующего лица. Это лицо и его близкие члены семьи, опекун, попечитель, члены реабилитационной группы и руководитель закрытого учреждения должны быть заслушаны лично. В соответствии с Кодексом требуется заключение эксперта, например психиатра. Кодекс также предусматривает, что срок помещения под стражу не может превышать одного года, если иное не предусмотрено законом, и суд должен указать причины определения срока. Такие судебные решения могут быть обжалованы, а решение апелляционного суда может быть обжаловано в Верховном суде. Можно подать иск о возмещении ущерба, если решение суда, требующее недобровольного лечения, впоследствии будет отменено. Кодекс предусматривает, что суд может приостановить помещение лица в закрытое учреждение.</w:t>
      </w:r>
    </w:p>
    <w:p w14:paraId="188C4766" w14:textId="77777777" w:rsidR="00444C7E" w:rsidRPr="00260CC9" w:rsidRDefault="00444C7E" w:rsidP="00444C7E">
      <w:pPr>
        <w:pStyle w:val="H4G"/>
      </w:pPr>
      <w:r>
        <w:tab/>
      </w:r>
      <w:r>
        <w:tab/>
      </w:r>
      <w:r>
        <w:rPr>
          <w:iCs/>
        </w:rPr>
        <w:t>Принудительное психиатрическое лечение в уголовном процессе</w:t>
      </w:r>
    </w:p>
    <w:p w14:paraId="589BE2BA" w14:textId="7EF7C728" w:rsidR="00444C7E" w:rsidRDefault="00444C7E" w:rsidP="00444C7E">
      <w:pPr>
        <w:pStyle w:val="SingleTxtG"/>
      </w:pPr>
      <w:r>
        <w:t>Согласно Закону о психическом здоровье, психиатрическое принудительное лечение направлено на лечение психических заболеваний, снижение риска, связанного с ними, и на восстановление навыков преодоления трудностей. Принудительное лечение применяется согласно Уголовному кодексу и в соответствии с Уголовно-процессуальным кодексом. В соответствии с Уголовным кодексом суд может назначить принудительное психиатрическое лечение только в том случае, если: a)</w:t>
      </w:r>
      <w:r>
        <w:t> </w:t>
      </w:r>
      <w:r>
        <w:t>лицо совершило противоправное деяние; b) в момент совершения противоправного деяния лицо было недееспособно или если оно после вынесения судебного приговора, но до полного отбытия наказания</w:t>
      </w:r>
      <w:r w:rsidR="005C31C7">
        <w:t>,</w:t>
      </w:r>
      <w:r>
        <w:t xml:space="preserve"> становится психически больным или страдает каким-либо тяжелым психическим заболеванием, или если в ходе предварительного следствия или судебного заседания установлено, что лицо страдает таким заболеванием и поэтому его психическое состояние в момент совершения противоправного деяния не может быть установлено; c) он или она представляет опасность для себя и общества в силу своего противоправного деяния и психического состояния; и d) он или она нуждается в лечении. Амбулаторное лечение возможно, если лицо не представляет опасности для себя или других при прохождении принудительного психиатрического лечения и если есть вероятность, что это лицо будет соблюдать режим лечения.</w:t>
      </w:r>
    </w:p>
    <w:p w14:paraId="6F55EF21" w14:textId="77777777" w:rsidR="00444C7E" w:rsidRDefault="00444C7E" w:rsidP="00444C7E">
      <w:pPr>
        <w:pStyle w:val="SingleTxtG"/>
      </w:pPr>
      <w:r>
        <w:t>Уголовно-процессуальный кодекс регулирует проведение принудительного психиатрического лечения, предусматривая, что лицо должно участвовать в процессуальных действиях и пользоваться правами, предусмотренными Кодексом, если его психическое состояние позволяет это сделать. Участие адвоката является обязательным на протяжении всего уголовного процесса, если в силу психических или физических недостатков лицо не может защищать себя самостоятельно или если защита затруднена в силу недостатков. Суд должен прекратить назначение лечения, если лицо выздоровело в результате принудительного психиатрического лечения или если, по мнению психиатра или медицинской комиссии, нет необходимости в дальнейшем лечении. Лицо имеет право обжаловать постановление о назначении или изменении лечения в апелляционном суде, а затем в Верховном суде.</w:t>
      </w:r>
    </w:p>
    <w:p w14:paraId="4EC3C4F7" w14:textId="02A05221" w:rsidR="00444C7E" w:rsidRDefault="00444C7E" w:rsidP="00444C7E">
      <w:pPr>
        <w:pStyle w:val="SingleTxtG"/>
      </w:pPr>
      <w:r>
        <w:t>Существует круглосуточный специальный уход за взрослыми, помещенными в учреждение по уходу по решению суда на срок до одного года. Взрослые помещаются в такие учреждения для получения ухода без их согласия, если: a) взрослый имеет тяжелое психическое заболевание, которое ограничивает его способность понимать или контролировать свое поведение; b) взрослый представляет опасность для себя или для других, если он не будет помещен в учреждение социального обеспечения для круглосуточного специального ухода; и c) применение ранее принятых мер оказалось недостаточным или применение других мер невозможно. Если взрослый человек не способен осуществлять свою волю, считается, что он не давал своего согласия на получение такого ухода. Поставщик услуг по уходу должен обеспечить наличие сестринского ухода, семейного врача и психиатра. Персонал учреждений по уходу должен пройти специальную подготовку. Организуются дополнительные учебные курсы, например по работе с трудным и агрессивным поведением и по навыкам консультирования для работы с людьми с алкогольной зависимостью.</w:t>
      </w:r>
    </w:p>
    <w:p w14:paraId="47681ADC" w14:textId="77777777" w:rsidR="00444C7E" w:rsidRPr="00B3141D" w:rsidRDefault="00444C7E" w:rsidP="00444C7E">
      <w:pPr>
        <w:pStyle w:val="H23G"/>
      </w:pPr>
      <w:r>
        <w:lastRenderedPageBreak/>
        <w:tab/>
      </w:r>
      <w:r>
        <w:tab/>
      </w:r>
      <w:r>
        <w:rPr>
          <w:bCs/>
        </w:rPr>
        <w:t>Оценка Комитета</w:t>
      </w:r>
    </w:p>
    <w:p w14:paraId="7FDB4FAC" w14:textId="77777777" w:rsidR="00444C7E" w:rsidRPr="00DC5238" w:rsidRDefault="00444C7E" w:rsidP="00444C7E">
      <w:pPr>
        <w:pStyle w:val="SingleTxtG"/>
        <w:rPr>
          <w:bCs/>
        </w:rPr>
      </w:pPr>
      <w:r>
        <w:t>[C]</w:t>
      </w:r>
    </w:p>
    <w:p w14:paraId="1B8C6CF4" w14:textId="5B7B748F" w:rsidR="00444C7E" w:rsidRDefault="00444C7E" w:rsidP="00444C7E">
      <w:pPr>
        <w:pStyle w:val="SingleTxtG"/>
        <w:rPr>
          <w:bCs/>
        </w:rPr>
      </w:pPr>
      <w:r>
        <w:t>Комитет принимает к сведению представленную информацию о правовой базе, регулирующей психиатрическое лечение</w:t>
      </w:r>
      <w:r w:rsidRPr="00CA766E">
        <w:t xml:space="preserve"> без согласия пациента</w:t>
      </w:r>
      <w:r>
        <w:t xml:space="preserve"> в рамках уголовного и гражданского судопроизводства. Тем не менее он сожалеет об отсутствии конкретной информации о мерах, принятых после принятия заключительных замечаний для введения в действие комплексных процедур получения согласия на назначение психиатрического лечения и достаточного информирования родственников и любых других законных представителей пациентов о процедуре подачи ходатайства о прекращении принудительного лечения в соответствии со статьей 403 Уголовно-процессуального кодекса. Комитет повторяет свою рекомендацию.</w:t>
      </w:r>
    </w:p>
    <w:p w14:paraId="753C7CAB" w14:textId="77777777" w:rsidR="00444C7E" w:rsidRDefault="00444C7E" w:rsidP="00444C7E">
      <w:pPr>
        <w:pStyle w:val="H1G"/>
        <w:rPr>
          <w:szCs w:val="24"/>
        </w:rPr>
      </w:pPr>
      <w:r>
        <w:tab/>
      </w:r>
      <w:r>
        <w:tab/>
      </w:r>
      <w:r>
        <w:rPr>
          <w:bCs/>
        </w:rPr>
        <w:t>Пункт 28: Беженцы и просители убежища</w:t>
      </w:r>
    </w:p>
    <w:p w14:paraId="2C879685" w14:textId="77777777" w:rsidR="00444C7E" w:rsidRDefault="00444C7E" w:rsidP="00444C7E">
      <w:pPr>
        <w:pStyle w:val="H23G"/>
        <w:rPr>
          <w:rFonts w:eastAsiaTheme="minorEastAsia"/>
        </w:rPr>
      </w:pPr>
      <w:r>
        <w:tab/>
      </w:r>
      <w:r>
        <w:tab/>
      </w:r>
      <w:r>
        <w:rPr>
          <w:bCs/>
        </w:rPr>
        <w:t>Резюме информации, полученной от государства-участника</w:t>
      </w:r>
    </w:p>
    <w:p w14:paraId="68A64375" w14:textId="2A33711D" w:rsidR="00444C7E" w:rsidRPr="00A30347" w:rsidRDefault="00444C7E" w:rsidP="00444C7E">
      <w:pPr>
        <w:pStyle w:val="SingleTxtG"/>
      </w:pPr>
      <w:r>
        <w:t>a)</w:t>
      </w:r>
      <w:r>
        <w:tab/>
        <w:t>Принцип невозвращения полностью соблюдается. Гарантируется право лиц, ищущих убежище, обращаться за международной защитой и их доступ к справедливому и быстрому судопроизводству. Заявления можно подать в пунктах пересечения границы и пунктах обслуживания Департамента полиции и погра</w:t>
      </w:r>
      <w:r>
        <w:t>нич</w:t>
      </w:r>
      <w:r w:rsidR="005C31C7">
        <w:t>н</w:t>
      </w:r>
      <w:r>
        <w:t>ой охраны Эстонии. Сотрудничество с Управлением Верховного комиссара Организации Объединенных Наций по делам беженцев (УВКБ ООН) является плодотворным и постоянным, в том числе по вопросам качества процедур и принятия решений.</w:t>
      </w:r>
    </w:p>
    <w:p w14:paraId="4D76C2DC" w14:textId="77777777" w:rsidR="00444C7E" w:rsidRDefault="00444C7E" w:rsidP="00444C7E">
      <w:pPr>
        <w:pStyle w:val="SingleTxtG"/>
      </w:pPr>
      <w:r>
        <w:t>b)</w:t>
      </w:r>
      <w:r>
        <w:tab/>
        <w:t>Эстония полностью выполняет законы Европейского союза о предоставлении убежища, включая обязательство предоставлять бесплатную юридическую помощь и представительство на стадии апелляций в рамках процедуры предоставления убежища. Заявителям предоставляются бесплатные консультации на административной стадии и бесплатная юридическая помощь и представительство при подаче апелляций и во время судебных разбирательств.</w:t>
      </w:r>
    </w:p>
    <w:p w14:paraId="601E4637" w14:textId="0AC95E78" w:rsidR="00444C7E" w:rsidRPr="00A30347" w:rsidRDefault="00444C7E" w:rsidP="00444C7E">
      <w:pPr>
        <w:pStyle w:val="SingleTxtG"/>
      </w:pPr>
      <w:r>
        <w:t>c)</w:t>
      </w:r>
      <w:r>
        <w:tab/>
        <w:t>Просители международной защиты не наказываются за незаконное пересечение границы. Согласно статье 6 Уголовно-процессуального кодекса уголовное дело возбуждается при наличии признаков состава преступления. Согласно статье 199 Кодекса обращение за международной защитой не исключает автоматически уголовного преследования. Уголовное дело возбуждается не для наказания, а для расследования соответствующих обстоятельств, в том числе предусмотренных статьей</w:t>
      </w:r>
      <w:r w:rsidR="00AB327C">
        <w:t> </w:t>
      </w:r>
      <w:r>
        <w:t>31 Конвенции о статусе беженцев.</w:t>
      </w:r>
    </w:p>
    <w:p w14:paraId="04789316" w14:textId="77777777" w:rsidR="00444C7E" w:rsidRDefault="00444C7E" w:rsidP="00444C7E">
      <w:pPr>
        <w:pStyle w:val="SingleTxtG"/>
      </w:pPr>
      <w:r>
        <w:t>d)</w:t>
      </w:r>
      <w:r>
        <w:tab/>
        <w:t>24 октября 2017 года парламент завершил первое чтение законопроекта 472 SE; дальнейших событий в этом отношении не было. Согласно закону о парламентском регламенте и внутренних правилах, по истечении срока полномочий парламента все законопроекты и проекты постановлений, по которым не было завершено рассмотрение в течение срока полномочий, снимаются с рассмотрения. Рассмотрение законопроекта 472 SE завершилось в 2017 году.</w:t>
      </w:r>
    </w:p>
    <w:p w14:paraId="20AF6413" w14:textId="2764A1BF" w:rsidR="00444C7E" w:rsidRDefault="00444C7E" w:rsidP="00444C7E">
      <w:pPr>
        <w:pStyle w:val="SingleTxtG"/>
        <w:rPr>
          <w:bCs/>
          <w:iCs/>
        </w:rPr>
      </w:pPr>
      <w:r>
        <w:t>e)</w:t>
      </w:r>
      <w:r>
        <w:tab/>
        <w:t>Департамент полиции и пограничной охраны Эстонии постоянно и регулярно проводит обучение своих сотрудников. При поддержке проекта Фонда для убежища, миграции и интеграции на 2019</w:t>
      </w:r>
      <w:r>
        <w:t>–</w:t>
      </w:r>
      <w:r>
        <w:t>2021 годы и на основе стандартов и учебной программы Европейского бюро поддержки убежища были разработаны восемь учебных модулей для Департамента полиции и пограничной охраны, охватывающих международные стандарты, и обучение по ним прошли не менее 250 сотрудников.</w:t>
      </w:r>
    </w:p>
    <w:p w14:paraId="039EDF68" w14:textId="77777777" w:rsidR="00444C7E" w:rsidRPr="00E82720" w:rsidRDefault="00444C7E" w:rsidP="00444C7E">
      <w:pPr>
        <w:pStyle w:val="H23G"/>
      </w:pPr>
      <w:r>
        <w:tab/>
      </w:r>
      <w:r>
        <w:tab/>
      </w:r>
      <w:r>
        <w:rPr>
          <w:bCs/>
        </w:rPr>
        <w:t>Оценка Комитета</w:t>
      </w:r>
    </w:p>
    <w:p w14:paraId="00ED5C98" w14:textId="77777777" w:rsidR="00444C7E" w:rsidRDefault="00444C7E" w:rsidP="00444C7E">
      <w:pPr>
        <w:pStyle w:val="SingleTxtG"/>
      </w:pPr>
      <w:r>
        <w:t>[C]: a), b), c) и d)</w:t>
      </w:r>
    </w:p>
    <w:p w14:paraId="2D05F575" w14:textId="56D2D962" w:rsidR="00444C7E" w:rsidRPr="00A9139B" w:rsidRDefault="00444C7E" w:rsidP="00444C7E">
      <w:pPr>
        <w:pStyle w:val="SingleTxtG"/>
      </w:pPr>
      <w:r>
        <w:t xml:space="preserve">Принимая к сведению информацию о полном соблюдении принципа невозвращения, Комитет сожалеет об отсутствии информации о конкретных мерах, принятых для эффективного обеспечения на практике прав лиц, ищущих убежище, на подачу </w:t>
      </w:r>
      <w:r>
        <w:lastRenderedPageBreak/>
        <w:t>ходатайств о предоставлении убежища, а также о любых шагах, предпринятых для создания независимой системы мониторинга в пунктах пересечения границы. Он</w:t>
      </w:r>
      <w:r>
        <w:t> </w:t>
      </w:r>
      <w:r>
        <w:t>повторяет свои рекомендации и просит предоставить дополнительную информацию о сотрудничестве с УВКБ ООН.</w:t>
      </w:r>
    </w:p>
    <w:p w14:paraId="58A652DC" w14:textId="77777777" w:rsidR="00444C7E" w:rsidRDefault="00444C7E" w:rsidP="00444C7E">
      <w:pPr>
        <w:pStyle w:val="SingleTxtG"/>
      </w:pPr>
      <w:r>
        <w:t>Принимая к сведению информацию о предоставлении бесплатной юридической помощи и представительства, Комитет сожалеет об отсутствии конкретной информации о мерах, принятых для обеспечения того, чтобы просителям убежища предоставлялись юридические консультации или помощь. Он повторяет свою рекомендацию и просит предоставить статистическую информацию о количестве просителей убежища, получивших такую помощь на границе за отчетный период.</w:t>
      </w:r>
    </w:p>
    <w:p w14:paraId="7FC5A097" w14:textId="77777777" w:rsidR="00444C7E" w:rsidRDefault="00444C7E" w:rsidP="00444C7E">
      <w:pPr>
        <w:pStyle w:val="SingleTxtG"/>
      </w:pPr>
      <w:r>
        <w:t>Принимая к сведению представленную информацию об уголовной ответственности, Комитет сожалеет об отсутствии информации о каких-либо шагах, предпринятых для включения в Уголовный кодекс адекватных гарантий, обеспечивающих освобождение лиц, ищущих убежище, от любой уголовной ответственности за незаконный въезд или пребывание. Он повторяет свою рекомендацию и просит предоставить статистическую информацию о количестве просителей убежища, которые были обвинены и осуждены за незаконный въезд или пребывание.</w:t>
      </w:r>
    </w:p>
    <w:p w14:paraId="5BAEC122" w14:textId="6A39C94E" w:rsidR="00444C7E" w:rsidRDefault="00444C7E" w:rsidP="00444C7E">
      <w:pPr>
        <w:pStyle w:val="SingleTxtG"/>
      </w:pPr>
      <w:r>
        <w:t>Комитет принимает к сведению информацию о прекращении в 2017 году работы над законопроектом 472 SE в связи с истечением срока полномочий парламента. Тем не менее он сожалеет об отсутствии информации о том, было ли принято за отчетный период или планируется принятие аналогичного законодательства, касающегося лишения статуса беженца, и просит предоставить дополнительную информацию.</w:t>
      </w:r>
    </w:p>
    <w:p w14:paraId="5A340DFE" w14:textId="77777777" w:rsidR="00444C7E" w:rsidRDefault="00444C7E" w:rsidP="00444C7E">
      <w:pPr>
        <w:pStyle w:val="SingleTxtG"/>
      </w:pPr>
      <w:r>
        <w:t>[A]: e)</w:t>
      </w:r>
    </w:p>
    <w:p w14:paraId="1A099E8B" w14:textId="20CA312D" w:rsidR="00444C7E" w:rsidRDefault="00444C7E" w:rsidP="00444C7E">
      <w:pPr>
        <w:pStyle w:val="SingleTxtG"/>
      </w:pPr>
      <w:r>
        <w:t>Комитет приветствует информацию о создании и предоставлении Департаментом полиции и пограничной охраны Эстонии учебных модулей для своих сотрудников. Он</w:t>
      </w:r>
      <w:r w:rsidR="00AB327C">
        <w:t> </w:t>
      </w:r>
      <w:r>
        <w:t>просит предоставить дополнительную информацию о содержании учебных модулей, особенно тех, которые охватывают международные стандарты, и о том, является ли обучение обязательным для всех должностных лиц, которые вступают в контакт с мигрантами и лицами, ищущими убежище.</w:t>
      </w:r>
    </w:p>
    <w:p w14:paraId="7E140918" w14:textId="77777777" w:rsidR="00444C7E" w:rsidRPr="00291416" w:rsidRDefault="00444C7E" w:rsidP="00444C7E">
      <w:pPr>
        <w:pStyle w:val="SingleTxtG"/>
      </w:pPr>
      <w:r w:rsidRPr="00AB327C">
        <w:rPr>
          <w:b/>
          <w:bCs/>
        </w:rPr>
        <w:t>Рекомендуемые действия</w:t>
      </w:r>
      <w:r>
        <w:t>: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61ADCC50" w14:textId="77777777" w:rsidR="00444C7E" w:rsidRDefault="00444C7E" w:rsidP="00444C7E">
      <w:pPr>
        <w:pStyle w:val="SingleTxtG"/>
        <w:keepNext/>
      </w:pPr>
      <w:r w:rsidRPr="00AB327C">
        <w:rPr>
          <w:b/>
          <w:bCs/>
        </w:rPr>
        <w:t>Сроки представления следующего периодического доклада</w:t>
      </w:r>
      <w:r>
        <w:t>: 2028 год (страновой обзор в 2029 году в соответствии с планируемым циклом обзора).</w:t>
      </w:r>
    </w:p>
    <w:p w14:paraId="4A267866" w14:textId="71EA5F56" w:rsidR="00381C24" w:rsidRPr="00444C7E" w:rsidRDefault="00444C7E" w:rsidP="00444C7E">
      <w:pPr>
        <w:spacing w:before="240"/>
        <w:jc w:val="center"/>
        <w:rPr>
          <w:u w:val="single"/>
        </w:rPr>
      </w:pPr>
      <w:r>
        <w:rPr>
          <w:u w:val="single"/>
        </w:rPr>
        <w:tab/>
      </w:r>
      <w:r>
        <w:rPr>
          <w:u w:val="single"/>
        </w:rPr>
        <w:tab/>
      </w:r>
      <w:r>
        <w:rPr>
          <w:u w:val="single"/>
        </w:rPr>
        <w:tab/>
      </w:r>
    </w:p>
    <w:sectPr w:rsidR="00381C24" w:rsidRPr="00444C7E" w:rsidSect="00444C7E">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9D041" w14:textId="77777777" w:rsidR="00A36D87" w:rsidRPr="00A312BC" w:rsidRDefault="00A36D87" w:rsidP="00A312BC"/>
  </w:endnote>
  <w:endnote w:type="continuationSeparator" w:id="0">
    <w:p w14:paraId="2969C599" w14:textId="77777777" w:rsidR="00A36D87" w:rsidRPr="00A312BC" w:rsidRDefault="00A36D8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2AFD2" w14:textId="21E5891E" w:rsidR="00444C7E" w:rsidRPr="00444C7E" w:rsidRDefault="00444C7E">
    <w:pPr>
      <w:pStyle w:val="a8"/>
    </w:pPr>
    <w:r w:rsidRPr="00444C7E">
      <w:rPr>
        <w:b/>
        <w:sz w:val="18"/>
      </w:rPr>
      <w:fldChar w:fldCharType="begin"/>
    </w:r>
    <w:r w:rsidRPr="00444C7E">
      <w:rPr>
        <w:b/>
        <w:sz w:val="18"/>
      </w:rPr>
      <w:instrText xml:space="preserve"> PAGE  \* MERGEFORMAT </w:instrText>
    </w:r>
    <w:r w:rsidRPr="00444C7E">
      <w:rPr>
        <w:b/>
        <w:sz w:val="18"/>
      </w:rPr>
      <w:fldChar w:fldCharType="separate"/>
    </w:r>
    <w:r w:rsidRPr="00444C7E">
      <w:rPr>
        <w:b/>
        <w:noProof/>
        <w:sz w:val="18"/>
      </w:rPr>
      <w:t>2</w:t>
    </w:r>
    <w:r w:rsidRPr="00444C7E">
      <w:rPr>
        <w:b/>
        <w:sz w:val="18"/>
      </w:rPr>
      <w:fldChar w:fldCharType="end"/>
    </w:r>
    <w:r>
      <w:rPr>
        <w:b/>
        <w:sz w:val="18"/>
      </w:rPr>
      <w:tab/>
    </w:r>
    <w:r>
      <w:t>GE.23-06038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9D892" w14:textId="7A241E8D" w:rsidR="00444C7E" w:rsidRPr="00444C7E" w:rsidRDefault="00444C7E" w:rsidP="00444C7E">
    <w:pPr>
      <w:pStyle w:val="a8"/>
      <w:tabs>
        <w:tab w:val="clear" w:pos="9639"/>
        <w:tab w:val="right" w:pos="9638"/>
      </w:tabs>
      <w:rPr>
        <w:b/>
        <w:sz w:val="18"/>
      </w:rPr>
    </w:pPr>
    <w:r>
      <w:t>GE.23-06038</w:t>
    </w:r>
    <w:r>
      <w:tab/>
    </w:r>
    <w:r w:rsidRPr="00444C7E">
      <w:rPr>
        <w:b/>
        <w:sz w:val="18"/>
      </w:rPr>
      <w:fldChar w:fldCharType="begin"/>
    </w:r>
    <w:r w:rsidRPr="00444C7E">
      <w:rPr>
        <w:b/>
        <w:sz w:val="18"/>
      </w:rPr>
      <w:instrText xml:space="preserve"> PAGE  \* MERGEFORMAT </w:instrText>
    </w:r>
    <w:r w:rsidRPr="00444C7E">
      <w:rPr>
        <w:b/>
        <w:sz w:val="18"/>
      </w:rPr>
      <w:fldChar w:fldCharType="separate"/>
    </w:r>
    <w:r w:rsidRPr="00444C7E">
      <w:rPr>
        <w:b/>
        <w:noProof/>
        <w:sz w:val="18"/>
      </w:rPr>
      <w:t>3</w:t>
    </w:r>
    <w:r w:rsidRPr="00444C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B83B6" w14:textId="2D11F765" w:rsidR="00042B72" w:rsidRPr="00444C7E" w:rsidRDefault="00444C7E" w:rsidP="00444C7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8E77BBB" wp14:editId="47C40ED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23-06038  (R)</w:t>
    </w:r>
    <w:r>
      <w:rPr>
        <w:noProof/>
      </w:rPr>
      <w:drawing>
        <wp:anchor distT="0" distB="0" distL="114300" distR="114300" simplePos="0" relativeHeight="251659264" behindDoc="0" locked="0" layoutInCell="1" allowOverlap="1" wp14:anchorId="0574496B" wp14:editId="37FB45B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270623  170823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E44EC" w14:textId="77777777" w:rsidR="00A36D87" w:rsidRPr="001075E9" w:rsidRDefault="00A36D87" w:rsidP="001075E9">
      <w:pPr>
        <w:tabs>
          <w:tab w:val="right" w:pos="2155"/>
        </w:tabs>
        <w:spacing w:after="80" w:line="240" w:lineRule="auto"/>
        <w:ind w:left="680"/>
        <w:rPr>
          <w:u w:val="single"/>
        </w:rPr>
      </w:pPr>
      <w:r>
        <w:rPr>
          <w:u w:val="single"/>
        </w:rPr>
        <w:tab/>
      </w:r>
    </w:p>
  </w:footnote>
  <w:footnote w:type="continuationSeparator" w:id="0">
    <w:p w14:paraId="69D734E9" w14:textId="77777777" w:rsidR="00A36D87" w:rsidRDefault="00A36D87" w:rsidP="00407B78">
      <w:pPr>
        <w:tabs>
          <w:tab w:val="right" w:pos="2155"/>
        </w:tabs>
        <w:spacing w:after="80"/>
        <w:ind w:left="680"/>
        <w:rPr>
          <w:u w:val="single"/>
        </w:rPr>
      </w:pPr>
      <w:r>
        <w:rPr>
          <w:u w:val="single"/>
        </w:rPr>
        <w:tab/>
      </w:r>
    </w:p>
  </w:footnote>
  <w:footnote w:id="1">
    <w:p w14:paraId="589FD2DD" w14:textId="2484D4A6" w:rsidR="00444C7E" w:rsidRPr="005A3CB5" w:rsidRDefault="00444C7E" w:rsidP="00444C7E">
      <w:pPr>
        <w:pStyle w:val="ad"/>
      </w:pPr>
      <w:r>
        <w:tab/>
        <w:t>*</w:t>
      </w:r>
      <w:r>
        <w:tab/>
        <w:t xml:space="preserve">Принят Комитетом на его 137-й сессии (27 февраля </w:t>
      </w:r>
      <w:r>
        <w:t>—</w:t>
      </w:r>
      <w:r>
        <w:t xml:space="preserve"> 24 марта 2023 года).</w:t>
      </w:r>
    </w:p>
  </w:footnote>
  <w:footnote w:id="2">
    <w:p w14:paraId="06695190" w14:textId="2405B9BD" w:rsidR="00444C7E" w:rsidRDefault="00444C7E" w:rsidP="00444C7E">
      <w:pPr>
        <w:pStyle w:val="ad"/>
      </w:pPr>
      <w:r>
        <w:tab/>
      </w:r>
      <w:r w:rsidRPr="00444C7E">
        <w:rPr>
          <w:rStyle w:val="aa"/>
        </w:rPr>
        <w:footnoteRef/>
      </w:r>
      <w:r>
        <w:t xml:space="preserve"> </w:t>
      </w:r>
      <w:r>
        <w:tab/>
        <w:t xml:space="preserve">Пункты, содержащие рекомендации Комитета, в настоящем документе не воспроизводятся в связи с ограничением объема, установленным в резолюции </w:t>
      </w:r>
      <w:hyperlink r:id="rId1" w:history="1">
        <w:r>
          <w:rPr>
            <w:rStyle w:val="af1"/>
          </w:rPr>
          <w:t>68/268</w:t>
        </w:r>
      </w:hyperlink>
      <w:r>
        <w:t xml:space="preserve"> Генеральной Ассамблеи, п.</w:t>
      </w:r>
      <w:r>
        <w:t> </w:t>
      </w:r>
      <w:r>
        <w:t>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9EF9A" w14:textId="587A067C" w:rsidR="00444C7E" w:rsidRPr="00444C7E" w:rsidRDefault="00444C7E">
    <w:pPr>
      <w:pStyle w:val="a5"/>
    </w:pPr>
    <w:fldSimple w:instr=" TITLE  \* MERGEFORMAT ">
      <w:r w:rsidR="00E41737">
        <w:t>CCPR/C/137/2/Add.2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104A4" w14:textId="29CE2F42" w:rsidR="00444C7E" w:rsidRPr="00444C7E" w:rsidRDefault="00444C7E" w:rsidP="00444C7E">
    <w:pPr>
      <w:pStyle w:val="a5"/>
      <w:jc w:val="right"/>
    </w:pPr>
    <w:fldSimple w:instr=" TITLE  \* MERGEFORMAT ">
      <w:r w:rsidR="00E41737">
        <w:t>CCPR/C/137/2/Add.2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D87"/>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44C7E"/>
    <w:rsid w:val="00452493"/>
    <w:rsid w:val="00454E07"/>
    <w:rsid w:val="00472C5C"/>
    <w:rsid w:val="004969B2"/>
    <w:rsid w:val="0050108D"/>
    <w:rsid w:val="00513081"/>
    <w:rsid w:val="00517901"/>
    <w:rsid w:val="00526683"/>
    <w:rsid w:val="005513F3"/>
    <w:rsid w:val="005709E0"/>
    <w:rsid w:val="00572E19"/>
    <w:rsid w:val="005961C8"/>
    <w:rsid w:val="005C31C7"/>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36D87"/>
    <w:rsid w:val="00A84021"/>
    <w:rsid w:val="00A84D35"/>
    <w:rsid w:val="00A917B3"/>
    <w:rsid w:val="00AB327C"/>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1737"/>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22CDE"/>
  <w15:docId w15:val="{41570FEA-44FE-4717-9B44-ADE4C138D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444C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EST/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EST/F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6</TotalTime>
  <Pages>5</Pages>
  <Words>1868</Words>
  <Characters>13137</Characters>
  <Application>Microsoft Office Word</Application>
  <DocSecurity>0</DocSecurity>
  <Lines>234</Lines>
  <Paragraphs>57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CCPR/C/137/2/Add.2</vt:lpstr>
      <vt:lpstr>A/</vt:lpstr>
      <vt:lpstr>A/</vt:lpstr>
    </vt:vector>
  </TitlesOfParts>
  <Company>DCM</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CCPR/C/137/2/Add.2</dc:title>
  <dc:subject/>
  <dc:creator>Anna BLAGODATSKIKH</dc:creator>
  <cp:keywords/>
  <cp:lastModifiedBy>Anna Blagodatskikh</cp:lastModifiedBy>
  <cp:revision>3</cp:revision>
  <cp:lastPrinted>2023-08-17T08:45:00Z</cp:lastPrinted>
  <dcterms:created xsi:type="dcterms:W3CDTF">2023-08-17T08:45:00Z</dcterms:created>
  <dcterms:modified xsi:type="dcterms:W3CDTF">2023-08-17T08:50:00Z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