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29D13049" w:rsidR="00446DE4" w:rsidRPr="00DE3EC0" w:rsidRDefault="004A3CF0" w:rsidP="009C5EFD">
            <w:pPr>
              <w:jc w:val="right"/>
            </w:pPr>
            <w:r w:rsidRPr="004A3CF0">
              <w:rPr>
                <w:sz w:val="40"/>
              </w:rPr>
              <w:t>A</w:t>
            </w:r>
            <w:r>
              <w:t>/HRC/</w:t>
            </w:r>
            <w:r w:rsidR="000C5424">
              <w:t>RES/</w:t>
            </w:r>
            <w:r w:rsidR="00E46099">
              <w:t>5</w:t>
            </w:r>
            <w:r w:rsidR="00DF59B8">
              <w:t>9</w:t>
            </w:r>
            <w:r>
              <w:t>/</w:t>
            </w:r>
            <w:r w:rsidR="000C5424">
              <w:t>14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5C17ECD3" w:rsidR="00FE2ED7" w:rsidRPr="00AF39E0" w:rsidRDefault="00B3317B" w:rsidP="00FF6349">
            <w:pPr>
              <w:spacing w:before="120" w:line="420" w:lineRule="exact"/>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9362D8B" w:rsidR="003107FA" w:rsidRDefault="004A3CF0" w:rsidP="004A3CF0">
            <w:pPr>
              <w:spacing w:before="240" w:line="240" w:lineRule="exact"/>
            </w:pPr>
            <w:r>
              <w:t xml:space="preserve">Distr.: </w:t>
            </w:r>
            <w:r w:rsidR="000C5424">
              <w:t>General</w:t>
            </w:r>
          </w:p>
          <w:p w14:paraId="11704512" w14:textId="18198FCF" w:rsidR="004A3CF0" w:rsidRDefault="001A7A66" w:rsidP="004A3CF0">
            <w:pPr>
              <w:spacing w:line="240" w:lineRule="exact"/>
            </w:pPr>
            <w:r>
              <w:t>8</w:t>
            </w:r>
            <w:r w:rsidR="00DC1076">
              <w:t xml:space="preserve"> </w:t>
            </w:r>
            <w:r w:rsidR="00641191">
              <w:t>July</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27593F48" w:rsidR="00E81E48" w:rsidRDefault="00E81E48" w:rsidP="00E81E48">
      <w:pPr>
        <w:rPr>
          <w:b/>
          <w:bCs/>
          <w:color w:val="000000"/>
        </w:rPr>
      </w:pPr>
      <w:r>
        <w:rPr>
          <w:b/>
          <w:bCs/>
          <w:color w:val="000000"/>
        </w:rPr>
        <w:t>Fifty-</w:t>
      </w:r>
      <w:r w:rsidR="00DF59B8">
        <w:rPr>
          <w:b/>
          <w:bCs/>
          <w:color w:val="000000"/>
        </w:rPr>
        <w:t>ninth</w:t>
      </w:r>
      <w:r>
        <w:rPr>
          <w:b/>
          <w:bCs/>
          <w:color w:val="000000"/>
        </w:rPr>
        <w:t xml:space="preserve"> session</w:t>
      </w:r>
    </w:p>
    <w:p w14:paraId="5AD5789F" w14:textId="7AC90F78" w:rsidR="00E81E48" w:rsidRDefault="00DF59B8" w:rsidP="00E81E48">
      <w:pPr>
        <w:rPr>
          <w:color w:val="000000"/>
        </w:rPr>
      </w:pPr>
      <w:r>
        <w:rPr>
          <w:color w:val="000000"/>
        </w:rPr>
        <w:t>16</w:t>
      </w:r>
      <w:r w:rsidR="008B2649">
        <w:rPr>
          <w:color w:val="000000"/>
        </w:rPr>
        <w:t xml:space="preserve"> </w:t>
      </w:r>
      <w:r>
        <w:rPr>
          <w:color w:val="000000"/>
        </w:rPr>
        <w:t>June</w:t>
      </w:r>
      <w:r w:rsidR="00E81E48">
        <w:rPr>
          <w:color w:val="000000"/>
        </w:rPr>
        <w:t>–</w:t>
      </w:r>
      <w:r w:rsidR="00E9488F">
        <w:rPr>
          <w:color w:val="000000"/>
        </w:rPr>
        <w:t xml:space="preserve">8 </w:t>
      </w:r>
      <w:r>
        <w:rPr>
          <w:color w:val="000000"/>
        </w:rPr>
        <w:t>July</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7323A9DE" w14:textId="3836DFDC" w:rsidR="00651650" w:rsidRPr="004A3CF0" w:rsidRDefault="004A3CF0" w:rsidP="00F93D60">
      <w:pPr>
        <w:pStyle w:val="HChG"/>
      </w:pPr>
      <w:r w:rsidRPr="004A3CF0">
        <w:tab/>
      </w:r>
      <w:r w:rsidRPr="004A3CF0">
        <w:tab/>
      </w:r>
      <w:r w:rsidR="000C5424">
        <w:t>R</w:t>
      </w:r>
      <w:r w:rsidRPr="004A3CF0">
        <w:t>esolution</w:t>
      </w:r>
      <w:r w:rsidR="000C5424">
        <w:t xml:space="preserve"> adopted by the Human Rights Council </w:t>
      </w:r>
      <w:r w:rsidR="000C5424">
        <w:br/>
        <w:t>on 7 July 2025</w:t>
      </w:r>
    </w:p>
    <w:p w14:paraId="2BE544D8" w14:textId="4BE0ED4A" w:rsidR="004A3CF0" w:rsidRPr="004A3CF0" w:rsidRDefault="00E46099" w:rsidP="00F93D60">
      <w:pPr>
        <w:pStyle w:val="H1G"/>
        <w:tabs>
          <w:tab w:val="clear" w:pos="851"/>
          <w:tab w:val="right" w:pos="284"/>
        </w:tabs>
        <w:ind w:hanging="850"/>
      </w:pPr>
      <w:r>
        <w:t>5</w:t>
      </w:r>
      <w:r w:rsidR="00DF59B8">
        <w:t>9</w:t>
      </w:r>
      <w:r w:rsidR="004A3CF0" w:rsidRPr="004A3CF0">
        <w:t>/</w:t>
      </w:r>
      <w:r w:rsidR="000C5424">
        <w:t>14.</w:t>
      </w:r>
      <w:r w:rsidR="004A3CF0" w:rsidRPr="004A3CF0">
        <w:tab/>
      </w:r>
      <w:bookmarkStart w:id="0" w:name="_Hlk107401153"/>
      <w:r w:rsidR="00980B66">
        <w:t>Mandate of the Working Group on discrimination against women and girls</w:t>
      </w:r>
      <w:bookmarkEnd w:id="0"/>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0F8CEAD3" w14:textId="6E3744F4" w:rsidR="0002792A" w:rsidRDefault="00DF717D" w:rsidP="00F155B7">
      <w:pPr>
        <w:pStyle w:val="SingleTxtG"/>
      </w:pPr>
      <w:r>
        <w:rPr>
          <w:i/>
        </w:rPr>
        <w:tab/>
      </w:r>
      <w:r>
        <w:rPr>
          <w:i/>
        </w:rPr>
        <w:tab/>
      </w:r>
      <w:r w:rsidR="0002792A" w:rsidRPr="00073350">
        <w:rPr>
          <w:i/>
        </w:rPr>
        <w:t xml:space="preserve">Guided </w:t>
      </w:r>
      <w:r w:rsidR="0002792A" w:rsidRPr="00073350">
        <w:t>by the purposes and principles of the Charter of the United Nations,</w:t>
      </w:r>
    </w:p>
    <w:p w14:paraId="2C196D4E" w14:textId="0EFC1F01" w:rsidR="0002792A" w:rsidRPr="00073350" w:rsidRDefault="00DF717D" w:rsidP="00F155B7">
      <w:pPr>
        <w:pStyle w:val="SingleTxtG"/>
      </w:pPr>
      <w:r>
        <w:rPr>
          <w:i/>
        </w:rPr>
        <w:tab/>
      </w:r>
      <w:r>
        <w:rPr>
          <w:i/>
        </w:rPr>
        <w:tab/>
      </w:r>
      <w:r w:rsidR="0002792A">
        <w:rPr>
          <w:i/>
        </w:rPr>
        <w:t xml:space="preserve">Reaffirming </w:t>
      </w:r>
      <w:r w:rsidR="0002792A">
        <w:t xml:space="preserve">the obligation of all States to respect, protect and fulfil all human rights and fundamental freedoms </w:t>
      </w:r>
      <w:r w:rsidR="00976A35">
        <w:t xml:space="preserve">and </w:t>
      </w:r>
      <w:r w:rsidR="0002792A">
        <w:t>to eliminate all forms of discrimination</w:t>
      </w:r>
      <w:r w:rsidR="00976A35">
        <w:t>, including discrimination</w:t>
      </w:r>
      <w:r w:rsidR="0002792A">
        <w:t xml:space="preserve"> against women and girls,</w:t>
      </w:r>
    </w:p>
    <w:p w14:paraId="66831C34" w14:textId="2401476F" w:rsidR="0002792A" w:rsidRPr="00073350" w:rsidRDefault="00DF717D" w:rsidP="00F155B7">
      <w:pPr>
        <w:pStyle w:val="SingleTxtG"/>
      </w:pPr>
      <w:r>
        <w:rPr>
          <w:i/>
        </w:rPr>
        <w:tab/>
      </w:r>
      <w:r>
        <w:rPr>
          <w:i/>
        </w:rPr>
        <w:tab/>
      </w:r>
      <w:r w:rsidR="0002792A" w:rsidRPr="00073350">
        <w:rPr>
          <w:i/>
        </w:rPr>
        <w:t>Reaffirming</w:t>
      </w:r>
      <w:r w:rsidR="00677065">
        <w:rPr>
          <w:i/>
        </w:rPr>
        <w:t xml:space="preserve"> also</w:t>
      </w:r>
      <w:r w:rsidR="0002792A" w:rsidRPr="00073350">
        <w:t xml:space="preserve"> the Universal Declaration of Human Rights, the Convention on the Elimination of All Forms of Discrimination against Women, the Convention on the Rights of the Child, the </w:t>
      </w:r>
      <w:r w:rsidR="00BC7319">
        <w:t xml:space="preserve">International </w:t>
      </w:r>
      <w:r w:rsidR="0002792A" w:rsidRPr="00073350">
        <w:t>Convention on the Elimination of All Forms of Racial Discrimination, the Convention on the Rights of Persons with Disabilities, the International Covenant on Civil and Political Rights, the International Covenant on Economic, Social and Cultural Rights and all other relevant human rights treaties and instruments,</w:t>
      </w:r>
    </w:p>
    <w:p w14:paraId="4EDDF30C" w14:textId="1D6BE027" w:rsidR="0002792A" w:rsidRPr="00073350" w:rsidRDefault="00DF717D" w:rsidP="00F155B7">
      <w:pPr>
        <w:pStyle w:val="SingleTxtG"/>
      </w:pPr>
      <w:r>
        <w:rPr>
          <w:i/>
        </w:rPr>
        <w:tab/>
      </w:r>
      <w:r>
        <w:rPr>
          <w:i/>
        </w:rPr>
        <w:tab/>
      </w:r>
      <w:r w:rsidR="0002792A" w:rsidRPr="00073350">
        <w:rPr>
          <w:i/>
        </w:rPr>
        <w:t>Recalling</w:t>
      </w:r>
      <w:r w:rsidR="0002792A" w:rsidRPr="00073350">
        <w:t xml:space="preserve"> that gender equality and the condemnation of discrimination and violence against women and girls have been recognized in the Vienna Declaration and Programme of Action, the Programme of Action of the International Conference on Population and Development</w:t>
      </w:r>
      <w:r w:rsidR="0002792A">
        <w:t xml:space="preserve"> and</w:t>
      </w:r>
      <w:r w:rsidR="0002792A" w:rsidRPr="00073350">
        <w:t xml:space="preserve"> the Beijing Declaration and Platform for Action</w:t>
      </w:r>
      <w:r w:rsidR="0002792A">
        <w:t>,</w:t>
      </w:r>
      <w:r w:rsidR="0002792A" w:rsidRPr="00073350">
        <w:t xml:space="preserve"> and the outcome documents of their review conferences, the Durban Declaration and Programme of Action and the outcome document of the Durban Review Conference,</w:t>
      </w:r>
    </w:p>
    <w:p w14:paraId="33C1EC60" w14:textId="623BE61E" w:rsidR="0002792A" w:rsidRPr="00073350" w:rsidRDefault="00DF717D" w:rsidP="00F155B7">
      <w:pPr>
        <w:pStyle w:val="SingleTxtG"/>
      </w:pPr>
      <w:r>
        <w:rPr>
          <w:i/>
        </w:rPr>
        <w:tab/>
      </w:r>
      <w:r>
        <w:rPr>
          <w:i/>
        </w:rPr>
        <w:tab/>
      </w:r>
      <w:r w:rsidR="0002792A" w:rsidRPr="00073350">
        <w:rPr>
          <w:i/>
        </w:rPr>
        <w:t>Recalling</w:t>
      </w:r>
      <w:r w:rsidR="0002792A" w:rsidRPr="00073350">
        <w:t xml:space="preserve"> </w:t>
      </w:r>
      <w:r w:rsidR="0002792A" w:rsidRPr="00073350">
        <w:rPr>
          <w:i/>
          <w:iCs/>
        </w:rPr>
        <w:t xml:space="preserve">also </w:t>
      </w:r>
      <w:r w:rsidR="0002792A" w:rsidRPr="00073350">
        <w:t xml:space="preserve">all relevant resolutions </w:t>
      </w:r>
      <w:r w:rsidR="0002792A">
        <w:t xml:space="preserve">of </w:t>
      </w:r>
      <w:r w:rsidR="0002792A" w:rsidRPr="00073350">
        <w:t xml:space="preserve">the Human Rights Council, </w:t>
      </w:r>
      <w:r w:rsidR="0002792A">
        <w:t xml:space="preserve">the Commission on Human Rights, </w:t>
      </w:r>
      <w:r w:rsidR="0002792A" w:rsidRPr="00073350">
        <w:t>the General Assembly</w:t>
      </w:r>
      <w:r w:rsidR="0002792A">
        <w:t xml:space="preserve"> and</w:t>
      </w:r>
      <w:r w:rsidR="0002792A" w:rsidRPr="00073350">
        <w:t xml:space="preserve"> the Security Council,</w:t>
      </w:r>
      <w:r w:rsidR="0002792A">
        <w:t xml:space="preserve"> </w:t>
      </w:r>
      <w:r w:rsidR="00DD04EB">
        <w:t>and</w:t>
      </w:r>
      <w:r w:rsidR="0002792A">
        <w:t xml:space="preserve"> relevant resolutions and agreed conclusions of</w:t>
      </w:r>
      <w:r w:rsidR="0002792A" w:rsidRPr="00073350">
        <w:t xml:space="preserve"> the Commission on the Status of Women</w:t>
      </w:r>
      <w:r w:rsidR="0002792A">
        <w:t xml:space="preserve"> and the Commission on Population and Development</w:t>
      </w:r>
      <w:r w:rsidR="0002792A" w:rsidRPr="00073350">
        <w:t xml:space="preserve"> that consider the issue of discrimination against women and girls,</w:t>
      </w:r>
    </w:p>
    <w:p w14:paraId="3195F09F" w14:textId="7B02C608" w:rsidR="0002792A" w:rsidRDefault="00DF717D" w:rsidP="00F155B7">
      <w:pPr>
        <w:pStyle w:val="SingleTxtG"/>
        <w:rPr>
          <w:i/>
        </w:rPr>
      </w:pPr>
      <w:r>
        <w:rPr>
          <w:i/>
        </w:rPr>
        <w:tab/>
      </w:r>
      <w:r>
        <w:rPr>
          <w:i/>
        </w:rPr>
        <w:tab/>
      </w:r>
      <w:r w:rsidR="0002792A" w:rsidRPr="00073350">
        <w:rPr>
          <w:i/>
        </w:rPr>
        <w:t>Recalling</w:t>
      </w:r>
      <w:r w:rsidR="0002792A" w:rsidRPr="00073350">
        <w:t xml:space="preserve"> </w:t>
      </w:r>
      <w:r w:rsidR="0002792A" w:rsidRPr="00073350">
        <w:rPr>
          <w:i/>
        </w:rPr>
        <w:t>further</w:t>
      </w:r>
      <w:r w:rsidR="0002792A" w:rsidRPr="00073350">
        <w:t xml:space="preserve"> the inclusion of both gender equality and the empowerment of all women and girls as a stand-alone goal </w:t>
      </w:r>
      <w:r w:rsidR="0002792A">
        <w:t>of the 2030 Agenda for Sustainable Development</w:t>
      </w:r>
      <w:r w:rsidR="002D604A">
        <w:t>,</w:t>
      </w:r>
      <w:r w:rsidR="0002792A">
        <w:t xml:space="preserve"> and that the systematic mainstreaming of a gender perspective in the implementation of the </w:t>
      </w:r>
      <w:r w:rsidR="002D604A">
        <w:t xml:space="preserve">2030 </w:t>
      </w:r>
      <w:r w:rsidR="0002792A">
        <w:t>Agenda is crucial</w:t>
      </w:r>
      <w:r w:rsidR="0002792A" w:rsidRPr="00073350">
        <w:rPr>
          <w:iCs/>
        </w:rPr>
        <w:t>,</w:t>
      </w:r>
    </w:p>
    <w:p w14:paraId="603CE41E" w14:textId="1A011F46" w:rsidR="0002792A" w:rsidRPr="00073350" w:rsidRDefault="00DF717D" w:rsidP="00F155B7">
      <w:pPr>
        <w:pStyle w:val="SingleTxtG"/>
      </w:pPr>
      <w:r>
        <w:rPr>
          <w:i/>
        </w:rPr>
        <w:tab/>
      </w:r>
      <w:r>
        <w:rPr>
          <w:i/>
        </w:rPr>
        <w:tab/>
      </w:r>
      <w:r w:rsidR="0002792A">
        <w:rPr>
          <w:i/>
        </w:rPr>
        <w:t xml:space="preserve">Expressing deep concern </w:t>
      </w:r>
      <w:r w:rsidR="0002792A">
        <w:t xml:space="preserve">at the continued prevalence of discrimination, including multiple and intersecting forms of discrimination, against women and girls in all its different </w:t>
      </w:r>
      <w:r w:rsidR="0002792A">
        <w:lastRenderedPageBreak/>
        <w:t>forms and manifestations worldwide, and recognizing that girls are often at greater risk of being exposed to and experiencing discrimination, including that which occurs through or is amplified by the use of digital technologies,</w:t>
      </w:r>
    </w:p>
    <w:p w14:paraId="1B08435E" w14:textId="186B2200" w:rsidR="0002792A" w:rsidRPr="00073350" w:rsidRDefault="00DF717D" w:rsidP="00F155B7">
      <w:pPr>
        <w:pStyle w:val="SingleTxtG"/>
      </w:pPr>
      <w:r>
        <w:rPr>
          <w:i/>
          <w:iCs/>
        </w:rPr>
        <w:tab/>
      </w:r>
      <w:r>
        <w:rPr>
          <w:i/>
          <w:iCs/>
        </w:rPr>
        <w:tab/>
      </w:r>
      <w:r w:rsidR="0002792A" w:rsidRPr="00073350">
        <w:rPr>
          <w:i/>
          <w:iCs/>
        </w:rPr>
        <w:t>Re</w:t>
      </w:r>
      <w:r w:rsidR="0002792A">
        <w:rPr>
          <w:i/>
          <w:iCs/>
        </w:rPr>
        <w:t>-emphasizing</w:t>
      </w:r>
      <w:r w:rsidR="0002792A" w:rsidRPr="00073350">
        <w:rPr>
          <w:i/>
          <w:iCs/>
        </w:rPr>
        <w:t xml:space="preserve"> </w:t>
      </w:r>
      <w:r w:rsidR="0002792A" w:rsidRPr="00073350">
        <w:t>that discrimination against women and girls</w:t>
      </w:r>
      <w:r w:rsidR="0002792A">
        <w:t xml:space="preserve"> constitutes a human rights violation or abuse and undermines the human rights principles of equality and non-discrimination</w:t>
      </w:r>
      <w:r w:rsidR="0002792A" w:rsidRPr="00073350">
        <w:t>, and that States should ensure substantive</w:t>
      </w:r>
      <w:r w:rsidR="0002792A">
        <w:t xml:space="preserve"> </w:t>
      </w:r>
      <w:r w:rsidR="0002792A" w:rsidRPr="00073350">
        <w:t>equality and non-discrimination, including by taking into account and addressing</w:t>
      </w:r>
      <w:r w:rsidR="0002792A">
        <w:t xml:space="preserve"> the multidimensional nature of inequality,</w:t>
      </w:r>
      <w:r w:rsidR="0002792A" w:rsidRPr="00073350">
        <w:t xml:space="preserve"> pre-existing gender inequalities</w:t>
      </w:r>
      <w:r w:rsidR="0002792A">
        <w:t xml:space="preserve"> and their root causes</w:t>
      </w:r>
      <w:r w:rsidR="0002792A" w:rsidRPr="00073350">
        <w:t>,</w:t>
      </w:r>
    </w:p>
    <w:p w14:paraId="270D3947" w14:textId="446351DA" w:rsidR="0002792A" w:rsidRPr="00073350" w:rsidRDefault="00C67B69" w:rsidP="00F155B7">
      <w:pPr>
        <w:pStyle w:val="SingleTxtG"/>
      </w:pPr>
      <w:r>
        <w:tab/>
      </w:r>
      <w:r>
        <w:tab/>
      </w:r>
      <w:r w:rsidR="0002792A">
        <w:t>1</w:t>
      </w:r>
      <w:r w:rsidR="0002792A" w:rsidRPr="00073350">
        <w:t>.</w:t>
      </w:r>
      <w:r w:rsidR="0002792A" w:rsidRPr="00073350">
        <w:tab/>
      </w:r>
      <w:r w:rsidR="0002792A">
        <w:rPr>
          <w:i/>
        </w:rPr>
        <w:t>Welcomes</w:t>
      </w:r>
      <w:r w:rsidR="0002792A" w:rsidRPr="00073350">
        <w:rPr>
          <w:iCs/>
        </w:rPr>
        <w:t xml:space="preserve"> </w:t>
      </w:r>
      <w:r w:rsidR="0002792A" w:rsidRPr="00073350">
        <w:t>the work undertaken by the Working Group on discrimination against women and girls,</w:t>
      </w:r>
      <w:r w:rsidR="0002792A" w:rsidRPr="00142B7C">
        <w:rPr>
          <w:sz w:val="18"/>
          <w:szCs w:val="18"/>
          <w:vertAlign w:val="superscript"/>
        </w:rPr>
        <w:footnoteReference w:id="2"/>
      </w:r>
      <w:r w:rsidR="0002792A" w:rsidRPr="00073350">
        <w:t xml:space="preserve"> </w:t>
      </w:r>
      <w:r w:rsidR="0002792A">
        <w:t>and takes note of</w:t>
      </w:r>
      <w:r w:rsidR="0002792A" w:rsidRPr="00073350">
        <w:t xml:space="preserve"> its recommendations to States with regard to their international obligations to support substantive equality by adopting appropriate measures, including temporary special measures, necessary to prevent, redress and eliminate patriarchal and gender stereotypes that cause or perpetuate discrimination in all spheres of life;</w:t>
      </w:r>
      <w:bookmarkStart w:id="1" w:name="_heading=h.30j0zll" w:colFirst="0" w:colLast="0"/>
      <w:bookmarkEnd w:id="1"/>
    </w:p>
    <w:p w14:paraId="415B2140" w14:textId="7AF0A913" w:rsidR="0002792A" w:rsidRDefault="00C67B69" w:rsidP="00F155B7">
      <w:pPr>
        <w:pStyle w:val="SingleTxtG"/>
      </w:pPr>
      <w:r>
        <w:tab/>
      </w:r>
      <w:r>
        <w:tab/>
      </w:r>
      <w:r w:rsidR="0002792A">
        <w:t>2</w:t>
      </w:r>
      <w:r w:rsidR="0002792A" w:rsidRPr="00073350">
        <w:t>.</w:t>
      </w:r>
      <w:r w:rsidR="0002792A" w:rsidRPr="00073350">
        <w:tab/>
      </w:r>
      <w:r w:rsidR="0002792A" w:rsidRPr="00073350">
        <w:rPr>
          <w:i/>
          <w:iCs/>
        </w:rPr>
        <w:t>Decides</w:t>
      </w:r>
      <w:r w:rsidR="0002792A" w:rsidRPr="00073350">
        <w:t xml:space="preserve"> to extend the mandate of the Working Group on discrimination against women and girls for a period of three years, on the same terms provided for by the Human Rights Council in its resolution 15/23 of 1 October 2010</w:t>
      </w:r>
      <w:r w:rsidR="0002792A">
        <w:t xml:space="preserve"> and subsequent resolutions </w:t>
      </w:r>
      <w:r w:rsidR="006A25C8">
        <w:t xml:space="preserve">in which the Council </w:t>
      </w:r>
      <w:r w:rsidR="0002792A">
        <w:t>extend</w:t>
      </w:r>
      <w:r w:rsidR="006A25C8">
        <w:t>ed</w:t>
      </w:r>
      <w:r w:rsidR="0002792A">
        <w:t xml:space="preserve"> the mandate</w:t>
      </w:r>
      <w:r w:rsidR="006A25C8">
        <w:t>,</w:t>
      </w:r>
      <w:r w:rsidR="007F6827">
        <w:rPr>
          <w:rStyle w:val="FootnoteReference"/>
        </w:rPr>
        <w:footnoteReference w:id="3"/>
      </w:r>
      <w:r w:rsidR="0002792A" w:rsidRPr="00073350">
        <w:t xml:space="preserve"> and requests the Working Group to continue </w:t>
      </w:r>
      <w:r w:rsidR="0002792A">
        <w:t xml:space="preserve">to </w:t>
      </w:r>
      <w:r w:rsidR="0002792A" w:rsidRPr="00073350">
        <w:t xml:space="preserve">consider, and </w:t>
      </w:r>
      <w:r w:rsidR="0002792A">
        <w:t xml:space="preserve">to </w:t>
      </w:r>
      <w:r w:rsidR="0002792A" w:rsidRPr="00073350">
        <w:t xml:space="preserve">mainstream across all its work, age </w:t>
      </w:r>
      <w:r w:rsidR="0002792A">
        <w:t>and disability perspectives</w:t>
      </w:r>
      <w:r w:rsidR="0002792A" w:rsidRPr="00073350">
        <w:t xml:space="preserve"> in the fulfilment of its mandate, and to examine the specific forms of discrimination that girls face;</w:t>
      </w:r>
    </w:p>
    <w:p w14:paraId="60176086" w14:textId="6E849CB8" w:rsidR="0002792A" w:rsidRPr="009432B1" w:rsidRDefault="00022E79" w:rsidP="00F155B7">
      <w:pPr>
        <w:pStyle w:val="SingleTxtG"/>
      </w:pPr>
      <w:r>
        <w:tab/>
      </w:r>
      <w:r>
        <w:tab/>
      </w:r>
      <w:r w:rsidR="0002792A">
        <w:t>3.</w:t>
      </w:r>
      <w:r>
        <w:tab/>
      </w:r>
      <w:r w:rsidR="0002792A">
        <w:rPr>
          <w:i/>
        </w:rPr>
        <w:t>Encourages</w:t>
      </w:r>
      <w:r w:rsidR="0002792A">
        <w:t xml:space="preserve"> the Working Group</w:t>
      </w:r>
      <w:r w:rsidR="00976A35">
        <w:t>, within its mandate,</w:t>
      </w:r>
      <w:r w:rsidR="0002792A">
        <w:t xml:space="preserve"> to continue </w:t>
      </w:r>
      <w:r w:rsidR="00BC7190">
        <w:t xml:space="preserve">to </w:t>
      </w:r>
      <w:r w:rsidR="0002792A">
        <w:t>facilitat</w:t>
      </w:r>
      <w:r w:rsidR="00BC7190">
        <w:t>e</w:t>
      </w:r>
      <w:r w:rsidR="0002792A">
        <w:t xml:space="preserve"> the meaningful participation of women and girls from all geographic regions in its work</w:t>
      </w:r>
      <w:r w:rsidR="00793CA3">
        <w:t>,</w:t>
      </w:r>
      <w:r w:rsidR="0002792A">
        <w:t xml:space="preserve"> and to continue </w:t>
      </w:r>
      <w:r w:rsidR="00793CA3">
        <w:t xml:space="preserve">to </w:t>
      </w:r>
      <w:r w:rsidR="0002792A">
        <w:t>develop practical, accessible and evidence-based advice for States aimed at</w:t>
      </w:r>
      <w:r w:rsidR="00FC2270">
        <w:t>,</w:t>
      </w:r>
      <w:r w:rsidR="00976A35">
        <w:t xml:space="preserve"> inter alia</w:t>
      </w:r>
      <w:r w:rsidR="00FC2270">
        <w:t>,</w:t>
      </w:r>
      <w:r w:rsidR="0002792A">
        <w:t xml:space="preserve"> the effective implementation of its recommendations to achieve substantive equality;</w:t>
      </w:r>
    </w:p>
    <w:p w14:paraId="7BDEF16F" w14:textId="671A18C8" w:rsidR="0002792A" w:rsidRDefault="00022E79" w:rsidP="00F155B7">
      <w:pPr>
        <w:pStyle w:val="SingleTxtG"/>
      </w:pPr>
      <w:r>
        <w:rPr>
          <w:iCs/>
        </w:rPr>
        <w:tab/>
      </w:r>
      <w:r>
        <w:rPr>
          <w:iCs/>
        </w:rPr>
        <w:tab/>
      </w:r>
      <w:r w:rsidR="0002792A">
        <w:rPr>
          <w:iCs/>
        </w:rPr>
        <w:t>4</w:t>
      </w:r>
      <w:r w:rsidR="0002792A" w:rsidRPr="00073350">
        <w:rPr>
          <w:iCs/>
        </w:rPr>
        <w:t>.</w:t>
      </w:r>
      <w:r w:rsidR="0002792A" w:rsidRPr="00073350">
        <w:rPr>
          <w:i/>
        </w:rPr>
        <w:tab/>
        <w:t>Calls upon</w:t>
      </w:r>
      <w:r w:rsidR="0002792A" w:rsidRPr="00073350">
        <w:t xml:space="preserve"> all States to cooperate with and assist the Working Group in its task, to supply all necessary available information requested by it and to give serious consideration to responding favourably to its requests to visit their countr</w:t>
      </w:r>
      <w:r w:rsidR="00BB4AC8">
        <w:t>y</w:t>
      </w:r>
      <w:r w:rsidR="0002792A" w:rsidRPr="00073350">
        <w:t xml:space="preserve"> to enable it to fulfil its mandate effectively</w:t>
      </w:r>
      <w:r w:rsidR="0002792A">
        <w:t>;</w:t>
      </w:r>
    </w:p>
    <w:p w14:paraId="32E119B9" w14:textId="6F359D00" w:rsidR="0002792A" w:rsidRDefault="00022E79" w:rsidP="00F155B7">
      <w:pPr>
        <w:pStyle w:val="SingleTxtG"/>
      </w:pPr>
      <w:r>
        <w:tab/>
      </w:r>
      <w:r>
        <w:tab/>
      </w:r>
      <w:r w:rsidR="0002792A">
        <w:t>5.</w:t>
      </w:r>
      <w:r>
        <w:tab/>
      </w:r>
      <w:r w:rsidR="0002792A" w:rsidRPr="0095066B">
        <w:rPr>
          <w:i/>
        </w:rPr>
        <w:t>Invites</w:t>
      </w:r>
      <w:r w:rsidR="0002792A" w:rsidRPr="00073350">
        <w:t xml:space="preserve"> relevant United Nations agencies, funds and programmes, in particular the United Nations Entity for Gender Equality and the Empowerment of Women, the treaty bodies</w:t>
      </w:r>
      <w:r w:rsidR="0002792A">
        <w:t>, the special procedures of the Human Rights Council,</w:t>
      </w:r>
      <w:r w:rsidR="0002792A" w:rsidRPr="00073350">
        <w:t xml:space="preserve"> within their respective mandates, and civil society actors,</w:t>
      </w:r>
      <w:r w:rsidR="0002792A">
        <w:t xml:space="preserve"> including women’s and girls’ rights organizations,</w:t>
      </w:r>
      <w:r w:rsidR="0002792A" w:rsidRPr="00073350">
        <w:t xml:space="preserve"> as well as</w:t>
      </w:r>
      <w:r w:rsidR="0002792A">
        <w:t xml:space="preserve"> Indigenous Peoples and</w:t>
      </w:r>
      <w:r w:rsidR="0002792A" w:rsidRPr="00073350">
        <w:t xml:space="preserve"> the private sector, to cooperate fully with the Working Group in the fulfilment of its mandate, and requests the Working Group to continue to engage with the Commission on the Status of Women, including by participating in its work and formally reporting to it;</w:t>
      </w:r>
    </w:p>
    <w:p w14:paraId="00A4A55A" w14:textId="29CC9313" w:rsidR="0002792A" w:rsidRPr="00783359" w:rsidRDefault="00022E79" w:rsidP="00F155B7">
      <w:pPr>
        <w:pStyle w:val="SingleTxtG"/>
      </w:pPr>
      <w:r>
        <w:tab/>
      </w:r>
      <w:r>
        <w:tab/>
      </w:r>
      <w:r w:rsidR="0002792A">
        <w:t>6.</w:t>
      </w:r>
      <w:r>
        <w:tab/>
      </w:r>
      <w:r w:rsidR="0002792A">
        <w:rPr>
          <w:i/>
        </w:rPr>
        <w:t xml:space="preserve">Requests </w:t>
      </w:r>
      <w:r w:rsidR="0002792A" w:rsidRPr="00073350">
        <w:t>the Secretary-Genera</w:t>
      </w:r>
      <w:r w:rsidR="0002792A">
        <w:t xml:space="preserve">l and the </w:t>
      </w:r>
      <w:r w:rsidR="006B2A41">
        <w:t xml:space="preserve">United Nations </w:t>
      </w:r>
      <w:r w:rsidR="0002792A">
        <w:t>High Commissioner</w:t>
      </w:r>
      <w:r w:rsidR="006B2A41">
        <w:t xml:space="preserve"> for Human Rights</w:t>
      </w:r>
      <w:r w:rsidR="0002792A">
        <w:t xml:space="preserve"> to provide the Working Group with all the assistance necessary to fulfil its mandate effectively, and in particular by placing adequate human, financial and material resources at the Working Group’s disposal;</w:t>
      </w:r>
    </w:p>
    <w:p w14:paraId="47682AB0" w14:textId="5131B890" w:rsidR="0002792A" w:rsidRPr="00073350" w:rsidRDefault="00022E79" w:rsidP="00F155B7">
      <w:pPr>
        <w:pStyle w:val="SingleTxtG"/>
      </w:pPr>
      <w:r>
        <w:tab/>
      </w:r>
      <w:r>
        <w:tab/>
      </w:r>
      <w:r w:rsidR="0002792A">
        <w:t>7</w:t>
      </w:r>
      <w:r w:rsidR="0002792A" w:rsidRPr="00073350">
        <w:t>.</w:t>
      </w:r>
      <w:r w:rsidR="0002792A" w:rsidRPr="00073350">
        <w:tab/>
      </w:r>
      <w:r w:rsidR="0002792A" w:rsidRPr="0095066B">
        <w:rPr>
          <w:i/>
        </w:rPr>
        <w:t>Reiterates</w:t>
      </w:r>
      <w:r w:rsidR="0002792A">
        <w:t xml:space="preserve"> its </w:t>
      </w:r>
      <w:r w:rsidR="0002792A" w:rsidRPr="0095066B">
        <w:t>request</w:t>
      </w:r>
      <w:r w:rsidR="0002792A">
        <w:t xml:space="preserve"> to</w:t>
      </w:r>
      <w:r w:rsidR="0002792A" w:rsidRPr="00073350">
        <w:t xml:space="preserve"> the Secretary-General to ensure that the reports of the Working Group are brought to the attention of the Commission on the Status of Women and the General Assembly </w:t>
      </w:r>
      <w:r w:rsidR="0002792A">
        <w:t xml:space="preserve">through a </w:t>
      </w:r>
      <w:r w:rsidR="002E15F0">
        <w:t>note by the Secretariat</w:t>
      </w:r>
      <w:r w:rsidR="0002792A">
        <w:t xml:space="preserve">, </w:t>
      </w:r>
      <w:r w:rsidR="0002792A" w:rsidRPr="00073350">
        <w:t>and requests the Working Group to</w:t>
      </w:r>
      <w:r w:rsidR="0002792A">
        <w:t xml:space="preserve"> continue to</w:t>
      </w:r>
      <w:r w:rsidR="0002792A" w:rsidRPr="00073350">
        <w:t xml:space="preserve"> present an oral report annually to the Commission and to the Assembly, in proximity with the reports of the Special Rapporteur on violence against women, its causes and consequences and of the Committee on the Elimination of Discrimination against Women;</w:t>
      </w:r>
    </w:p>
    <w:p w14:paraId="24C7BE7F" w14:textId="6835C7D9" w:rsidR="004A3CF0" w:rsidRDefault="002568FD" w:rsidP="00BA5005">
      <w:pPr>
        <w:pStyle w:val="SingleTxtG"/>
        <w:keepNext/>
        <w:keepLines/>
      </w:pPr>
      <w:r>
        <w:tab/>
      </w:r>
      <w:r>
        <w:tab/>
      </w:r>
      <w:r w:rsidR="0002792A">
        <w:t>8</w:t>
      </w:r>
      <w:r w:rsidR="0002792A" w:rsidRPr="00073350">
        <w:t>.</w:t>
      </w:r>
      <w:r w:rsidR="0002792A" w:rsidRPr="00073350">
        <w:tab/>
      </w:r>
      <w:r w:rsidR="0002792A" w:rsidRPr="00073350">
        <w:rPr>
          <w:i/>
        </w:rPr>
        <w:t>Decides</w:t>
      </w:r>
      <w:r w:rsidR="0002792A" w:rsidRPr="00073350">
        <w:t xml:space="preserve"> to continue its consideration of the issue of the elimination of all forms of discrimination against women and girls as a matter of high priority, in conformity with its programme of work, at its </w:t>
      </w:r>
      <w:r w:rsidR="0002792A">
        <w:t>sixty</w:t>
      </w:r>
      <w:r w:rsidR="0002792A" w:rsidRPr="00073350">
        <w:t>-</w:t>
      </w:r>
      <w:r w:rsidR="0002792A">
        <w:t>second</w:t>
      </w:r>
      <w:r w:rsidR="0002792A" w:rsidRPr="00073350">
        <w:t xml:space="preserve"> session</w:t>
      </w:r>
      <w:r w:rsidR="00504311">
        <w:t>.</w:t>
      </w:r>
    </w:p>
    <w:p w14:paraId="48D8FA55" w14:textId="77777777" w:rsidR="00357EB9" w:rsidRPr="00A27504" w:rsidRDefault="00357EB9" w:rsidP="00BA5005">
      <w:pPr>
        <w:pStyle w:val="SingleTxtG"/>
        <w:keepNext/>
        <w:keepLines/>
        <w:spacing w:after="0"/>
        <w:ind w:left="1117"/>
        <w:jc w:val="right"/>
        <w:rPr>
          <w:i/>
          <w:iCs/>
        </w:rPr>
      </w:pPr>
      <w:bookmarkStart w:id="2" w:name="_Hlk202551653"/>
      <w:r>
        <w:rPr>
          <w:i/>
          <w:iCs/>
        </w:rPr>
        <w:t>32nd</w:t>
      </w:r>
      <w:r w:rsidRPr="00A27504">
        <w:rPr>
          <w:i/>
          <w:iCs/>
        </w:rPr>
        <w:t xml:space="preserve"> meeting</w:t>
      </w:r>
    </w:p>
    <w:p w14:paraId="4708748E" w14:textId="77777777" w:rsidR="00357EB9" w:rsidRPr="00A27504" w:rsidRDefault="00357EB9" w:rsidP="00357EB9">
      <w:pPr>
        <w:pStyle w:val="SingleTxtG"/>
        <w:ind w:left="1118"/>
        <w:jc w:val="right"/>
        <w:rPr>
          <w:i/>
          <w:iCs/>
        </w:rPr>
      </w:pPr>
      <w:r>
        <w:rPr>
          <w:i/>
          <w:iCs/>
        </w:rPr>
        <w:t>7 July</w:t>
      </w:r>
      <w:r w:rsidRPr="00A27504">
        <w:rPr>
          <w:i/>
          <w:iCs/>
        </w:rPr>
        <w:t xml:space="preserve"> 202</w:t>
      </w:r>
      <w:r>
        <w:rPr>
          <w:i/>
          <w:iCs/>
        </w:rPr>
        <w:t>5</w:t>
      </w:r>
    </w:p>
    <w:p w14:paraId="06C9EEE6" w14:textId="2A6C5815" w:rsidR="000C5424" w:rsidRDefault="00357EB9" w:rsidP="00357EB9">
      <w:pPr>
        <w:pStyle w:val="SingleTxtG"/>
      </w:pPr>
      <w:r w:rsidRPr="00A27504">
        <w:t>[Adopted without a vote.]</w:t>
      </w:r>
      <w:bookmarkEnd w:id="2"/>
    </w:p>
    <w:p w14:paraId="0529AA7F" w14:textId="77777777" w:rsidR="00DF717D" w:rsidRPr="00615323" w:rsidRDefault="00DF717D" w:rsidP="00DF717D">
      <w:pPr>
        <w:suppressAutoHyphens w:val="0"/>
        <w:spacing w:before="240"/>
        <w:jc w:val="center"/>
        <w:rPr>
          <w:u w:val="single"/>
        </w:rPr>
      </w:pPr>
      <w:r>
        <w:rPr>
          <w:u w:val="single"/>
        </w:rPr>
        <w:tab/>
      </w:r>
      <w:r>
        <w:rPr>
          <w:u w:val="single"/>
        </w:rPr>
        <w:tab/>
      </w:r>
      <w:r>
        <w:rPr>
          <w:u w:val="single"/>
        </w:rPr>
        <w:tab/>
      </w:r>
    </w:p>
    <w:sectPr w:rsidR="00DF717D" w:rsidRPr="00615323"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98014" w14:textId="77777777" w:rsidR="00913280" w:rsidRDefault="00913280"/>
  </w:endnote>
  <w:endnote w:type="continuationSeparator" w:id="0">
    <w:p w14:paraId="008DD110" w14:textId="77777777" w:rsidR="00913280" w:rsidRDefault="00913280"/>
  </w:endnote>
  <w:endnote w:type="continuationNotice" w:id="1">
    <w:p w14:paraId="3DD3835C" w14:textId="77777777" w:rsidR="00913280" w:rsidRDefault="009132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9065F" w14:textId="68F5E79A" w:rsidR="0019456F" w:rsidRDefault="00DC7118" w:rsidP="00DC7118">
    <w:pPr>
      <w:pStyle w:val="Footer"/>
      <w:ind w:right="1134"/>
      <w:rPr>
        <w:sz w:val="20"/>
      </w:rPr>
    </w:pPr>
    <w:r w:rsidRPr="00DC7118">
      <w:rPr>
        <w:noProof/>
        <w:sz w:val="20"/>
        <w:lang w:val="en-US"/>
      </w:rPr>
      <w:drawing>
        <wp:anchor distT="0" distB="0" distL="114300" distR="114300" simplePos="0" relativeHeight="251659264" behindDoc="0" locked="1" layoutInCell="1" allowOverlap="1" wp14:anchorId="3CC2FFBF" wp14:editId="1FDA25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0668F8" w14:textId="208980FF" w:rsidR="00DC7118" w:rsidRPr="00DC7118" w:rsidRDefault="00DC7118" w:rsidP="00DC7118">
    <w:pPr>
      <w:pStyle w:val="Footer"/>
      <w:ind w:right="1134"/>
      <w:rPr>
        <w:sz w:val="20"/>
      </w:rPr>
    </w:pPr>
    <w:r>
      <w:rPr>
        <w:sz w:val="20"/>
      </w:rPr>
      <w:t>GE.25-11184(E)</w:t>
    </w:r>
    <w:r>
      <w:rPr>
        <w:noProof/>
        <w:sz w:val="20"/>
      </w:rPr>
      <w:drawing>
        <wp:anchor distT="0" distB="0" distL="114300" distR="114300" simplePos="0" relativeHeight="251660288" behindDoc="0" locked="0" layoutInCell="1" allowOverlap="1" wp14:anchorId="0F6C7E71" wp14:editId="292C419E">
          <wp:simplePos x="0" y="0"/>
          <wp:positionH relativeFrom="margin">
            <wp:posOffset>5583555</wp:posOffset>
          </wp:positionH>
          <wp:positionV relativeFrom="margin">
            <wp:posOffset>8981440</wp:posOffset>
          </wp:positionV>
          <wp:extent cx="571500" cy="571500"/>
          <wp:effectExtent l="0" t="0" r="0" b="0"/>
          <wp:wrapNone/>
          <wp:docPr id="1177982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C790" w14:textId="77777777" w:rsidR="00913280" w:rsidRPr="000B175B" w:rsidRDefault="00913280" w:rsidP="000B175B">
      <w:pPr>
        <w:tabs>
          <w:tab w:val="right" w:pos="2155"/>
        </w:tabs>
        <w:spacing w:after="80"/>
        <w:ind w:left="680"/>
        <w:rPr>
          <w:u w:val="single"/>
        </w:rPr>
      </w:pPr>
      <w:r>
        <w:rPr>
          <w:u w:val="single"/>
        </w:rPr>
        <w:tab/>
      </w:r>
    </w:p>
  </w:footnote>
  <w:footnote w:type="continuationSeparator" w:id="0">
    <w:p w14:paraId="62C469A5" w14:textId="77777777" w:rsidR="00913280" w:rsidRPr="00FC68B7" w:rsidRDefault="00913280" w:rsidP="00FC68B7">
      <w:pPr>
        <w:tabs>
          <w:tab w:val="left" w:pos="2155"/>
        </w:tabs>
        <w:spacing w:after="80"/>
        <w:ind w:left="680"/>
        <w:rPr>
          <w:u w:val="single"/>
        </w:rPr>
      </w:pPr>
      <w:r>
        <w:rPr>
          <w:u w:val="single"/>
        </w:rPr>
        <w:tab/>
      </w:r>
    </w:p>
  </w:footnote>
  <w:footnote w:type="continuationNotice" w:id="1">
    <w:p w14:paraId="73809E3E" w14:textId="77777777" w:rsidR="00913280" w:rsidRDefault="00913280"/>
  </w:footnote>
  <w:footnote w:id="2">
    <w:p w14:paraId="17D6A800" w14:textId="77777777" w:rsidR="0002792A" w:rsidRPr="004762A2" w:rsidRDefault="0002792A" w:rsidP="0002792A">
      <w:pPr>
        <w:pBdr>
          <w:top w:val="nil"/>
          <w:left w:val="nil"/>
          <w:bottom w:val="nil"/>
          <w:right w:val="nil"/>
          <w:between w:val="nil"/>
        </w:pBdr>
        <w:tabs>
          <w:tab w:val="right" w:pos="1021"/>
        </w:tabs>
        <w:spacing w:line="220" w:lineRule="auto"/>
        <w:ind w:left="1134" w:right="1134" w:hanging="1134"/>
        <w:rPr>
          <w:color w:val="000000"/>
          <w:sz w:val="18"/>
          <w:szCs w:val="18"/>
          <w:lang w:val="en-US"/>
        </w:rPr>
      </w:pPr>
      <w:r w:rsidRPr="004762A2">
        <w:rPr>
          <w:color w:val="000000"/>
          <w:sz w:val="18"/>
          <w:szCs w:val="18"/>
          <w:lang w:val="en-US"/>
        </w:rPr>
        <w:tab/>
      </w:r>
      <w:r w:rsidRPr="004762A2">
        <w:rPr>
          <w:rStyle w:val="FootnoteReference"/>
          <w:szCs w:val="18"/>
        </w:rPr>
        <w:footnoteRef/>
      </w:r>
      <w:r w:rsidRPr="004762A2">
        <w:rPr>
          <w:color w:val="000000"/>
          <w:sz w:val="18"/>
          <w:szCs w:val="18"/>
          <w:lang w:val="en-US"/>
        </w:rPr>
        <w:tab/>
      </w:r>
      <w:r w:rsidRPr="004762A2">
        <w:rPr>
          <w:color w:val="000000"/>
          <w:sz w:val="18"/>
          <w:szCs w:val="18"/>
          <w:lang w:val="en-US"/>
        </w:rPr>
        <w:tab/>
        <w:t xml:space="preserve">See </w:t>
      </w:r>
      <w:r w:rsidRPr="00BB25FB">
        <w:rPr>
          <w:sz w:val="18"/>
          <w:szCs w:val="18"/>
        </w:rPr>
        <w:t>A/HRC/59/45</w:t>
      </w:r>
      <w:r w:rsidRPr="004762A2">
        <w:rPr>
          <w:color w:val="000000"/>
          <w:sz w:val="18"/>
          <w:szCs w:val="18"/>
          <w:lang w:val="en-US"/>
        </w:rPr>
        <w:t>.</w:t>
      </w:r>
    </w:p>
  </w:footnote>
  <w:footnote w:id="3">
    <w:p w14:paraId="53A1BB6E" w14:textId="72718C8B" w:rsidR="007F6827" w:rsidRPr="004762A2" w:rsidRDefault="007F6827" w:rsidP="007F6827">
      <w:pPr>
        <w:pStyle w:val="FootnoteText"/>
        <w:widowControl w:val="0"/>
        <w:tabs>
          <w:tab w:val="clear" w:pos="1021"/>
          <w:tab w:val="right" w:pos="1020"/>
        </w:tabs>
        <w:rPr>
          <w:szCs w:val="18"/>
          <w:lang w:val="en-US"/>
        </w:rPr>
      </w:pPr>
      <w:r w:rsidRPr="004762A2">
        <w:rPr>
          <w:szCs w:val="18"/>
        </w:rPr>
        <w:tab/>
      </w:r>
      <w:r w:rsidRPr="004762A2">
        <w:rPr>
          <w:rStyle w:val="FootnoteReference"/>
          <w:szCs w:val="18"/>
        </w:rPr>
        <w:footnoteRef/>
      </w:r>
      <w:r w:rsidRPr="004762A2">
        <w:rPr>
          <w:szCs w:val="18"/>
        </w:rPr>
        <w:tab/>
      </w:r>
      <w:r w:rsidR="003E0229">
        <w:rPr>
          <w:szCs w:val="18"/>
        </w:rPr>
        <w:t xml:space="preserve">Human Rights Council resolutions </w:t>
      </w:r>
      <w:r w:rsidRPr="004762A2">
        <w:rPr>
          <w:szCs w:val="18"/>
          <w:lang w:val="en-US"/>
        </w:rPr>
        <w:t>23/7</w:t>
      </w:r>
      <w:r w:rsidR="00E731E1">
        <w:rPr>
          <w:szCs w:val="18"/>
          <w:lang w:val="en-US"/>
        </w:rPr>
        <w:t>,</w:t>
      </w:r>
      <w:r w:rsidRPr="004762A2">
        <w:rPr>
          <w:szCs w:val="18"/>
          <w:lang w:val="en-US"/>
        </w:rPr>
        <w:t xml:space="preserve"> 32/4</w:t>
      </w:r>
      <w:r w:rsidR="00E731E1">
        <w:rPr>
          <w:szCs w:val="18"/>
          <w:lang w:val="en-US"/>
        </w:rPr>
        <w:t>,</w:t>
      </w:r>
      <w:r w:rsidRPr="004762A2">
        <w:rPr>
          <w:szCs w:val="18"/>
          <w:lang w:val="en-US"/>
        </w:rPr>
        <w:t xml:space="preserve"> 41/6 </w:t>
      </w:r>
      <w:r w:rsidR="00E731E1">
        <w:rPr>
          <w:szCs w:val="18"/>
          <w:lang w:val="en-US"/>
        </w:rPr>
        <w:t xml:space="preserve">and </w:t>
      </w:r>
      <w:r w:rsidRPr="004762A2">
        <w:rPr>
          <w:szCs w:val="18"/>
          <w:lang w:val="en-US"/>
        </w:rPr>
        <w:t>50/18.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60D5EDDF" w:rsidR="004A3CF0" w:rsidRPr="004A3CF0" w:rsidRDefault="000C6EF8" w:rsidP="000C5424">
    <w:pPr>
      <w:pStyle w:val="Header"/>
    </w:pPr>
    <w:r>
      <w:t>A/HRC/</w:t>
    </w:r>
    <w:r w:rsidR="000C5424">
      <w:t>RES/</w:t>
    </w:r>
    <w:r>
      <w:t>5</w:t>
    </w:r>
    <w:r w:rsidR="00C92807">
      <w:t>9</w:t>
    </w:r>
    <w:r>
      <w:t>/</w:t>
    </w:r>
    <w:r w:rsidR="000C5424">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284B7499" w:rsidR="004A3CF0" w:rsidRPr="004A3CF0" w:rsidRDefault="00AF39E0" w:rsidP="000C5424">
    <w:pPr>
      <w:pStyle w:val="Header"/>
      <w:jc w:val="right"/>
    </w:pPr>
    <w:r>
      <w:t>A/HRC/</w:t>
    </w:r>
    <w:r w:rsidR="000C5424">
      <w:t>RES/</w:t>
    </w:r>
    <w:r>
      <w:t>59/</w:t>
    </w:r>
    <w:r w:rsidR="000C5424">
      <w:t>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4650191">
    <w:abstractNumId w:val="5"/>
  </w:num>
  <w:num w:numId="2" w16cid:durableId="541939040">
    <w:abstractNumId w:val="4"/>
  </w:num>
  <w:num w:numId="3" w16cid:durableId="1149714409">
    <w:abstractNumId w:val="7"/>
  </w:num>
  <w:num w:numId="4" w16cid:durableId="619458354">
    <w:abstractNumId w:val="3"/>
  </w:num>
  <w:num w:numId="5" w16cid:durableId="1643660224">
    <w:abstractNumId w:val="0"/>
  </w:num>
  <w:num w:numId="6" w16cid:durableId="838815277">
    <w:abstractNumId w:val="1"/>
  </w:num>
  <w:num w:numId="7" w16cid:durableId="1802764419">
    <w:abstractNumId w:val="6"/>
  </w:num>
  <w:num w:numId="8" w16cid:durableId="184995241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22DB5"/>
    <w:rsid w:val="00022E79"/>
    <w:rsid w:val="0002792A"/>
    <w:rsid w:val="000403D1"/>
    <w:rsid w:val="000449AA"/>
    <w:rsid w:val="00050F6B"/>
    <w:rsid w:val="00055FEB"/>
    <w:rsid w:val="0005662A"/>
    <w:rsid w:val="00065A05"/>
    <w:rsid w:val="00072C8C"/>
    <w:rsid w:val="00073E70"/>
    <w:rsid w:val="000876EB"/>
    <w:rsid w:val="00091419"/>
    <w:rsid w:val="000931C0"/>
    <w:rsid w:val="000B175B"/>
    <w:rsid w:val="000B2851"/>
    <w:rsid w:val="000B3A0F"/>
    <w:rsid w:val="000B4A3B"/>
    <w:rsid w:val="000C5424"/>
    <w:rsid w:val="000C59D8"/>
    <w:rsid w:val="000C6EF8"/>
    <w:rsid w:val="000D1851"/>
    <w:rsid w:val="000E0415"/>
    <w:rsid w:val="000F4BCB"/>
    <w:rsid w:val="00120A63"/>
    <w:rsid w:val="001218B1"/>
    <w:rsid w:val="00145C5E"/>
    <w:rsid w:val="00146D32"/>
    <w:rsid w:val="00146FEE"/>
    <w:rsid w:val="001501DC"/>
    <w:rsid w:val="001509BA"/>
    <w:rsid w:val="00164745"/>
    <w:rsid w:val="0019456F"/>
    <w:rsid w:val="001A5620"/>
    <w:rsid w:val="001A65A0"/>
    <w:rsid w:val="001A7A66"/>
    <w:rsid w:val="001B4B04"/>
    <w:rsid w:val="001C3708"/>
    <w:rsid w:val="001C6663"/>
    <w:rsid w:val="001C7895"/>
    <w:rsid w:val="001C7E74"/>
    <w:rsid w:val="001D26DF"/>
    <w:rsid w:val="001E2790"/>
    <w:rsid w:val="00211E0B"/>
    <w:rsid w:val="00211E72"/>
    <w:rsid w:val="00214047"/>
    <w:rsid w:val="00216D1C"/>
    <w:rsid w:val="0022130F"/>
    <w:rsid w:val="00225C49"/>
    <w:rsid w:val="00237785"/>
    <w:rsid w:val="002410DD"/>
    <w:rsid w:val="00241466"/>
    <w:rsid w:val="00253D58"/>
    <w:rsid w:val="002568FD"/>
    <w:rsid w:val="0027725F"/>
    <w:rsid w:val="002A7BAB"/>
    <w:rsid w:val="002C21F0"/>
    <w:rsid w:val="002D604A"/>
    <w:rsid w:val="002E15F0"/>
    <w:rsid w:val="002F6259"/>
    <w:rsid w:val="00301E44"/>
    <w:rsid w:val="003107FA"/>
    <w:rsid w:val="00311C3A"/>
    <w:rsid w:val="003229D8"/>
    <w:rsid w:val="00324451"/>
    <w:rsid w:val="003314D1"/>
    <w:rsid w:val="0033464D"/>
    <w:rsid w:val="00335A2F"/>
    <w:rsid w:val="00341937"/>
    <w:rsid w:val="0035034E"/>
    <w:rsid w:val="00352737"/>
    <w:rsid w:val="00357EB9"/>
    <w:rsid w:val="0039277A"/>
    <w:rsid w:val="003955E2"/>
    <w:rsid w:val="003972E0"/>
    <w:rsid w:val="003975ED"/>
    <w:rsid w:val="003A71CC"/>
    <w:rsid w:val="003C2CC4"/>
    <w:rsid w:val="003D4B23"/>
    <w:rsid w:val="003E0229"/>
    <w:rsid w:val="003F56A8"/>
    <w:rsid w:val="00424C80"/>
    <w:rsid w:val="004325CB"/>
    <w:rsid w:val="004351C8"/>
    <w:rsid w:val="0044246A"/>
    <w:rsid w:val="00444804"/>
    <w:rsid w:val="0044503A"/>
    <w:rsid w:val="004464DB"/>
    <w:rsid w:val="00446DE4"/>
    <w:rsid w:val="00447761"/>
    <w:rsid w:val="00451EC3"/>
    <w:rsid w:val="0045606D"/>
    <w:rsid w:val="00463E14"/>
    <w:rsid w:val="00471E5F"/>
    <w:rsid w:val="004721B1"/>
    <w:rsid w:val="004762A2"/>
    <w:rsid w:val="004839AB"/>
    <w:rsid w:val="004859EC"/>
    <w:rsid w:val="00487FC6"/>
    <w:rsid w:val="00496A15"/>
    <w:rsid w:val="004A3CF0"/>
    <w:rsid w:val="004B31DA"/>
    <w:rsid w:val="004B75D2"/>
    <w:rsid w:val="004D1140"/>
    <w:rsid w:val="004F55ED"/>
    <w:rsid w:val="00503AC5"/>
    <w:rsid w:val="00503FCE"/>
    <w:rsid w:val="00504311"/>
    <w:rsid w:val="005137DA"/>
    <w:rsid w:val="0052176C"/>
    <w:rsid w:val="005261E5"/>
    <w:rsid w:val="00532B61"/>
    <w:rsid w:val="005420F2"/>
    <w:rsid w:val="00542574"/>
    <w:rsid w:val="005436AB"/>
    <w:rsid w:val="0054655D"/>
    <w:rsid w:val="00546924"/>
    <w:rsid w:val="00546DBF"/>
    <w:rsid w:val="00553D76"/>
    <w:rsid w:val="005552B5"/>
    <w:rsid w:val="00555941"/>
    <w:rsid w:val="0056117B"/>
    <w:rsid w:val="00562621"/>
    <w:rsid w:val="00562D2C"/>
    <w:rsid w:val="005636B0"/>
    <w:rsid w:val="00571365"/>
    <w:rsid w:val="005818FC"/>
    <w:rsid w:val="005932C7"/>
    <w:rsid w:val="005A0E16"/>
    <w:rsid w:val="005B3DB3"/>
    <w:rsid w:val="005B6404"/>
    <w:rsid w:val="005B6E48"/>
    <w:rsid w:val="005D53BE"/>
    <w:rsid w:val="005E1712"/>
    <w:rsid w:val="005F4196"/>
    <w:rsid w:val="005F50E7"/>
    <w:rsid w:val="00600D3F"/>
    <w:rsid w:val="00611FC4"/>
    <w:rsid w:val="006176FB"/>
    <w:rsid w:val="006318BF"/>
    <w:rsid w:val="00640B26"/>
    <w:rsid w:val="00641191"/>
    <w:rsid w:val="006462AF"/>
    <w:rsid w:val="00651650"/>
    <w:rsid w:val="0065366C"/>
    <w:rsid w:val="00655B60"/>
    <w:rsid w:val="00665295"/>
    <w:rsid w:val="00670741"/>
    <w:rsid w:val="00677065"/>
    <w:rsid w:val="00693652"/>
    <w:rsid w:val="00696BD6"/>
    <w:rsid w:val="006A25C8"/>
    <w:rsid w:val="006A66BF"/>
    <w:rsid w:val="006A6B9D"/>
    <w:rsid w:val="006A7032"/>
    <w:rsid w:val="006A7392"/>
    <w:rsid w:val="006B2A41"/>
    <w:rsid w:val="006B3189"/>
    <w:rsid w:val="006B7D65"/>
    <w:rsid w:val="006C686F"/>
    <w:rsid w:val="006D6DA6"/>
    <w:rsid w:val="006E564B"/>
    <w:rsid w:val="006F13F0"/>
    <w:rsid w:val="006F1FF8"/>
    <w:rsid w:val="006F5035"/>
    <w:rsid w:val="007065EB"/>
    <w:rsid w:val="00720183"/>
    <w:rsid w:val="0072632A"/>
    <w:rsid w:val="0074200B"/>
    <w:rsid w:val="00767DFD"/>
    <w:rsid w:val="00793CA3"/>
    <w:rsid w:val="007A0814"/>
    <w:rsid w:val="007A6296"/>
    <w:rsid w:val="007A79E4"/>
    <w:rsid w:val="007A7FDB"/>
    <w:rsid w:val="007B6BA5"/>
    <w:rsid w:val="007C1B62"/>
    <w:rsid w:val="007C3390"/>
    <w:rsid w:val="007C4F4B"/>
    <w:rsid w:val="007D2CDC"/>
    <w:rsid w:val="007D5327"/>
    <w:rsid w:val="007F6611"/>
    <w:rsid w:val="007F6827"/>
    <w:rsid w:val="00803583"/>
    <w:rsid w:val="008155C3"/>
    <w:rsid w:val="008175E9"/>
    <w:rsid w:val="0082243E"/>
    <w:rsid w:val="00823C8E"/>
    <w:rsid w:val="008242D7"/>
    <w:rsid w:val="00835A60"/>
    <w:rsid w:val="008500A8"/>
    <w:rsid w:val="00855191"/>
    <w:rsid w:val="00856CD2"/>
    <w:rsid w:val="00861BC6"/>
    <w:rsid w:val="00867DEE"/>
    <w:rsid w:val="00871FD5"/>
    <w:rsid w:val="00876690"/>
    <w:rsid w:val="008816B2"/>
    <w:rsid w:val="008847BB"/>
    <w:rsid w:val="00895EC4"/>
    <w:rsid w:val="008979B1"/>
    <w:rsid w:val="008A6B25"/>
    <w:rsid w:val="008A6C4F"/>
    <w:rsid w:val="008B2649"/>
    <w:rsid w:val="008C1E4D"/>
    <w:rsid w:val="008E0E46"/>
    <w:rsid w:val="0090452C"/>
    <w:rsid w:val="00907C3F"/>
    <w:rsid w:val="00910AB9"/>
    <w:rsid w:val="00912915"/>
    <w:rsid w:val="00913280"/>
    <w:rsid w:val="0092237C"/>
    <w:rsid w:val="00934D60"/>
    <w:rsid w:val="0093707B"/>
    <w:rsid w:val="009400EB"/>
    <w:rsid w:val="009427E3"/>
    <w:rsid w:val="00946575"/>
    <w:rsid w:val="00956D9B"/>
    <w:rsid w:val="00963CBA"/>
    <w:rsid w:val="00965297"/>
    <w:rsid w:val="009654B7"/>
    <w:rsid w:val="00976A35"/>
    <w:rsid w:val="00980B66"/>
    <w:rsid w:val="00982BB8"/>
    <w:rsid w:val="00991261"/>
    <w:rsid w:val="009A0B83"/>
    <w:rsid w:val="009A6267"/>
    <w:rsid w:val="009A7CBC"/>
    <w:rsid w:val="009B3800"/>
    <w:rsid w:val="009C5EFD"/>
    <w:rsid w:val="009D22AC"/>
    <w:rsid w:val="009D50DB"/>
    <w:rsid w:val="009E1C4E"/>
    <w:rsid w:val="00A0036A"/>
    <w:rsid w:val="00A05A02"/>
    <w:rsid w:val="00A05E0B"/>
    <w:rsid w:val="00A1427D"/>
    <w:rsid w:val="00A4634F"/>
    <w:rsid w:val="00A51CF3"/>
    <w:rsid w:val="00A72F22"/>
    <w:rsid w:val="00A73D32"/>
    <w:rsid w:val="00A748A6"/>
    <w:rsid w:val="00A84E42"/>
    <w:rsid w:val="00A879A4"/>
    <w:rsid w:val="00A87E95"/>
    <w:rsid w:val="00A92C4D"/>
    <w:rsid w:val="00A92E29"/>
    <w:rsid w:val="00AC0B91"/>
    <w:rsid w:val="00AC5AE2"/>
    <w:rsid w:val="00AD09E9"/>
    <w:rsid w:val="00AE2C85"/>
    <w:rsid w:val="00AE70F4"/>
    <w:rsid w:val="00AF0576"/>
    <w:rsid w:val="00AF3829"/>
    <w:rsid w:val="00AF39E0"/>
    <w:rsid w:val="00B037F0"/>
    <w:rsid w:val="00B1004F"/>
    <w:rsid w:val="00B2327D"/>
    <w:rsid w:val="00B2718F"/>
    <w:rsid w:val="00B30179"/>
    <w:rsid w:val="00B3317B"/>
    <w:rsid w:val="00B334DC"/>
    <w:rsid w:val="00B3631A"/>
    <w:rsid w:val="00B53013"/>
    <w:rsid w:val="00B67F5E"/>
    <w:rsid w:val="00B73E65"/>
    <w:rsid w:val="00B81E12"/>
    <w:rsid w:val="00B81FF5"/>
    <w:rsid w:val="00B87110"/>
    <w:rsid w:val="00B97FA8"/>
    <w:rsid w:val="00BA5005"/>
    <w:rsid w:val="00BA77C1"/>
    <w:rsid w:val="00BB0CDD"/>
    <w:rsid w:val="00BB10A7"/>
    <w:rsid w:val="00BB25FB"/>
    <w:rsid w:val="00BB3BC7"/>
    <w:rsid w:val="00BB4AC8"/>
    <w:rsid w:val="00BC1385"/>
    <w:rsid w:val="00BC16A0"/>
    <w:rsid w:val="00BC7190"/>
    <w:rsid w:val="00BC7319"/>
    <w:rsid w:val="00BC74E9"/>
    <w:rsid w:val="00BD70E9"/>
    <w:rsid w:val="00BE618E"/>
    <w:rsid w:val="00BE655C"/>
    <w:rsid w:val="00BF116B"/>
    <w:rsid w:val="00C13B89"/>
    <w:rsid w:val="00C20C50"/>
    <w:rsid w:val="00C217E7"/>
    <w:rsid w:val="00C24693"/>
    <w:rsid w:val="00C25251"/>
    <w:rsid w:val="00C35F0B"/>
    <w:rsid w:val="00C463DD"/>
    <w:rsid w:val="00C53060"/>
    <w:rsid w:val="00C57379"/>
    <w:rsid w:val="00C61599"/>
    <w:rsid w:val="00C63949"/>
    <w:rsid w:val="00C64458"/>
    <w:rsid w:val="00C67B69"/>
    <w:rsid w:val="00C745C3"/>
    <w:rsid w:val="00C814B8"/>
    <w:rsid w:val="00C91EA0"/>
    <w:rsid w:val="00C92807"/>
    <w:rsid w:val="00CA2A58"/>
    <w:rsid w:val="00CC0B55"/>
    <w:rsid w:val="00CD6995"/>
    <w:rsid w:val="00CE4A8F"/>
    <w:rsid w:val="00CF0214"/>
    <w:rsid w:val="00CF586F"/>
    <w:rsid w:val="00CF7D43"/>
    <w:rsid w:val="00D11129"/>
    <w:rsid w:val="00D132C7"/>
    <w:rsid w:val="00D2031B"/>
    <w:rsid w:val="00D22332"/>
    <w:rsid w:val="00D25FE2"/>
    <w:rsid w:val="00D43252"/>
    <w:rsid w:val="00D44AB4"/>
    <w:rsid w:val="00D514D0"/>
    <w:rsid w:val="00D550F9"/>
    <w:rsid w:val="00D56874"/>
    <w:rsid w:val="00D572B0"/>
    <w:rsid w:val="00D616A5"/>
    <w:rsid w:val="00D62E90"/>
    <w:rsid w:val="00D6597B"/>
    <w:rsid w:val="00D76BE5"/>
    <w:rsid w:val="00D82910"/>
    <w:rsid w:val="00D978C6"/>
    <w:rsid w:val="00DA480B"/>
    <w:rsid w:val="00DA67AD"/>
    <w:rsid w:val="00DA68BD"/>
    <w:rsid w:val="00DB18CE"/>
    <w:rsid w:val="00DB5566"/>
    <w:rsid w:val="00DC1076"/>
    <w:rsid w:val="00DC3AAB"/>
    <w:rsid w:val="00DC7118"/>
    <w:rsid w:val="00DD04EB"/>
    <w:rsid w:val="00DE3EC0"/>
    <w:rsid w:val="00DE77CC"/>
    <w:rsid w:val="00DF59B8"/>
    <w:rsid w:val="00DF717D"/>
    <w:rsid w:val="00E045B7"/>
    <w:rsid w:val="00E07FF3"/>
    <w:rsid w:val="00E11593"/>
    <w:rsid w:val="00E12B6B"/>
    <w:rsid w:val="00E130AB"/>
    <w:rsid w:val="00E232A9"/>
    <w:rsid w:val="00E438D9"/>
    <w:rsid w:val="00E46099"/>
    <w:rsid w:val="00E46F67"/>
    <w:rsid w:val="00E5644E"/>
    <w:rsid w:val="00E7260F"/>
    <w:rsid w:val="00E731E1"/>
    <w:rsid w:val="00E806EE"/>
    <w:rsid w:val="00E81E48"/>
    <w:rsid w:val="00E9488F"/>
    <w:rsid w:val="00E96630"/>
    <w:rsid w:val="00EA61AE"/>
    <w:rsid w:val="00EB0FB9"/>
    <w:rsid w:val="00ED0CA9"/>
    <w:rsid w:val="00ED3220"/>
    <w:rsid w:val="00ED7A2A"/>
    <w:rsid w:val="00EE0E92"/>
    <w:rsid w:val="00EE112F"/>
    <w:rsid w:val="00EF1D7F"/>
    <w:rsid w:val="00EF5BDB"/>
    <w:rsid w:val="00F07FD9"/>
    <w:rsid w:val="00F155B7"/>
    <w:rsid w:val="00F23933"/>
    <w:rsid w:val="00F24119"/>
    <w:rsid w:val="00F3311D"/>
    <w:rsid w:val="00F35E10"/>
    <w:rsid w:val="00F40E75"/>
    <w:rsid w:val="00F42CD9"/>
    <w:rsid w:val="00F52936"/>
    <w:rsid w:val="00F54083"/>
    <w:rsid w:val="00F64DFC"/>
    <w:rsid w:val="00F677CB"/>
    <w:rsid w:val="00F67B04"/>
    <w:rsid w:val="00F84DA6"/>
    <w:rsid w:val="00F93D60"/>
    <w:rsid w:val="00F94ABE"/>
    <w:rsid w:val="00FA7BE2"/>
    <w:rsid w:val="00FA7DF3"/>
    <w:rsid w:val="00FC2270"/>
    <w:rsid w:val="00FC68B7"/>
    <w:rsid w:val="00FD0FEF"/>
    <w:rsid w:val="00FD4EC2"/>
    <w:rsid w:val="00FD7C12"/>
    <w:rsid w:val="00FE2ED7"/>
    <w:rsid w:val="00FF634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qFormat/>
    <w:locked/>
    <w:rsid w:val="0002792A"/>
    <w:rPr>
      <w:lang w:eastAsia="en-US"/>
    </w:rPr>
  </w:style>
  <w:style w:type="paragraph" w:styleId="Revision">
    <w:name w:val="Revision"/>
    <w:hidden/>
    <w:uiPriority w:val="99"/>
    <w:semiHidden/>
    <w:rsid w:val="0064119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D9BA94-7C43-4124-BE75-99BE0A320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E836FB-2530-B645-B7A6-5E72DF90AD60}">
  <ds:schemaRefs>
    <ds:schemaRef ds:uri="http://schemas.openxmlformats.org/officeDocument/2006/bibliography"/>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992</Words>
  <Characters>5577</Characters>
  <Application>Microsoft Office Word</Application>
  <DocSecurity>0</DocSecurity>
  <Lines>102</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A/HRC/59/L.18/Rev.1</vt:lpstr>
      <vt:lpstr/>
    </vt:vector>
  </TitlesOfParts>
  <Company>CSD</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A/HRC/RES/59/14</dc:title>
  <dc:subject>2511184</dc:subject>
  <dc:creator>Sumiko IHARA</dc:creator>
  <cp:keywords/>
  <dc:description/>
  <cp:lastModifiedBy>Maria Rosario Corazon Gatmaytan</cp:lastModifiedBy>
  <cp:revision>2</cp:revision>
  <cp:lastPrinted>2025-07-10T06:59:00Z</cp:lastPrinted>
  <dcterms:created xsi:type="dcterms:W3CDTF">2025-07-10T08:32:00Z</dcterms:created>
  <dcterms:modified xsi:type="dcterms:W3CDTF">2025-07-10T08:32:00Z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