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43D9B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F8730B" w14:textId="77777777" w:rsidR="002D5AAC" w:rsidRDefault="002D5AAC" w:rsidP="000D630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06256B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7A5B5FF" w14:textId="6E5BF9B2" w:rsidR="002D5AAC" w:rsidRDefault="000D6308" w:rsidP="000D6308">
            <w:pPr>
              <w:jc w:val="right"/>
            </w:pPr>
            <w:r w:rsidRPr="000D6308">
              <w:rPr>
                <w:sz w:val="40"/>
              </w:rPr>
              <w:t>CRC</w:t>
            </w:r>
            <w:r>
              <w:t>/C/LUX/CO/5-6</w:t>
            </w:r>
          </w:p>
        </w:tc>
      </w:tr>
      <w:tr w:rsidR="002D5AAC" w:rsidRPr="000D6308" w14:paraId="2156F3E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0438C4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EF22E27" wp14:editId="4BE14FF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0297A3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B21953" w14:textId="77777777" w:rsidR="002D5AAC" w:rsidRDefault="000D630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EA7D34" w14:textId="77777777" w:rsidR="000D6308" w:rsidRDefault="000D6308" w:rsidP="000D6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June 2021</w:t>
            </w:r>
          </w:p>
          <w:p w14:paraId="068CDF1A" w14:textId="77777777" w:rsidR="000D6308" w:rsidRDefault="000D6308" w:rsidP="000D6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4801949" w14:textId="6AC3B866" w:rsidR="000D6308" w:rsidRPr="00B937DF" w:rsidRDefault="000D6308" w:rsidP="000D6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FF5EBD0" w14:textId="77777777" w:rsidR="000D6308" w:rsidRPr="00A750E2" w:rsidRDefault="000D6308" w:rsidP="000D6308">
      <w:pPr>
        <w:spacing w:before="120"/>
        <w:rPr>
          <w:rFonts w:eastAsiaTheme="minorEastAsia"/>
          <w:b/>
          <w:bCs/>
          <w:sz w:val="24"/>
          <w:szCs w:val="24"/>
        </w:rPr>
      </w:pPr>
      <w:r w:rsidRPr="00030DA9">
        <w:rPr>
          <w:b/>
          <w:bCs/>
          <w:sz w:val="24"/>
          <w:szCs w:val="24"/>
        </w:rPr>
        <w:t>Комитет по правам ребенка</w:t>
      </w:r>
    </w:p>
    <w:p w14:paraId="1864993B" w14:textId="6E52FB98" w:rsidR="000D6308" w:rsidRPr="002B6797" w:rsidRDefault="000D6308" w:rsidP="000D6308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 w:rsidR="00CF41BC">
        <w:rPr>
          <w:bCs/>
          <w:lang w:val="fr-CH"/>
        </w:rPr>
        <w:t> </w:t>
      </w:r>
      <w:r>
        <w:rPr>
          <w:bCs/>
        </w:rPr>
        <w:t>шестому периодическим докладам Люксембурга</w:t>
      </w:r>
      <w:r w:rsidRPr="00DC7ABC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</w:p>
    <w:p w14:paraId="665719EA" w14:textId="77777777" w:rsidR="000D6308" w:rsidRPr="002B6797" w:rsidRDefault="000D6308" w:rsidP="000D6308">
      <w:pPr>
        <w:pStyle w:val="HChG"/>
        <w:rPr>
          <w:rFonts w:eastAsiaTheme="minorEastAsia"/>
        </w:rPr>
      </w:pPr>
      <w:r>
        <w:tab/>
        <w:t>I.</w:t>
      </w:r>
      <w:r>
        <w:tab/>
      </w:r>
      <w:r>
        <w:rPr>
          <w:bCs/>
        </w:rPr>
        <w:t>Введение</w:t>
      </w:r>
    </w:p>
    <w:p w14:paraId="368A09AA" w14:textId="77777777" w:rsidR="000D6308" w:rsidRPr="002B6797" w:rsidRDefault="000D6308" w:rsidP="000D6308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Люксембурга (CRC/C/LUX/5-6) на своих 2512-м, 2514-м и 2516-м заседаниях</w:t>
      </w:r>
      <w:r w:rsidRPr="00DC7ABC">
        <w:rPr>
          <w:rStyle w:val="aa"/>
        </w:rPr>
        <w:footnoteReference w:id="2"/>
      </w:r>
      <w:r>
        <w:t>, проведенных в онлайновом режиме 19–21 мая 2021 года, и принял настоящие заключительные замечания на своем 2534-м заседании, состоявшемся 4 июня 2021 года.</w:t>
      </w:r>
    </w:p>
    <w:p w14:paraId="68A1888F" w14:textId="77777777" w:rsidR="000D6308" w:rsidRPr="002B6797" w:rsidRDefault="000D6308" w:rsidP="000D6308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в ответ на перечень вопросов</w:t>
      </w:r>
      <w:r w:rsidRPr="00DC7ABC">
        <w:rPr>
          <w:rStyle w:val="aa"/>
        </w:rPr>
        <w:footnoteReference w:id="3"/>
      </w:r>
      <w:r>
        <w:t>, препровожденный до представления докладов в рамках упрощенной процедуры</w:t>
      </w:r>
      <w:r w:rsidRPr="006654A4">
        <w:t xml:space="preserve"> </w:t>
      </w:r>
      <w:r>
        <w:t>представления докладов, которые позволили ему лучше понять положение в области прав детей в государстве-участнике</w:t>
      </w:r>
      <w:r w:rsidRPr="00DC7ABC">
        <w:rPr>
          <w:rStyle w:val="aa"/>
        </w:rPr>
        <w:footnoteReference w:id="4"/>
      </w:r>
      <w:r>
        <w:t xml:space="preserve">. Комитет выражает признательность за конструктивный диалог, состоявшийся с высокопоставленной межведомственной делегацией государства-участника. </w:t>
      </w:r>
    </w:p>
    <w:p w14:paraId="1800D2EF" w14:textId="77777777" w:rsidR="000D6308" w:rsidRPr="002B6797" w:rsidRDefault="000D6308" w:rsidP="000D6308">
      <w:pPr>
        <w:pStyle w:val="HChG"/>
        <w:rPr>
          <w:rFonts w:eastAsiaTheme="minorEastAsia"/>
        </w:rPr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2A8CD66" w14:textId="78A4FE8E" w:rsidR="000D6308" w:rsidRPr="002B6797" w:rsidRDefault="000D6308" w:rsidP="000D6308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 том числе ратификацию им международных договоров или присоединение к ним, в частности его присоединение 21 сентября 2017 года к Конвенции о сокращении безгражданства в соответствии с новым Законом Люксембурга о гражданстве от 8 марта 2017 года. Комитет с удовлетворением отмечает законодательные, институциональные и политические меры, принятые в целях осуществления Конвенции о правах ребенка, в частности укрепление управления Омбудсмена по делам детей и молодежи</w:t>
      </w:r>
      <w:r w:rsidRPr="00DC7ABC">
        <w:rPr>
          <w:rStyle w:val="aa"/>
        </w:rPr>
        <w:footnoteReference w:id="5"/>
      </w:r>
      <w:r>
        <w:t xml:space="preserve">. Он также приветствует Закон от 20 июля 2018 года об утверждении Конвенции Совета Европы о предотвращении и борьбе с насилием в отношении женщин и домашним насилием, устанавливающий обязательство оказывать поддержку любому ребенку, который прямо или косвенно подвергается домашнему насилию. Наконец, Комитет приветствует принятие Закона от 28 февраля 2018 года об укреплении мер по борьбе с эксплуатацией проституции, сутенерством и торговлей людьми в сексуальных целях, в котором поиск сексуальных отношений с ребенком, согласие на такие отношения или вступление в них в обмен на </w:t>
      </w:r>
      <w:r>
        <w:lastRenderedPageBreak/>
        <w:t>оплату или обещание оплаты квалифицируются как уголовное преступление. Он</w:t>
      </w:r>
      <w:r w:rsidR="00CF41BC">
        <w:rPr>
          <w:lang w:val="fr-CH"/>
        </w:rPr>
        <w:t> </w:t>
      </w:r>
      <w:r>
        <w:t xml:space="preserve">также приветствует значительное увеличение бюджетных ресурсов, выделяемых на деятельность в интересах детей и молодежи: с 985 725 834 евро в 2009 году до </w:t>
      </w:r>
      <w:r w:rsidR="00CF41BC">
        <w:br/>
      </w:r>
      <w:r>
        <w:t>1</w:t>
      </w:r>
      <w:r w:rsidR="00CF41BC">
        <w:rPr>
          <w:lang w:val="fr-CH"/>
        </w:rPr>
        <w:t> </w:t>
      </w:r>
      <w:r>
        <w:t>682</w:t>
      </w:r>
      <w:r w:rsidR="00CF41BC">
        <w:rPr>
          <w:lang w:val="fr-CH"/>
        </w:rPr>
        <w:t> </w:t>
      </w:r>
      <w:r>
        <w:t>703</w:t>
      </w:r>
      <w:r w:rsidR="00CF41BC">
        <w:rPr>
          <w:lang w:val="fr-CH"/>
        </w:rPr>
        <w:t> </w:t>
      </w:r>
      <w:r>
        <w:t>838 евро в 2018 году. Комитет высоко оценивает меры, принятые государством-участником в условиях пандемии коронавирусного заболевания (COVID-19), в особенности предоставление оплачиваемого отпуска по семейным обстоятельствам, в том числе работникам частного сектора и самозанятым лицам с иждивенцами.</w:t>
      </w:r>
    </w:p>
    <w:p w14:paraId="50DCB332" w14:textId="77777777" w:rsidR="000D6308" w:rsidRPr="002B6797" w:rsidRDefault="000D6308" w:rsidP="000D6308">
      <w:pPr>
        <w:pStyle w:val="HChG"/>
        <w:rPr>
          <w:rFonts w:eastAsiaTheme="minorEastAsia"/>
        </w:rPr>
      </w:pPr>
      <w:r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3DD369CB" w14:textId="77777777" w:rsidR="000D6308" w:rsidRPr="002B6797" w:rsidRDefault="000D6308" w:rsidP="000D6308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(п. 12); право на идентичность (п. 16); дети, лишенные семейного окружения (п. 21); дети-инвалиды (п. 23); дети из числа просителей убежища, беженцев и мигрантов (п. 29); и отправление правосудия в отношении детей (п. 31). </w:t>
      </w:r>
    </w:p>
    <w:p w14:paraId="728E6869" w14:textId="77777777" w:rsidR="000D6308" w:rsidRPr="002B6797" w:rsidRDefault="000D6308" w:rsidP="000D6308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C4871EA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  <w:t>A.</w:t>
      </w:r>
      <w:r>
        <w:tab/>
      </w:r>
      <w:r>
        <w:rPr>
          <w:bCs/>
        </w:rPr>
        <w:t>Общие меры по осуществлению (ст. 4, 42 и 44 (п. 6))</w:t>
      </w:r>
    </w:p>
    <w:p w14:paraId="6246FBE4" w14:textId="77777777" w:rsidR="000D6308" w:rsidRPr="00030DA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Оговорки</w:t>
      </w:r>
    </w:p>
    <w:p w14:paraId="583A4A85" w14:textId="77777777" w:rsidR="000D6308" w:rsidRPr="002B6797" w:rsidRDefault="000D6308" w:rsidP="000D6308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принимает к сведению представленную государством-участником информацию о том, что его оговорки к статьям 2, 6 и 15 Конвенции могут быть сняты, если законопроекты № 6568 и № 7674, касающиеся родства и доступа лиц к информации о своем происхождении, будут приняты парламентом.</w:t>
      </w:r>
      <w:r>
        <w:t xml:space="preserve"> </w:t>
      </w:r>
      <w:r>
        <w:rPr>
          <w:b/>
          <w:bCs/>
        </w:rPr>
        <w:t>В этой связи и в соответствии со своими предыдущими рекомендациями</w:t>
      </w:r>
      <w:r w:rsidRPr="00DC7ABC">
        <w:rPr>
          <w:rStyle w:val="aa"/>
        </w:rPr>
        <w:footnoteReference w:id="6"/>
      </w:r>
      <w:r>
        <w:rPr>
          <w:b/>
          <w:bCs/>
        </w:rPr>
        <w:t xml:space="preserve"> Комитет рекомендует государству-участнику приложить усилия для ускорения принятия вышеупомянутых законопроектов и в свете Венской декларации и Программы действий, принятых Всемирной конференцией по правам человека в 1993 году, настоятельно призывает государство-участник рассмотреть возможность снятия всех своих оговорок к статьям 2, 6, 7 и 15 Конвенции.</w:t>
      </w:r>
      <w:r>
        <w:t xml:space="preserve"> </w:t>
      </w:r>
    </w:p>
    <w:p w14:paraId="4F49B159" w14:textId="77777777" w:rsidR="000D6308" w:rsidRPr="004B50D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592585C9" w14:textId="77777777" w:rsidR="000D6308" w:rsidRPr="002B6797" w:rsidRDefault="000D6308" w:rsidP="000D6308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Отмечая проводимую в настоящее время реформу Конституции, направленную на обеспечение всем детям «защиты, мер и ухода, необходимых для их благополучия и развития», и возможности свободно выражать свои взгляды по всем затрагивающим их вопросам, Комитет рекомендует государству-участнику принять все необходимые меры с тем, чтобы ускорить этот процесс и придать правам детей статус основных прав в рамках новой Конституции.</w:t>
      </w:r>
    </w:p>
    <w:p w14:paraId="0F8A63C9" w14:textId="77777777" w:rsidR="000D6308" w:rsidRPr="00317F79" w:rsidRDefault="000D6308" w:rsidP="000D6308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4B22E1D9" w14:textId="77777777" w:rsidR="000D6308" w:rsidRPr="002B6797" w:rsidRDefault="000D6308" w:rsidP="000D630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Напоминая о своей предыдущей рекомендации</w:t>
      </w:r>
      <w:r w:rsidRPr="00DC7ABC">
        <w:rPr>
          <w:rStyle w:val="aa"/>
        </w:rPr>
        <w:footnoteReference w:id="7"/>
      </w:r>
      <w:r>
        <w:rPr>
          <w:b/>
          <w:bCs/>
        </w:rPr>
        <w:t xml:space="preserve"> и отмечая, что департаменту по правам детей Министерства образования, по делам детей и молодежи совместно с другими министерствами и организациями гражданского общества было поручено разработать национальный план действий для скоординированного и последовательного осуществления Конвенции, Комитет призывает государство-участник завершить подготовку национального плана действий, ориентированного на всех детей в возрасте до 18 лет, в особенности на детей в возрасте до 12 лет, и распространяющегося на все области, охватываемые Конвенцией, а также разработать стратегию, содержащую элементы, необходимые для его реализации, и обеспеченную достаточными людскими, техническими и финансовыми ресурсами.</w:t>
      </w:r>
    </w:p>
    <w:p w14:paraId="143F14C8" w14:textId="77777777" w:rsidR="000D6308" w:rsidRPr="004B50D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Сбор данных</w:t>
      </w:r>
    </w:p>
    <w:p w14:paraId="530CF30E" w14:textId="77777777" w:rsidR="000D6308" w:rsidRPr="002B6797" w:rsidRDefault="000D6308" w:rsidP="000D6308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приветствует данные, представленные государством-участником по ряду областей, охватываемых Конвенцией, и принимает к сведению информацию государства-участника о том, что оно не располагает возможностями для активизации работы по дальнейшей диверсификации своих методов сбора данных.</w:t>
      </w:r>
      <w:r>
        <w:t xml:space="preserve"> </w:t>
      </w:r>
      <w:r>
        <w:rPr>
          <w:b/>
          <w:bCs/>
        </w:rPr>
        <w:t>В этой связи, ссылаясь на свое замечание общего порядка № 5 (2003) об общих мерах по осуществлению, Комитет рекомендует государству-участнику:</w:t>
      </w:r>
      <w:r>
        <w:t xml:space="preserve"> </w:t>
      </w:r>
    </w:p>
    <w:p w14:paraId="32D534FB" w14:textId="77777777" w:rsidR="000D6308" w:rsidRPr="002B6797" w:rsidRDefault="000D6308" w:rsidP="000D6308">
      <w:pPr>
        <w:pStyle w:val="SingleTxtG"/>
        <w:rPr>
          <w:b/>
          <w:bCs/>
        </w:rPr>
      </w:pPr>
      <w:r w:rsidRPr="005350DD">
        <w:rPr>
          <w:b/>
          <w:bCs/>
        </w:rPr>
        <w:tab/>
        <w:t>a)</w:t>
      </w:r>
      <w:r w:rsidRPr="005350DD">
        <w:rPr>
          <w:b/>
          <w:bCs/>
        </w:rPr>
        <w:tab/>
      </w:r>
      <w:r>
        <w:rPr>
          <w:b/>
          <w:bCs/>
        </w:rPr>
        <w:t>в кратчайшие сроки усовершенствовать свою систему сбора данных.</w:t>
      </w:r>
      <w:r>
        <w:t xml:space="preserve"> </w:t>
      </w:r>
      <w:r>
        <w:rPr>
          <w:b/>
          <w:bCs/>
        </w:rPr>
        <w:t>Данные должны охватывать все области Конвенции и быть дезагрегированы по таким признакам, как возраст, пол, инвалидность, географическое местоположение, этническое и национальное происхождение и социально-экономический статус, в целях упрощения анализа положения всех детей, особенно детей, находящихся в уязвимом положении;</w:t>
      </w:r>
    </w:p>
    <w:p w14:paraId="385E534E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5350DD">
        <w:rPr>
          <w:b/>
          <w:bCs/>
        </w:rPr>
        <w:t>b)</w:t>
      </w:r>
      <w:r>
        <w:tab/>
      </w:r>
      <w:r>
        <w:rPr>
          <w:b/>
          <w:bCs/>
        </w:rPr>
        <w:t>обеспечить обмен данными и показателями между соответствующими министерствами и их использование для разработки, мониторинга и оценки стратегий, программ и проектов, направленных на эффективное осуществление Конвенции;</w:t>
      </w:r>
      <w:r>
        <w:t xml:space="preserve"> </w:t>
      </w:r>
    </w:p>
    <w:p w14:paraId="15AEB42D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5350DD">
        <w:rPr>
          <w:b/>
          <w:bCs/>
        </w:rPr>
        <w:t>c)</w:t>
      </w:r>
      <w:r>
        <w:tab/>
      </w:r>
      <w:r>
        <w:rPr>
          <w:b/>
          <w:bCs/>
        </w:rPr>
        <w:t xml:space="preserve">учитывать концептуальные и методологические рамки, установленные в докладе Управления Верховного комиссара Организации Объединенных Наций по правам человека под названием </w:t>
      </w:r>
      <w:r w:rsidRPr="006F7126">
        <w:rPr>
          <w:b/>
          <w:bCs/>
        </w:rPr>
        <w:t>«</w:t>
      </w:r>
      <w:r w:rsidRPr="00FD47F6">
        <w:rPr>
          <w:b/>
          <w:bCs/>
        </w:rPr>
        <w:t>Показатели соблюдения прав человека: руководство по количественной оценке и осуществлению</w:t>
      </w:r>
      <w:r w:rsidRPr="006F7126">
        <w:rPr>
          <w:b/>
          <w:bCs/>
        </w:rPr>
        <w:t>»</w:t>
      </w:r>
      <w:r>
        <w:rPr>
          <w:b/>
          <w:bCs/>
        </w:rPr>
        <w:t>, в процессе определения, сбора и распространения статистической информации.</w:t>
      </w:r>
    </w:p>
    <w:p w14:paraId="6A42D7D8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215F6DD6" w14:textId="77777777" w:rsidR="000D6308" w:rsidRPr="002B6797" w:rsidRDefault="000D6308" w:rsidP="000D6308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Отмечая усилия государства-участника по повышению осведомленности и подготовке специалистов, работающих с детьми и в их интересах, Комитет рекомендует государству-участнику продолжать укреплять свои программы повышения осведомленности, включая кампании, и усилия по обеспечению широкого признания и понимания положений и принципов Конвенции и факультативных протоколов к ней.</w:t>
      </w:r>
      <w:r>
        <w:t xml:space="preserve"> </w:t>
      </w:r>
      <w:r>
        <w:rPr>
          <w:b/>
          <w:bCs/>
        </w:rPr>
        <w:t>Комитет, в частности, рекомендует государству-участнику повышать уровень осведомленности детей об их правах, закрепленных в Факультативном протоколе, касающемся процедуры сообщений, и обеспечить детям доступ к средствам правовой защиты на национальном уровне.</w:t>
      </w:r>
    </w:p>
    <w:p w14:paraId="65056196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lastRenderedPageBreak/>
        <w:tab/>
        <w:t>B.</w:t>
      </w:r>
      <w:r>
        <w:tab/>
      </w:r>
      <w:r>
        <w:rPr>
          <w:bCs/>
        </w:rPr>
        <w:t>Общие принципы (ст. 2, 3, 6 и 12)</w:t>
      </w:r>
    </w:p>
    <w:p w14:paraId="1A7DB633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Недискриминация</w:t>
      </w:r>
    </w:p>
    <w:p w14:paraId="63C37BEC" w14:textId="77777777" w:rsidR="000D6308" w:rsidRPr="002B6797" w:rsidRDefault="000D6308" w:rsidP="000D6308">
      <w:pPr>
        <w:pStyle w:val="SingleTxtG"/>
      </w:pPr>
      <w:r>
        <w:t>11.</w:t>
      </w:r>
      <w:r>
        <w:tab/>
        <w:t>Комитет принимает к сведению закон от 27 июня 2018 года, который в определенной степени устраняет дискриминацию в отношении детей родителей, не состоящих в браке, и законопроект № 6568, предполагающий устранение понятий законного и незаконного родства, однако он по-прежнему обеспокоен тем, что разграничение между детьми родителей, состоящих в браке, и детьми родителей, не состоящих в браке, продолжает существовать.</w:t>
      </w:r>
    </w:p>
    <w:p w14:paraId="5D75EBD1" w14:textId="77777777" w:rsidR="000D6308" w:rsidRPr="002B6797" w:rsidRDefault="000D6308" w:rsidP="000D630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приложить все необходимые усилия для ускорения принятия законопроекта № 6568 и устранить дискриминацию в отношении детей родителей, не состоящих в браке.</w:t>
      </w:r>
    </w:p>
    <w:p w14:paraId="0FE49E06" w14:textId="77777777" w:rsidR="000D6308" w:rsidRPr="00317F7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508F11A3" w14:textId="5FC1A02E" w:rsidR="000D6308" w:rsidRPr="002B6797" w:rsidRDefault="000D6308" w:rsidP="000D6308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приветствует тот факт, что осуществление права ребенка на уделение первоочередного внимания наилучшему обеспечению его интересов стало в государстве-участнике распространенной практикой.</w:t>
      </w:r>
      <w:r>
        <w:t xml:space="preserve"> </w:t>
      </w:r>
      <w:r>
        <w:rPr>
          <w:b/>
          <w:bCs/>
        </w:rPr>
        <w:t xml:space="preserve">Вместе с тем,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активизировать свои усилия по обеспечению надлежащего учета, последовательного толкования и применения этого права во всей законодательной, административной и судебной практике и решениях, а также во всех стратегиях, программах и проектах, имеющих отношение к детям или затрагивающих их интересы, в особенности в отношении несопровождаемых детей, детей, лишенных семейного окружения, </w:t>
      </w:r>
      <w:r w:rsidR="00FD47F6">
        <w:rPr>
          <w:b/>
          <w:bCs/>
        </w:rPr>
        <w:br/>
      </w:r>
      <w:r>
        <w:rPr>
          <w:b/>
          <w:bCs/>
        </w:rPr>
        <w:t>детей-интерсексов и детей-инвалидов.</w:t>
      </w:r>
      <w:r>
        <w:t xml:space="preserve"> </w:t>
      </w:r>
      <w:r>
        <w:rPr>
          <w:b/>
          <w:bCs/>
        </w:rPr>
        <w:t>В этой связи государству-участнику рекомендуется разработать процедуры и критерии в качестве руководства для всех соответствующих должностных лиц в вопросах определения наилучших интересов ребенка в каждой области и надлежащего учета этого принципа как одного из важнейших соображений.</w:t>
      </w:r>
      <w:r>
        <w:t xml:space="preserve"> </w:t>
      </w:r>
    </w:p>
    <w:p w14:paraId="1BA482AB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Уважение мнения ребенка</w:t>
      </w:r>
    </w:p>
    <w:p w14:paraId="1135958B" w14:textId="77777777" w:rsidR="000D6308" w:rsidRPr="002B6797" w:rsidRDefault="000D6308" w:rsidP="000D6308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Напоминая о вызвавших обеспокоенность вопросах, изложенных в его предыдущих заключительных замечаниях</w:t>
      </w:r>
      <w:r w:rsidRPr="00DC7ABC">
        <w:rPr>
          <w:rStyle w:val="aa"/>
        </w:rPr>
        <w:footnoteReference w:id="8"/>
      </w:r>
      <w:r>
        <w:rPr>
          <w:b/>
          <w:bCs/>
        </w:rPr>
        <w:t>, и ссылаясь на свое замечание общего порядка № 12 (2009) о праве ребенка быть заслушанным, Комитет рекомендует государству-участнику:</w:t>
      </w:r>
      <w:r>
        <w:t xml:space="preserve"> </w:t>
      </w:r>
    </w:p>
    <w:p w14:paraId="4FB6AA8B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FD47F6">
        <w:rPr>
          <w:b/>
          <w:bCs/>
        </w:rPr>
        <w:t>a)</w:t>
      </w:r>
      <w:r w:rsidRPr="00FD47F6">
        <w:rPr>
          <w:b/>
          <w:bCs/>
        </w:rPr>
        <w:tab/>
      </w:r>
      <w:r>
        <w:rPr>
          <w:b/>
          <w:bCs/>
        </w:rPr>
        <w:t>принять меры для обеспечения эффективного применения законодательства, признающего право ребенка, независимо от его возраста, быть заслушанным в соответствующих судебных разбирательствах, а также для обеспечения должного учета взглядов ребенка сообразно его возрасту и степени зрелости;</w:t>
      </w:r>
    </w:p>
    <w:p w14:paraId="2DB9876A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FD47F6">
        <w:rPr>
          <w:b/>
          <w:bCs/>
        </w:rPr>
        <w:t>b)</w:t>
      </w:r>
      <w:r>
        <w:tab/>
      </w:r>
      <w:r>
        <w:rPr>
          <w:b/>
          <w:bCs/>
        </w:rPr>
        <w:t>обеспечить детям возможность быть заслушанными либо непосредственно, либо через представителя и получать необходимую поддержку и помощь в ходе судебных разбирательств;</w:t>
      </w:r>
      <w:r>
        <w:t xml:space="preserve"> </w:t>
      </w:r>
    </w:p>
    <w:p w14:paraId="418CBD15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c)</w:t>
      </w:r>
      <w:r>
        <w:tab/>
      </w:r>
      <w:r>
        <w:rPr>
          <w:b/>
          <w:bCs/>
        </w:rPr>
        <w:t>содействовать, в том числе путем осуществления программ и мероприятий по повышению осведомленности, конструктивному и полноценному участию всех детей, особенно в возрасте до 14 лет, в жизни семьи, общины и школы и привлекать детей к принятию решений по всем касающимся их вопросам, уделяя особое внимание детям, находящимся в уязвимом положении;</w:t>
      </w:r>
      <w:r>
        <w:t xml:space="preserve"> </w:t>
      </w:r>
    </w:p>
    <w:p w14:paraId="4F3EA4B9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FD47F6">
        <w:rPr>
          <w:b/>
          <w:bCs/>
        </w:rPr>
        <w:t>d)</w:t>
      </w:r>
      <w:r>
        <w:tab/>
      </w:r>
      <w:r>
        <w:rPr>
          <w:b/>
          <w:bCs/>
        </w:rPr>
        <w:t xml:space="preserve">институционализировать работу Детского парламента в целях придания ему статуса регулярного мероприятия и обеспечить наделение его реальными полномочиями и достаточными людскими, техническими и </w:t>
      </w:r>
      <w:r>
        <w:rPr>
          <w:b/>
          <w:bCs/>
        </w:rPr>
        <w:lastRenderedPageBreak/>
        <w:t>финансовыми ресурсами для содействия эффективному участию детей в национальных законодательных процессах по затрагивающим их вопросам.</w:t>
      </w:r>
    </w:p>
    <w:p w14:paraId="31421BBC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  <w:t>C.</w:t>
      </w:r>
      <w:r>
        <w:tab/>
      </w:r>
      <w:r>
        <w:rPr>
          <w:bCs/>
        </w:rPr>
        <w:t>Гражданские права и свободы (ст. 7, 8 и 13–17)</w:t>
      </w:r>
    </w:p>
    <w:p w14:paraId="502EBC8F" w14:textId="77777777" w:rsidR="000D6308" w:rsidRPr="00DC7ABC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Право на идентичность</w:t>
      </w:r>
    </w:p>
    <w:p w14:paraId="2C049BCF" w14:textId="77777777" w:rsidR="000D6308" w:rsidRPr="002B6797" w:rsidRDefault="000D6308" w:rsidP="000D6308">
      <w:pPr>
        <w:pStyle w:val="SingleTxtG"/>
      </w:pPr>
      <w:r>
        <w:t>15.</w:t>
      </w:r>
      <w:r>
        <w:tab/>
        <w:t>Комитет принимает к сведению законопроект № 7674 об организации доступа к информации о происхождении для лиц, которые были усыновлены или рождены в результате донорства яйцеклетки или спермы. Однако Комитет обеспокоен информацией о том, что законопроект остается весьма расплывчатым в части, касающейся анонимных родов, суррогатного материнства и донорства гамет и эмбрионов в государстве-участнике или за рубежом для родителей, проживающих в государстве-участнике, и что неясно, какая служба будет отвечать за управление такими данными и их хранение в целях обеспечения впоследствии права ребенка на доступ к данным о его происхождении.</w:t>
      </w:r>
    </w:p>
    <w:p w14:paraId="47DA1037" w14:textId="77777777" w:rsidR="000D6308" w:rsidRPr="002B6797" w:rsidRDefault="000D6308" w:rsidP="000D6308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обеспечить наличие в законопроекте положений, предусматривающих обеспечение детям доступа к информации об их происхождении, если они были усыновлены или рождены при анонимных родах, или благодаря вспомогательным репродуктивным технологиям, включая технологии, связанные с донорством гамет или эмбрионов, или в результате соглашений о суррогатном материнстве, заключенных за рубежом, и если их соответствующие родители проживают в государстве-участнике.</w:t>
      </w:r>
      <w:r>
        <w:t xml:space="preserve"> </w:t>
      </w:r>
      <w:r>
        <w:rPr>
          <w:b/>
          <w:bCs/>
        </w:rPr>
        <w:t>Государству-участнику следует предусмотреть в законодательстве четкие процедуры для управления данными о происхождении детей и их хранения.</w:t>
      </w:r>
    </w:p>
    <w:p w14:paraId="13ACFAC8" w14:textId="4AFA044A" w:rsidR="000D6308" w:rsidRPr="002B6797" w:rsidRDefault="000D6308" w:rsidP="000D6308">
      <w:pPr>
        <w:pStyle w:val="H1G"/>
        <w:rPr>
          <w:rFonts w:eastAsiaTheme="minorEastAsia"/>
        </w:rPr>
      </w:pPr>
      <w:r>
        <w:tab/>
        <w:t>D.</w:t>
      </w:r>
      <w:r>
        <w:tab/>
      </w:r>
      <w:r>
        <w:rPr>
          <w:bCs/>
        </w:rPr>
        <w:t xml:space="preserve">Насилие в отношении детей (ст. 19, 24 (п. 3), 28 (п. 2), 34, </w:t>
      </w:r>
      <w:r w:rsidR="00FD47F6">
        <w:rPr>
          <w:bCs/>
        </w:rPr>
        <w:br/>
      </w:r>
      <w:r>
        <w:rPr>
          <w:bCs/>
        </w:rPr>
        <w:t>37 (п. a)) и</w:t>
      </w:r>
      <w:r w:rsidR="00FD47F6">
        <w:rPr>
          <w:bCs/>
          <w:lang w:val="fr-CH"/>
        </w:rPr>
        <w:t> </w:t>
      </w:r>
      <w:r>
        <w:rPr>
          <w:bCs/>
        </w:rPr>
        <w:t>39)</w:t>
      </w:r>
    </w:p>
    <w:p w14:paraId="6E1D743D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Телесное наказание</w:t>
      </w:r>
    </w:p>
    <w:p w14:paraId="7B014117" w14:textId="77777777" w:rsidR="000D6308" w:rsidRPr="002B6797" w:rsidRDefault="000D6308" w:rsidP="000D630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8 (2006) о телесных наказаниях, Комитет рекомендует государству-участнику:</w:t>
      </w:r>
    </w:p>
    <w:p w14:paraId="7A2B1626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a)</w:t>
      </w:r>
      <w:r w:rsidRPr="00FD47F6">
        <w:rPr>
          <w:b/>
          <w:bCs/>
        </w:rPr>
        <w:tab/>
      </w:r>
      <w:r>
        <w:rPr>
          <w:b/>
          <w:bCs/>
        </w:rPr>
        <w:t>ввести прямой законодательный запрет на все формы телесных наказаний, вне зависимости от их степени мягкости, в любых условиях, в том числе в отношении детей в возрасте от 14 до 18 лет, и отменить в своем законодательстве нормы, допускающие легкие формы насилия;</w:t>
      </w:r>
    </w:p>
    <w:p w14:paraId="61FDA750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FD47F6">
        <w:rPr>
          <w:b/>
          <w:bCs/>
        </w:rPr>
        <w:t>b)</w:t>
      </w:r>
      <w:r>
        <w:tab/>
      </w:r>
      <w:r>
        <w:rPr>
          <w:b/>
          <w:bCs/>
        </w:rPr>
        <w:t>поощрять позитивные, ненасильственные и основанные на принципе участия формы воспитания детей и поддержания дисциплины, в том числе с помощью информационно-просветительских кампаний, направленных на изменение отношения общества к телесному наказанию детей;</w:t>
      </w:r>
    </w:p>
    <w:p w14:paraId="5B089D79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FD47F6">
        <w:rPr>
          <w:b/>
          <w:bCs/>
        </w:rPr>
        <w:t>c)</w:t>
      </w:r>
      <w:r>
        <w:tab/>
      </w:r>
      <w:r>
        <w:rPr>
          <w:b/>
          <w:bCs/>
        </w:rPr>
        <w:t>разработать всеобъемлющую национальную стратегию по предупреждению и пресечению всех форм насилия в отношении детей, особенно в семье.</w:t>
      </w:r>
    </w:p>
    <w:p w14:paraId="748E1CFF" w14:textId="709C14CA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Насилие в отношении детей, включая жестокое обращение с детьми и</w:t>
      </w:r>
      <w:r w:rsidR="00FD47F6">
        <w:rPr>
          <w:bCs/>
          <w:lang w:val="fr-CH"/>
        </w:rPr>
        <w:t> </w:t>
      </w:r>
      <w:r>
        <w:rPr>
          <w:bCs/>
        </w:rPr>
        <w:t>оставление их без присмотра</w:t>
      </w:r>
      <w:r>
        <w:t xml:space="preserve"> </w:t>
      </w:r>
    </w:p>
    <w:p w14:paraId="0AFB4E03" w14:textId="77777777" w:rsidR="000D6308" w:rsidRPr="002B6797" w:rsidRDefault="000D6308" w:rsidP="000D6308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приветствует Закон о домашнем насилии 2018 года и руководство по процедурным вопросам для рассмотрения дел о жестоком обращении с детьми, выпущенное в 2018 году Министерством образования, по делам детей и молодежи.</w:t>
      </w:r>
      <w:r>
        <w:t xml:space="preserve"> </w:t>
      </w:r>
      <w:r>
        <w:rPr>
          <w:b/>
          <w:bCs/>
        </w:rPr>
        <w:t>Ссылаясь на свои замечания общего порядка № 13 (2011) о праве ребенка на свободу от всех форм насилия и № 25 (2021) о правах детей в связи с цифровой средой и принимая во внимание задачу 16.2 Целей в области устойчивого развития, Комитет рекомендует государству-участнику:</w:t>
      </w:r>
    </w:p>
    <w:p w14:paraId="65EC87CE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lastRenderedPageBreak/>
        <w:tab/>
        <w:t>a)</w:t>
      </w:r>
      <w:r w:rsidRPr="00FD47F6">
        <w:rPr>
          <w:b/>
          <w:bCs/>
        </w:rPr>
        <w:tab/>
      </w:r>
      <w:r>
        <w:rPr>
          <w:b/>
          <w:bCs/>
        </w:rPr>
        <w:t>продолжать укреплять программы повышения осведомленности и подготовки всех специалистов, работающих с детьми и в их интересах, по вопросам информирования о подозреваемых и доказанных случаях любых форм жестокого обращения;</w:t>
      </w:r>
    </w:p>
    <w:p w14:paraId="3E22C4F3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b)</w:t>
      </w:r>
      <w:r>
        <w:tab/>
      </w:r>
      <w:r>
        <w:rPr>
          <w:b/>
          <w:bCs/>
        </w:rPr>
        <w:t>принять законодательные и политические меры для предотвращения не только физического, но и психологического насилия в отношении детей;</w:t>
      </w:r>
    </w:p>
    <w:p w14:paraId="56EA7352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c)</w:t>
      </w:r>
      <w:r>
        <w:tab/>
      </w:r>
      <w:r>
        <w:rPr>
          <w:b/>
          <w:bCs/>
        </w:rPr>
        <w:t>предусмотреть в рамках стратегии предотвращения и искоренения всех форм насилия в отношении детей меры, направленные на борьбу с травлей и насилием в Интернете;</w:t>
      </w:r>
    </w:p>
    <w:p w14:paraId="7B56F0D8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d)</w:t>
      </w:r>
      <w:r>
        <w:tab/>
      </w:r>
      <w:r>
        <w:rPr>
          <w:b/>
          <w:bCs/>
        </w:rPr>
        <w:t>принять меры по содействию разработке добровольных, ориентированных на саморегулирование, профессиональных и этических руководящих принципов и стандартов поведения и других инициатив, в частности принятию политики в области защиты детей и внедрению доступных для детей технических решений, способствующих их безопасности в Интернете;</w:t>
      </w:r>
    </w:p>
    <w:p w14:paraId="5162896D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e)</w:t>
      </w:r>
      <w:r>
        <w:tab/>
      </w:r>
      <w:r>
        <w:rPr>
          <w:b/>
          <w:bCs/>
        </w:rPr>
        <w:t>принять законодательные и административные меры для защиты детей от насилия в цифровой среде, в том числе обеспечить регулярный обзор, обновление и применение прочной законодательной, нормативной и институциональной базы, направленной на защиту детей от общепризнанных и новых рисков, связанных со всеми формами насилия в цифровой среде;</w:t>
      </w:r>
    </w:p>
    <w:p w14:paraId="4C3EF749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f)</w:t>
      </w:r>
      <w:r w:rsidRPr="00FD47F6">
        <w:rPr>
          <w:b/>
          <w:bCs/>
        </w:rPr>
        <w:tab/>
      </w:r>
      <w:r>
        <w:rPr>
          <w:b/>
          <w:bCs/>
        </w:rPr>
        <w:t xml:space="preserve">ускорить создание «детского дома» для детей — жертв и свидетелей актов насилия </w:t>
      </w:r>
      <w:r w:rsidRPr="00030DA9">
        <w:rPr>
          <w:b/>
          <w:bCs/>
        </w:rPr>
        <w:t>(</w:t>
      </w:r>
      <w:r w:rsidRPr="00FD47F6">
        <w:rPr>
          <w:b/>
          <w:bCs/>
        </w:rPr>
        <w:t>Barnahus</w:t>
      </w:r>
      <w:r w:rsidRPr="00030DA9">
        <w:rPr>
          <w:b/>
          <w:bCs/>
        </w:rPr>
        <w:t>)</w:t>
      </w:r>
      <w:r>
        <w:rPr>
          <w:b/>
          <w:bCs/>
        </w:rPr>
        <w:t>, который позволит детям получать все услуги в одном месте;</w:t>
      </w:r>
    </w:p>
    <w:p w14:paraId="26A17972" w14:textId="77777777" w:rsidR="000D6308" w:rsidRPr="002B6797" w:rsidRDefault="000D6308" w:rsidP="000D6308">
      <w:pPr>
        <w:pStyle w:val="SingleTxtG"/>
        <w:rPr>
          <w:b/>
          <w:bCs/>
        </w:rPr>
      </w:pPr>
      <w:r w:rsidRPr="00FD47F6">
        <w:rPr>
          <w:b/>
          <w:bCs/>
        </w:rPr>
        <w:tab/>
        <w:t>g)</w:t>
      </w:r>
      <w:r>
        <w:tab/>
      </w:r>
      <w:r>
        <w:rPr>
          <w:b/>
          <w:bCs/>
        </w:rPr>
        <w:t>обеспечить предоставление детям, столкнувшимся с насилием, надлежащих средств правовой защиты и возмещения ущерба, включая услуги психосоциального консультирования, с учетом их возраста, пола и культурного происхождения.</w:t>
      </w:r>
    </w:p>
    <w:p w14:paraId="1BBCE0A9" w14:textId="77777777" w:rsidR="000D6308" w:rsidRPr="003D2A9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3803697E" w14:textId="1AF6F0FF" w:rsidR="000D6308" w:rsidRPr="002B6797" w:rsidRDefault="000D6308" w:rsidP="000D630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 xml:space="preserve">Приветствуя Закон от 10 августа 2018 года об изменении сведений в графах «пол» и «имя» («имена») записей актов гражданского состояния и первый Национальный план действий по поощрению прав лесбиянок, геев, бисексуалов, трансгендеров и интерсексов, принятый в 2018 году, Комитет </w:t>
      </w:r>
      <w:r w:rsidR="00FD47F6">
        <w:rPr>
          <w:b/>
          <w:bCs/>
        </w:rPr>
        <w:br/>
      </w:r>
      <w:r>
        <w:rPr>
          <w:b/>
          <w:bCs/>
        </w:rPr>
        <w:t>рекомендует государству-участнику принять меры к тому, чтобы никто в младенчестве или детстве не подвергался необоснованному медицинскому или хирургическому вмешательству, гарантировать детям-интерсексам физическую неприкосновенность, самостоятельность и возможность самоопределения, а также обеспечить предоставление семьям с детьми-интерсексами надлежащих консультаций и поддержки.</w:t>
      </w:r>
    </w:p>
    <w:p w14:paraId="75F2E627" w14:textId="76F7B0BD" w:rsidR="000D6308" w:rsidRPr="002B6797" w:rsidRDefault="000D6308" w:rsidP="000D6308">
      <w:pPr>
        <w:pStyle w:val="H1G"/>
        <w:rPr>
          <w:rFonts w:eastAsiaTheme="minorEastAsia"/>
        </w:rPr>
      </w:pPr>
      <w:r>
        <w:tab/>
        <w:t>E.</w:t>
      </w:r>
      <w:r>
        <w:tab/>
      </w:r>
      <w:r>
        <w:rPr>
          <w:bCs/>
        </w:rPr>
        <w:t xml:space="preserve">Семейное окружение и альтернативный уход (ст. 5, 9–11, </w:t>
      </w:r>
      <w:r w:rsidR="00E21C5E">
        <w:rPr>
          <w:bCs/>
        </w:rPr>
        <w:br/>
      </w:r>
      <w:r>
        <w:rPr>
          <w:bCs/>
        </w:rPr>
        <w:t>18 (пп. 1 и 2), 20, 21, 25 и 27 (п. 4))</w:t>
      </w:r>
    </w:p>
    <w:p w14:paraId="02746F24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7D86D0D" w14:textId="77777777" w:rsidR="000D6308" w:rsidRPr="004B50D9" w:rsidRDefault="000D6308" w:rsidP="000D6308">
      <w:pPr>
        <w:pStyle w:val="SingleTxtG"/>
      </w:pPr>
      <w:r>
        <w:t>20.</w:t>
      </w:r>
      <w:r>
        <w:tab/>
        <w:t>Комитет приветствует меры, принятые государством-участником, в частности принятие Закона от 27 июня 2018 года, предусматривающего создание суда по семейным делам и проведение реформ по вопросам развода и родительских прав. Однако он обеспокоен тем, что:</w:t>
      </w:r>
    </w:p>
    <w:p w14:paraId="54DC75AC" w14:textId="77777777" w:rsidR="000D6308" w:rsidRPr="002B6797" w:rsidRDefault="000D6308" w:rsidP="000D6308">
      <w:pPr>
        <w:pStyle w:val="SingleTxtG"/>
      </w:pPr>
      <w:r>
        <w:tab/>
        <w:t>a)</w:t>
      </w:r>
      <w:r>
        <w:tab/>
        <w:t>в случаях принятия судебного решения о помещении ребенка</w:t>
      </w:r>
      <w:r>
        <w:rPr>
          <w:b/>
          <w:bCs/>
        </w:rPr>
        <w:t xml:space="preserve"> </w:t>
      </w:r>
      <w:r>
        <w:t>в специализированное учреждение</w:t>
      </w:r>
      <w:r>
        <w:rPr>
          <w:b/>
          <w:bCs/>
        </w:rPr>
        <w:t xml:space="preserve"> </w:t>
      </w:r>
      <w:r>
        <w:t>или приемную семью закон позволяет судье принимать решение о передаче родительских прав без соблюдения некоторых основных процессуальных прав родителей и детей, таких как право на правовую защиту, право на присутствие адвоката и право ребенка быть заслушанным;</w:t>
      </w:r>
    </w:p>
    <w:p w14:paraId="289B322F" w14:textId="77777777" w:rsidR="000D6308" w:rsidRPr="002B6797" w:rsidRDefault="000D6308" w:rsidP="000D6308">
      <w:pPr>
        <w:pStyle w:val="SingleTxtG"/>
      </w:pPr>
      <w:r>
        <w:lastRenderedPageBreak/>
        <w:tab/>
        <w:t>b)</w:t>
      </w:r>
      <w:r>
        <w:tab/>
        <w:t xml:space="preserve">предпочтение по-прежнему отдается помещению детей в специализированные учреждения, а число приемных семей остается низким; </w:t>
      </w:r>
    </w:p>
    <w:p w14:paraId="64E101B9" w14:textId="77777777" w:rsidR="000D6308" w:rsidRPr="002B6797" w:rsidRDefault="000D6308" w:rsidP="000D6308">
      <w:pPr>
        <w:pStyle w:val="SingleTxtG"/>
      </w:pPr>
      <w:r>
        <w:tab/>
        <w:t>c)</w:t>
      </w:r>
      <w:r>
        <w:tab/>
        <w:t>дети иногда передаются на воспитание в приемные семьи за рубежом, что создает для некоторых из них трудности в поддержании контактов со своими биологическими семьями;</w:t>
      </w:r>
    </w:p>
    <w:p w14:paraId="270C0F71" w14:textId="77777777" w:rsidR="000D6308" w:rsidRPr="002B6797" w:rsidRDefault="000D6308" w:rsidP="000D6308">
      <w:pPr>
        <w:pStyle w:val="SingleTxtG"/>
      </w:pPr>
      <w:r>
        <w:tab/>
        <w:t>d)</w:t>
      </w:r>
      <w:r>
        <w:tab/>
        <w:t xml:space="preserve">государство-участник продолжает применять практику вмешательства полиции на дому или в школе при исполнении решений суда о помещении детей в специализированные учреждения и такое помещение осуществляется без уведомления родителей. </w:t>
      </w:r>
    </w:p>
    <w:p w14:paraId="14B937D9" w14:textId="77777777" w:rsidR="000D6308" w:rsidRPr="00E21C5E" w:rsidRDefault="000D6308" w:rsidP="000D6308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</w:t>
      </w:r>
      <w:r w:rsidRPr="00E21C5E">
        <w:rPr>
          <w:b/>
          <w:bCs/>
        </w:rPr>
        <w:t>иложение), Комитет рекомендует государству-участнику:</w:t>
      </w:r>
    </w:p>
    <w:p w14:paraId="20A0327C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a)</w:t>
      </w:r>
      <w:r w:rsidRPr="00E21C5E">
        <w:rPr>
          <w:b/>
          <w:bCs/>
        </w:rPr>
        <w:tab/>
      </w:r>
      <w:r>
        <w:rPr>
          <w:b/>
          <w:bCs/>
        </w:rPr>
        <w:t>обеспечить при передаче родительских прав соблюдение основных процессуальных прав родителей и детей, таких как право на правовую защиту, право на присутствие адвоката и право ребенка быть заслушанным;</w:t>
      </w:r>
    </w:p>
    <w:p w14:paraId="3CBD90CB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b)</w:t>
      </w:r>
      <w:r>
        <w:tab/>
      </w:r>
      <w:r>
        <w:rPr>
          <w:b/>
          <w:bCs/>
        </w:rPr>
        <w:t>постепенно отказываться от помещения детей в специализированные учреждения и по возможности поощрять практику ухода за детьми в семье, а также укреплять систему патронатного воспитания детей, которые не могут оставаться в своих семьях, с целью сокращения числа случаев передачи детей в</w:t>
      </w:r>
      <w:r w:rsidRPr="003E7535">
        <w:rPr>
          <w:b/>
          <w:bCs/>
        </w:rPr>
        <w:t xml:space="preserve"> </w:t>
      </w:r>
      <w:r>
        <w:rPr>
          <w:b/>
          <w:bCs/>
        </w:rPr>
        <w:t>специализированные учреждения;</w:t>
      </w:r>
      <w:r>
        <w:t xml:space="preserve"> </w:t>
      </w:r>
    </w:p>
    <w:p w14:paraId="4F689C1A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c)</w:t>
      </w:r>
      <w:r>
        <w:tab/>
      </w:r>
      <w:r>
        <w:rPr>
          <w:b/>
          <w:bCs/>
        </w:rPr>
        <w:t>принять меры по подготовке и поддержке членов расширенных семей, решивших взять ребенка на воспитание;</w:t>
      </w:r>
    </w:p>
    <w:p w14:paraId="7B3981E9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наличие надлежащих гарантий и четких критериев при определении необходимости разлучения детей с родителями и принять меры к тому, чтобы это происходило только в тех случаях, когда это отвечает наилучшим интересам ребенка;</w:t>
      </w:r>
    </w:p>
    <w:p w14:paraId="6839BA22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e)</w:t>
      </w:r>
      <w:r>
        <w:tab/>
      </w:r>
      <w:r>
        <w:rPr>
          <w:b/>
          <w:bCs/>
        </w:rPr>
        <w:t>обеспечить оказание родителям достаточной поддержки с тем, чтобы они могли участвовать в жизни своих детей и чтобы дети, помещенные в условия альтернативного ухода, могли воссоединиться со своими семьями;</w:t>
      </w:r>
    </w:p>
    <w:p w14:paraId="09A6992D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f)</w:t>
      </w:r>
      <w:r>
        <w:tab/>
      </w:r>
      <w:r>
        <w:rPr>
          <w:b/>
          <w:bCs/>
        </w:rPr>
        <w:t>обеспечить периодический пересмотр решений о передаче детей в систему патронатного воспитания и помещении их в</w:t>
      </w:r>
      <w:r w:rsidRPr="008B0D24">
        <w:rPr>
          <w:b/>
          <w:bCs/>
        </w:rPr>
        <w:t xml:space="preserve"> </w:t>
      </w:r>
      <w:r>
        <w:rPr>
          <w:b/>
          <w:bCs/>
        </w:rPr>
        <w:t>специализированные учреждения и контролировать качество ухода за детьми в этих условиях, в частности путем создания доступных каналов для информирования о случаях ненадлежащего обращения с детьми, их мониторинга и устранения;</w:t>
      </w:r>
    </w:p>
    <w:p w14:paraId="574EF943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g)</w:t>
      </w:r>
      <w:r w:rsidRPr="00E21C5E">
        <w:rPr>
          <w:b/>
          <w:bCs/>
        </w:rPr>
        <w:tab/>
      </w:r>
      <w:r>
        <w:rPr>
          <w:b/>
          <w:bCs/>
        </w:rPr>
        <w:t>принять меры к тому, чтобы дети передавались на воспитание в приемные семьи, проживающие на территории государства-участника и в непосредственной близости от их биологических семей;</w:t>
      </w:r>
    </w:p>
    <w:p w14:paraId="0BBD55BC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h)</w:t>
      </w:r>
      <w:r>
        <w:tab/>
      </w:r>
      <w:r>
        <w:rPr>
          <w:b/>
          <w:bCs/>
        </w:rPr>
        <w:t>обеспечить заблаговременное информирование детей и родителей о передаче ребенка в специализированное учреждение или приемную семью, а также подготовку ребенка к новой среде.</w:t>
      </w:r>
      <w:r>
        <w:t xml:space="preserve"> </w:t>
      </w:r>
    </w:p>
    <w:p w14:paraId="798ED154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  <w:t>F.</w:t>
      </w:r>
      <w:r>
        <w:tab/>
      </w:r>
      <w:r>
        <w:rPr>
          <w:bCs/>
        </w:rPr>
        <w:t>Дети-инвалиды (ст. 23)</w:t>
      </w:r>
      <w:r>
        <w:t xml:space="preserve"> </w:t>
      </w:r>
    </w:p>
    <w:p w14:paraId="77018104" w14:textId="30950C4F" w:rsidR="000D6308" w:rsidRPr="00DC7ABC" w:rsidRDefault="000D6308" w:rsidP="000D6308">
      <w:pPr>
        <w:pStyle w:val="SingleTxtG"/>
      </w:pPr>
      <w:r>
        <w:t>22.</w:t>
      </w:r>
      <w:r>
        <w:tab/>
        <w:t>Комитет приветствует меры, принятые государством-участником во время пандемии COVID-19 для оказания поддержки семьям с детьми-инвалидами. Он</w:t>
      </w:r>
      <w:r w:rsidR="00E21C5E">
        <w:rPr>
          <w:lang w:val="fr-CH"/>
        </w:rPr>
        <w:t> </w:t>
      </w:r>
      <w:r>
        <w:t>принимает к сведению Закон от 20 июля 2018 года, предусматривающий создание девяти экспертных центров психопедагогики, специализирующихся на инклюзивном образовании, но по-прежнему обеспокоен недостаточным уровнем профессиональной подготовки по вопросам интеграции. Он обеспокоен также тем, что:</w:t>
      </w:r>
    </w:p>
    <w:p w14:paraId="0FBF8040" w14:textId="77777777" w:rsidR="000D6308" w:rsidRPr="002B6797" w:rsidRDefault="000D6308" w:rsidP="000D6308">
      <w:pPr>
        <w:pStyle w:val="SingleTxtG"/>
      </w:pPr>
      <w:r>
        <w:tab/>
        <w:t>a)</w:t>
      </w:r>
      <w:r>
        <w:tab/>
        <w:t xml:space="preserve">девочки-инвалиды по-прежнему подвержены высокому риску столкнуться с множеством форм дискриминации и стать жертвами гендерного </w:t>
      </w:r>
      <w:r>
        <w:lastRenderedPageBreak/>
        <w:t>насилия, включая домашнее насилие и сексуальную эксплуатацию, и им непросто сообщать о таких случаях;</w:t>
      </w:r>
    </w:p>
    <w:p w14:paraId="40A7CC39" w14:textId="77777777" w:rsidR="000D6308" w:rsidRPr="002B6797" w:rsidRDefault="000D6308" w:rsidP="000D6308">
      <w:pPr>
        <w:pStyle w:val="SingleTxtG"/>
      </w:pPr>
      <w:r>
        <w:tab/>
        <w:t>b)</w:t>
      </w:r>
      <w:r>
        <w:tab/>
        <w:t>несмотря на принятие конструктивных мер, поощряющих использование контрацептивов сексуально активными подростками с инвалидностью, политика в отношении принудительной стерилизации детей-инвалидов четко не сформулирована;</w:t>
      </w:r>
    </w:p>
    <w:p w14:paraId="005290A9" w14:textId="77777777" w:rsidR="000D6308" w:rsidRPr="002B6797" w:rsidRDefault="000D6308" w:rsidP="000D6308">
      <w:pPr>
        <w:pStyle w:val="SingleTxtG"/>
      </w:pPr>
      <w:r>
        <w:tab/>
        <w:t>c)</w:t>
      </w:r>
      <w:r>
        <w:tab/>
        <w:t xml:space="preserve">наблюдается нехватка квалифицированных и подготовленных специалистов, в том числе логопедов, детских психиатров-диагностов, психомоторных терапевтов и эрготерапевтов; </w:t>
      </w:r>
    </w:p>
    <w:p w14:paraId="7A8450B9" w14:textId="77777777" w:rsidR="000D6308" w:rsidRPr="002B6797" w:rsidRDefault="000D6308" w:rsidP="000D6308">
      <w:pPr>
        <w:pStyle w:val="SingleTxtG"/>
      </w:pPr>
      <w:r>
        <w:tab/>
        <w:t>d)</w:t>
      </w:r>
      <w:r>
        <w:tab/>
        <w:t>Национальный план действий по осуществлению Конвенции о правах инвалидов на 2019–2024 годы ориентирован на интеграцию в рамках неформального образования, но не предусматривает мер по интеграции в систему формального образования;</w:t>
      </w:r>
    </w:p>
    <w:p w14:paraId="4119C54A" w14:textId="77777777" w:rsidR="000D6308" w:rsidRPr="002B6797" w:rsidRDefault="000D6308" w:rsidP="000D6308">
      <w:pPr>
        <w:pStyle w:val="SingleTxtG"/>
      </w:pPr>
      <w:r>
        <w:tab/>
        <w:t>e)</w:t>
      </w:r>
      <w:r>
        <w:tab/>
        <w:t>обеспечение разумного приспособления представляет собой длительный процесс, связанный с очень сложными административными процедурами, и предусмотренные меры не всегда</w:t>
      </w:r>
      <w:r w:rsidRPr="00B31293">
        <w:t xml:space="preserve"> </w:t>
      </w:r>
      <w:r>
        <w:t>реализуются;</w:t>
      </w:r>
    </w:p>
    <w:p w14:paraId="14B28852" w14:textId="77777777" w:rsidR="000D6308" w:rsidRPr="002B6797" w:rsidRDefault="000D6308" w:rsidP="000D6308">
      <w:pPr>
        <w:pStyle w:val="SingleTxtG"/>
      </w:pPr>
      <w:r>
        <w:tab/>
        <w:t>f)</w:t>
      </w:r>
      <w:r>
        <w:tab/>
        <w:t>детям-инвалидам не предоставляют возможности напрямую выражать свое мнение по затрагивающим их вопросам и мнения их родителей часто не учитываются.</w:t>
      </w:r>
    </w:p>
    <w:p w14:paraId="20245C80" w14:textId="6105ECFE" w:rsidR="000D6308" w:rsidRPr="002B6797" w:rsidRDefault="000D6308" w:rsidP="000D6308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Ссылаясь на свое замечание общего порядка № 9 (2006) о правах </w:t>
      </w:r>
      <w:r w:rsidR="00E21C5E">
        <w:rPr>
          <w:b/>
          <w:bCs/>
        </w:rPr>
        <w:br/>
      </w:r>
      <w:r>
        <w:rPr>
          <w:b/>
          <w:bCs/>
        </w:rPr>
        <w:t>детей-инвалидов, Комитет настоятельно призывает государство-участник придерживаться правозащитного подхода к проблеме инвалидности, разработать комплексную стратегию по интеграции детей-инвалидов и:</w:t>
      </w:r>
    </w:p>
    <w:p w14:paraId="2DFD6282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a)</w:t>
      </w:r>
      <w:r>
        <w:tab/>
      </w:r>
      <w:r>
        <w:rPr>
          <w:b/>
          <w:bCs/>
        </w:rPr>
        <w:t>искоренить все формы дискриминации в отношении детей-инвалидов в любых условиях;</w:t>
      </w:r>
    </w:p>
    <w:p w14:paraId="6CB8DE0E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b)</w:t>
      </w:r>
      <w:r>
        <w:tab/>
      </w:r>
      <w:r>
        <w:rPr>
          <w:b/>
          <w:bCs/>
        </w:rPr>
        <w:t>разработать комплексные меры по развитию инклюзивного образования и организовать подготовку профильных преподавателей и специалистов для их направления на работу со смешанными классами, в которых дети, испытывающие трудности с обучением, могут получить индивидуальную помощь и все необходимое им внимание;</w:t>
      </w:r>
    </w:p>
    <w:p w14:paraId="0B2BAE35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c)</w:t>
      </w:r>
      <w:r>
        <w:tab/>
      </w:r>
      <w:r>
        <w:rPr>
          <w:b/>
          <w:bCs/>
        </w:rPr>
        <w:t>принимать меры по выявлению, предотвращению и пресечению насилия в отношении детей-инвалидов, особенно девочек-инвалидов, а также обеспечивать сбор и публикацию дезагрегированных статистических данных о распространенности такого насилия;</w:t>
      </w:r>
    </w:p>
    <w:p w14:paraId="25C6E91E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наличие согласующейся с правами человека политики по предотвращению принудительной стерилизации и подготовку соответствующих специалистов для реализации этой политики;</w:t>
      </w:r>
    </w:p>
    <w:p w14:paraId="5AE9F0C6" w14:textId="3B61B240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e)</w:t>
      </w:r>
      <w:r>
        <w:tab/>
      </w:r>
      <w:r>
        <w:rPr>
          <w:b/>
          <w:bCs/>
        </w:rPr>
        <w:t xml:space="preserve">принять незамедлительные меры для обеспечения доступа </w:t>
      </w:r>
      <w:r w:rsidR="00E21C5E">
        <w:rPr>
          <w:b/>
          <w:bCs/>
        </w:rPr>
        <w:br/>
      </w:r>
      <w:r>
        <w:rPr>
          <w:b/>
          <w:bCs/>
        </w:rPr>
        <w:t>детей-инвалидов к медицинскому обслуживанию, в том числе к программам ранней диагностики и медицинского вмешательства, а также к помощи таких специалистов, как логопеды, детские психиатры-диагносты, психомоторные терапевты и эрготерапевты;</w:t>
      </w:r>
    </w:p>
    <w:p w14:paraId="5BC6C3B4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f)</w:t>
      </w:r>
      <w:r>
        <w:tab/>
      </w:r>
      <w:r>
        <w:rPr>
          <w:b/>
          <w:bCs/>
        </w:rPr>
        <w:t>принять все необходимые меры для обеспечения детям-инвалидам разумного приспособления во всех условиях, в том числе в школе и в досуговых центрах.</w:t>
      </w:r>
    </w:p>
    <w:p w14:paraId="734EC02E" w14:textId="2E002342" w:rsidR="000D6308" w:rsidRPr="002B6797" w:rsidRDefault="000D6308" w:rsidP="000D6308">
      <w:pPr>
        <w:pStyle w:val="H1G"/>
        <w:rPr>
          <w:rFonts w:eastAsiaTheme="minorEastAsia"/>
        </w:rPr>
      </w:pPr>
      <w:r>
        <w:tab/>
        <w:t>G.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 w:rsidR="00E21C5E">
        <w:rPr>
          <w:bCs/>
        </w:rPr>
        <w:br/>
      </w:r>
      <w:r>
        <w:rPr>
          <w:bCs/>
        </w:rPr>
        <w:t>(ст. 6, 18 (п. 3), 24, 26, 27 (пп. 1–3) и 33)</w:t>
      </w:r>
    </w:p>
    <w:p w14:paraId="2F2FA537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51E1F63D" w14:textId="565564EE" w:rsidR="000D6308" w:rsidRPr="002B6797" w:rsidRDefault="000D6308" w:rsidP="000D6308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Принимая во внимание задачу 3.4 Целей в области устойчивого развития и приветствуя Национальный план по профилактике самоубийств на </w:t>
      </w:r>
      <w:r w:rsidR="00E21C5E">
        <w:rPr>
          <w:b/>
          <w:bCs/>
        </w:rPr>
        <w:br/>
      </w:r>
      <w:r>
        <w:rPr>
          <w:b/>
          <w:bCs/>
        </w:rPr>
        <w:t xml:space="preserve">2015–2019 годы и дополнительные меры, принятые в 2020 году в условиях </w:t>
      </w:r>
      <w:r>
        <w:rPr>
          <w:b/>
          <w:bCs/>
        </w:rPr>
        <w:lastRenderedPageBreak/>
        <w:t>пандемии COVID-19, Комитет рекомендует государству-участнику провести оценку выполнения плана и разработать новый план, в котором будут учтены результаты такой оценки.</w:t>
      </w:r>
      <w:r>
        <w:t xml:space="preserve"> </w:t>
      </w:r>
      <w:r>
        <w:rPr>
          <w:b/>
          <w:bCs/>
        </w:rPr>
        <w:t>При этом государству-участнику следует обеспечить предоставление родителям и специалистам, работающим с детьми или в их интересах, достаточных людских, технических и финансовых ресурсов в целях решения проблемы самоубийств и устранения ее коренных причин.</w:t>
      </w:r>
      <w:r>
        <w:t xml:space="preserve"> </w:t>
      </w:r>
      <w:r>
        <w:rPr>
          <w:b/>
          <w:bCs/>
        </w:rPr>
        <w:t>Он также рекомендует государству-участнику принять меры для того, чтобы дети с поведенческими расстройствами, а также их родители и учителя имели доступ к широкому спектру психологических и образовательных услуг.</w:t>
      </w:r>
    </w:p>
    <w:p w14:paraId="64B05208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5B47EEDF" w14:textId="77777777" w:rsidR="000D6308" w:rsidRPr="002B6797" w:rsidRDefault="000D6308" w:rsidP="000D6308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и свое замечание общего порядка № 20 (2016) об осуществлении прав ребенка в подростковом возрасте, Комитет рекомендует государству-участнику принять меры по подготовке медицинских специалистов и привлечению их к работе, особенно с учащимися старших классов средней школы.</w:t>
      </w:r>
    </w:p>
    <w:p w14:paraId="71A3C56A" w14:textId="77777777" w:rsidR="000D6308" w:rsidRPr="00030DA9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Уровень жизни</w:t>
      </w:r>
    </w:p>
    <w:p w14:paraId="32D95CA2" w14:textId="77777777" w:rsidR="000D6308" w:rsidRPr="002B6797" w:rsidRDefault="000D6308" w:rsidP="000D6308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приветствует меры, принятые государством-участником, в частности Закон о схеме доходов в рамках социальной интеграции от 28 июля 2018 года, предусматривающий замену системы гарантированного минимального дохода, реформу системы отпуска по уходу за ребенком, нововведения в сфере пособий и другие меры, направленные на борьбу с нищетой, включая обеспечение доступного по цене питания для учащихся средней школы и бесплатного питания для детей, ищущих убежище.</w:t>
      </w:r>
      <w:r>
        <w:t xml:space="preserve"> </w:t>
      </w:r>
      <w:r>
        <w:rPr>
          <w:b/>
          <w:bCs/>
        </w:rPr>
        <w:t>Будучи обеспокоен тем, что уровень нищеты среди детей остается выше, чем среди населения в целом, и продолжает расти, особенно среди детей в семьях с одним родителем и детей иммигрантов, детей без вида на жительство и детей родителей, затронутых безработицей и/или имеющих низкий уровень образования, Комитет обращает внимание на задачу 1.3 Целей в области устойчивого развития и рекомендует государству-участнику:</w:t>
      </w:r>
      <w:r>
        <w:t xml:space="preserve"> </w:t>
      </w:r>
    </w:p>
    <w:p w14:paraId="57C386B2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a)</w:t>
      </w:r>
      <w:r>
        <w:tab/>
      </w:r>
      <w:r>
        <w:rPr>
          <w:b/>
          <w:bCs/>
        </w:rPr>
        <w:t>подтвердить свою приверженность искоренению детской нищеты, в том числе путем принятия национального плана действий и мер по устранению коренных причин такой нищеты;</w:t>
      </w:r>
      <w:r>
        <w:t xml:space="preserve"> </w:t>
      </w:r>
    </w:p>
    <w:p w14:paraId="03133E53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b)</w:t>
      </w:r>
      <w:r>
        <w:tab/>
      </w:r>
      <w:r>
        <w:rPr>
          <w:b/>
          <w:bCs/>
        </w:rPr>
        <w:t>принять адресные меры и обеспечить необходимую финансовую поддержку и предоставление бесплатных и доступных услуг без дискриминации;</w:t>
      </w:r>
      <w:r>
        <w:t xml:space="preserve"> </w:t>
      </w:r>
    </w:p>
    <w:p w14:paraId="144A9999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c)</w:t>
      </w:r>
      <w:r>
        <w:tab/>
      </w:r>
      <w:r>
        <w:rPr>
          <w:b/>
          <w:bCs/>
        </w:rPr>
        <w:t>принять все необходимые меры для обеспечения детям надлежащей поддержки и внимания в период после пандемии COVID-19, с тем чтобы смягчить ее негативные социально-экономические последствия для детей.</w:t>
      </w:r>
      <w:r>
        <w:t xml:space="preserve"> </w:t>
      </w:r>
    </w:p>
    <w:p w14:paraId="0CF332D7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  <w:t>H.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68F22BAF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2D82C0A7" w14:textId="77777777" w:rsidR="000D6308" w:rsidRPr="002B6797" w:rsidRDefault="000D6308" w:rsidP="000D6308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приветствует формирование в некоторых школах франкоязычных и/или англоязычных классов для учащихся старшей ступени, а также создание первой государственной и бесплатной международной школы в Дифферданже.</w:t>
      </w:r>
      <w:r>
        <w:t xml:space="preserve"> </w:t>
      </w:r>
      <w:r>
        <w:rPr>
          <w:b/>
          <w:bCs/>
        </w:rPr>
        <w:t>Он также приветствует реализацию программ посредничества в школах, нацеленных на предотвращение насилия среди детей, рассмотрение жалоб и предоставление рекомендаций.</w:t>
      </w:r>
      <w:r>
        <w:t xml:space="preserve"> </w:t>
      </w:r>
      <w:r>
        <w:rPr>
          <w:b/>
          <w:bCs/>
        </w:rPr>
        <w:t>С учетом задачи 4.1 Целей в области устойчивого развития Комитет рекомендует государству-участнику:</w:t>
      </w:r>
      <w:r>
        <w:t xml:space="preserve"> </w:t>
      </w:r>
    </w:p>
    <w:p w14:paraId="0C25859C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a)</w:t>
      </w:r>
      <w:r>
        <w:tab/>
      </w:r>
      <w:r>
        <w:rPr>
          <w:b/>
          <w:bCs/>
        </w:rPr>
        <w:t>принимать дальнейшие меры по устранению неравенства, обусловленного кризисом COVID-19, в контексте домашнего обучения, в том числе путем обеспечения, среди прочего, наличия компьютерного оборудования и надлежащего доступа к Интернету;</w:t>
      </w:r>
    </w:p>
    <w:p w14:paraId="16837B54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lastRenderedPageBreak/>
        <w:tab/>
        <w:t>b)</w:t>
      </w:r>
      <w:r>
        <w:tab/>
      </w:r>
      <w:r>
        <w:rPr>
          <w:b/>
          <w:bCs/>
        </w:rPr>
        <w:t>продолжать выделять необходимые ресурсы в интересах улучшения и/или расширения материальной базы</w:t>
      </w:r>
      <w:r w:rsidRPr="00030DA9">
        <w:rPr>
          <w:b/>
          <w:bCs/>
        </w:rPr>
        <w:t xml:space="preserve"> </w:t>
      </w:r>
      <w:r>
        <w:rPr>
          <w:b/>
          <w:bCs/>
        </w:rPr>
        <w:t>школьного образования и возможностей для обеспечения права всех детей, включая детей трудящихся-мигрантов, детей из числа просителей убежища и беженцев, на доступ к качественному образованию в государстве-участнике;</w:t>
      </w:r>
    </w:p>
    <w:p w14:paraId="4D1F0E32" w14:textId="77777777" w:rsidR="000D6308" w:rsidRPr="002B6797" w:rsidRDefault="000D6308" w:rsidP="000D6308">
      <w:pPr>
        <w:pStyle w:val="SingleTxtG"/>
        <w:rPr>
          <w:b/>
          <w:bCs/>
        </w:rPr>
      </w:pPr>
      <w:r w:rsidRPr="00E21C5E">
        <w:rPr>
          <w:b/>
          <w:bCs/>
        </w:rPr>
        <w:tab/>
        <w:t>c)</w:t>
      </w:r>
      <w:r>
        <w:tab/>
      </w:r>
      <w:r>
        <w:rPr>
          <w:b/>
          <w:bCs/>
        </w:rPr>
        <w:t>продолжать усилия по недопущению того, чтобы языковой барьер становился препятствием для получения образования, в том числе путем организации дополнительных занятий и подготовительных отделений для оказания помощи детям и их семьям в изучении языков;</w:t>
      </w:r>
    </w:p>
    <w:p w14:paraId="3B707559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E21C5E">
        <w:rPr>
          <w:b/>
          <w:bCs/>
        </w:rPr>
        <w:t>d)</w:t>
      </w:r>
      <w:r>
        <w:tab/>
      </w:r>
      <w:r>
        <w:rPr>
          <w:b/>
          <w:bCs/>
        </w:rPr>
        <w:t>продолжать усилия по снижению показателей отсева и исключения из школы, а также повышать осведомленность об услугах, которые могут получить</w:t>
      </w:r>
      <w:r w:rsidRPr="0019620B">
        <w:rPr>
          <w:b/>
          <w:bCs/>
        </w:rPr>
        <w:t xml:space="preserve"> </w:t>
      </w:r>
      <w:r>
        <w:rPr>
          <w:b/>
          <w:bCs/>
        </w:rPr>
        <w:t>дети и их семьи, в частности об услугах школьного посредничества, и выполнять соответствующие рекомендации школьных посредников.</w:t>
      </w:r>
    </w:p>
    <w:p w14:paraId="6452A15C" w14:textId="250DE304" w:rsidR="000D6308" w:rsidRPr="002B6797" w:rsidRDefault="000D6308" w:rsidP="000D6308">
      <w:pPr>
        <w:pStyle w:val="H1G"/>
        <w:rPr>
          <w:rFonts w:eastAsiaTheme="minorEastAsia"/>
        </w:rPr>
      </w:pPr>
      <w:r>
        <w:tab/>
        <w:t>I.</w:t>
      </w:r>
      <w:r>
        <w:tab/>
      </w:r>
      <w:r>
        <w:rPr>
          <w:bCs/>
        </w:rPr>
        <w:t xml:space="preserve">Особые меры защиты (ст. 22, 30, 32, 33, 35, 36, 37 (пп. b)–d)) </w:t>
      </w:r>
      <w:r w:rsidR="00E21C5E">
        <w:rPr>
          <w:bCs/>
        </w:rPr>
        <w:br/>
      </w:r>
      <w:r>
        <w:rPr>
          <w:bCs/>
        </w:rPr>
        <w:t>и 38–40)</w:t>
      </w:r>
    </w:p>
    <w:p w14:paraId="510531F1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4F59DD7D" w14:textId="20CAE127" w:rsidR="000D6308" w:rsidRPr="00A25EE0" w:rsidRDefault="000D6308" w:rsidP="000D6308">
      <w:pPr>
        <w:pStyle w:val="SingleTxtG"/>
      </w:pPr>
      <w:r>
        <w:t>28.</w:t>
      </w:r>
      <w:r>
        <w:tab/>
        <w:t xml:space="preserve">Комитет приветствует коалиционное соглашение правительства на </w:t>
      </w:r>
      <w:r w:rsidR="00E21C5E">
        <w:br/>
      </w:r>
      <w:r>
        <w:t xml:space="preserve">2018–2023 годы, в котором подтверждается приверженность наилучшему обеспечению интересов несопровождаемых и разлученных детей </w:t>
      </w:r>
      <w:r w:rsidRPr="00A25EE0">
        <w:t>—</w:t>
      </w:r>
      <w:r>
        <w:t xml:space="preserve"> просителей убежища как одному из важнейших соображений, подлежащих учету на протяжении всей процедуры предоставления убежища. Он также приветствует значительную поддержку, оказанную государством-участником в области переселения несопровождаемых детей в 2020 и 2021 годах, и с удовлетворением отмечает создание консультативной комиссии по оценке наилучших интересов несопровождаемых детей. Однако Комитет обеспокоен тем, что: </w:t>
      </w:r>
    </w:p>
    <w:p w14:paraId="4592F6AD" w14:textId="77777777" w:rsidR="000D6308" w:rsidRPr="002B6797" w:rsidRDefault="000D6308" w:rsidP="000D6308">
      <w:pPr>
        <w:pStyle w:val="SingleTxtG"/>
      </w:pPr>
      <w:r>
        <w:tab/>
        <w:t>a)</w:t>
      </w:r>
      <w:r>
        <w:tab/>
        <w:t>законодательство государства-участника в области иммиграции и предоставления убежища при определенных условиях и в определенных обстоятельствах допускает возможность помещения детей под стражу;</w:t>
      </w:r>
    </w:p>
    <w:p w14:paraId="320E24C3" w14:textId="77777777" w:rsidR="000D6308" w:rsidRPr="002B6797" w:rsidRDefault="000D6308" w:rsidP="000D6308">
      <w:pPr>
        <w:pStyle w:val="SingleTxtG"/>
      </w:pPr>
      <w:r>
        <w:tab/>
        <w:t>b)</w:t>
      </w:r>
      <w:r>
        <w:tab/>
        <w:t xml:space="preserve">максимальная продолжительность содержания под стражей семей с детьми была увеличена с трех до семи дней; </w:t>
      </w:r>
    </w:p>
    <w:p w14:paraId="63A5257A" w14:textId="77777777" w:rsidR="000D6308" w:rsidRPr="002B6797" w:rsidRDefault="000D6308" w:rsidP="000D6308">
      <w:pPr>
        <w:pStyle w:val="SingleTxtG"/>
      </w:pPr>
      <w:r>
        <w:tab/>
        <w:t>c)</w:t>
      </w:r>
      <w:r>
        <w:tab/>
        <w:t>при исполнении решений о высылке нарушаются права и ущемляется достоинство детей, в частности когда это происходит в школе;</w:t>
      </w:r>
    </w:p>
    <w:p w14:paraId="519BB4F4" w14:textId="77777777" w:rsidR="000D6308" w:rsidRPr="002B6797" w:rsidRDefault="000D6308" w:rsidP="000D6308">
      <w:pPr>
        <w:pStyle w:val="SingleTxtG"/>
      </w:pPr>
      <w:r>
        <w:tab/>
        <w:t>d)</w:t>
      </w:r>
      <w:r>
        <w:tab/>
        <w:t xml:space="preserve">пункт 4 статьи 20 закона об убежище разрешает проведение медицинских исследований, в том числе анализа структуры костной ткани, который был признан ненадежным методом для определения возраста лиц, ищущих убежище; </w:t>
      </w:r>
    </w:p>
    <w:p w14:paraId="5D79C33D" w14:textId="77777777" w:rsidR="000D6308" w:rsidRPr="002B6797" w:rsidRDefault="000D6308" w:rsidP="000D6308">
      <w:pPr>
        <w:pStyle w:val="SingleTxtG"/>
      </w:pPr>
      <w:r>
        <w:tab/>
        <w:t>e)</w:t>
      </w:r>
      <w:r>
        <w:tab/>
        <w:t>консультативная комиссия, ответственная за определение наилучших интересов ребенка в контексте возвращения несопровождаемых детей, не является независимой или нейтральной и состоит из должностных лиц, ответственных за осуществление возвращения;</w:t>
      </w:r>
    </w:p>
    <w:p w14:paraId="2343E9C2" w14:textId="77777777" w:rsidR="000D6308" w:rsidRPr="002B6797" w:rsidRDefault="000D6308" w:rsidP="000D6308">
      <w:pPr>
        <w:pStyle w:val="SingleTxtG"/>
      </w:pPr>
      <w:r>
        <w:tab/>
        <w:t>f)</w:t>
      </w:r>
      <w:r>
        <w:tab/>
        <w:t>по всей видимости, отсутствует система обеспечения надлежащего ухода за несопровождаемыми детьми, которые не обращаются за международной защитой;</w:t>
      </w:r>
    </w:p>
    <w:p w14:paraId="7F6B6ED8" w14:textId="77777777" w:rsidR="000D6308" w:rsidRPr="002B6797" w:rsidRDefault="000D6308" w:rsidP="000D6308">
      <w:pPr>
        <w:pStyle w:val="SingleTxtG"/>
      </w:pPr>
      <w:r>
        <w:tab/>
        <w:t>g)</w:t>
      </w:r>
      <w:r>
        <w:tab/>
        <w:t xml:space="preserve">несопровождаемые дети могут несколько раз переводиться из одного пункта размещения в другой, причем иногда их размещают вместе со взрослыми, прежде чем они будут направлены в специализированные центры приема несопровождаемых детей, что в ряде случаев происходит без их предварительного согласия. </w:t>
      </w:r>
    </w:p>
    <w:p w14:paraId="57885D96" w14:textId="06840DDB" w:rsidR="000D6308" w:rsidRPr="002B6797" w:rsidRDefault="000D6308" w:rsidP="000D6308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Ссылаясь на свое замечание общего порядка № 6 (2005) об обращении с несопровождаемыми и разлученными детьми за пределами страны их происхождения, а также совместные замечания общего порядка № 3 и № 4 (2017) Комитета по защите прав всех трудящихся-мигрантов и членов их семей/№ 22 и № 23 (2017) Комитета по правам ребенка о правах человека детей в контексте </w:t>
      </w:r>
      <w:r>
        <w:rPr>
          <w:b/>
          <w:bCs/>
        </w:rPr>
        <w:lastRenderedPageBreak/>
        <w:t>международной миграции, Комитет настоятельно призывает государство-участник незамедлительно:</w:t>
      </w:r>
    </w:p>
    <w:p w14:paraId="257B2CEB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a)</w:t>
      </w:r>
      <w:r w:rsidRPr="00A1587A">
        <w:rPr>
          <w:b/>
          <w:bCs/>
        </w:rPr>
        <w:tab/>
      </w:r>
      <w:r>
        <w:rPr>
          <w:b/>
          <w:bCs/>
        </w:rPr>
        <w:t>обеспечить использование не связанных с лишением свободы подходов в отношении несопровождаемых детей или детей с семьями, включая патронатное воспитание и размещение в открытых специализированных центрах приема;</w:t>
      </w:r>
    </w:p>
    <w:p w14:paraId="0176FCA8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b)</w:t>
      </w:r>
      <w:r>
        <w:tab/>
      </w:r>
      <w:r>
        <w:rPr>
          <w:b/>
          <w:bCs/>
        </w:rPr>
        <w:t xml:space="preserve">проявлять большую осторожность в дальнейшей работе, связанной с высылкой семей с детьми, которые посещают школу; </w:t>
      </w:r>
    </w:p>
    <w:p w14:paraId="4CC75EDF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c)</w:t>
      </w:r>
      <w:r>
        <w:tab/>
      </w:r>
      <w:r>
        <w:rPr>
          <w:b/>
          <w:bCs/>
        </w:rPr>
        <w:t>разработать стандартный протокол методов определения возраста, который должен быть междисциплинарным, надежным и ориентированным на уважение прав детей и должен использоваться исключительно в случае наличия серьезных сомнений в отношении заявленного возраста;</w:t>
      </w:r>
      <w:r>
        <w:t xml:space="preserve"> </w:t>
      </w:r>
      <w:r>
        <w:rPr>
          <w:b/>
          <w:bCs/>
        </w:rPr>
        <w:t>применять принцип толкования сомнений в пользу ребенка в случае сохраняющейся неопределенности;</w:t>
      </w:r>
      <w:r>
        <w:t xml:space="preserve"> </w:t>
      </w:r>
      <w:r>
        <w:rPr>
          <w:b/>
          <w:bCs/>
        </w:rPr>
        <w:t>принимать во внимание имеющиеся документальные или иные доказательства, а также обеспечивать доступ к эффективным механизмам обжалования;</w:t>
      </w:r>
    </w:p>
    <w:p w14:paraId="178F6071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d)</w:t>
      </w:r>
      <w:r>
        <w:tab/>
      </w:r>
      <w:r>
        <w:rPr>
          <w:b/>
          <w:bCs/>
        </w:rPr>
        <w:t>укрепить потенциал органов власти в области определения и учета наилучших интересов ребенка в процедурах, связанных с предоставлением убежища и миграцией, в том числе в рамках «дублинских» дел, и принять меры к тому, чтобы консультативная комиссия по оценке наилучших интересов несопровождаемых детей стала независимым междисциплинарным органом, обладающим полномочиями для принятия решений и включающим представителей неправительственных организаций и компетентных органов по вопросам несопровождаемых детей-мигрантов, а также обеспечить таким детям доступ к эффективным механизмам обжалования;</w:t>
      </w:r>
    </w:p>
    <w:p w14:paraId="72737C4E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e)</w:t>
      </w:r>
      <w:r>
        <w:tab/>
      </w:r>
      <w:r>
        <w:rPr>
          <w:b/>
          <w:bCs/>
        </w:rPr>
        <w:t>предусмотреть для несопровождаемых детей, которые не обращаются за международной защитой, особые условия, направленные на защиту их интересов и предполагающие, в частности, предоставление им долгосрочных решений;</w:t>
      </w:r>
    </w:p>
    <w:p w14:paraId="5374B173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f)</w:t>
      </w:r>
      <w:r>
        <w:tab/>
      </w:r>
      <w:r>
        <w:rPr>
          <w:b/>
          <w:bCs/>
        </w:rPr>
        <w:t>выделить необходимые ресурсы для предотвращения совместного размещения несопровождаемых детей в центрах со взрослыми и сведения к минимуму числа перемещений между пунктами размещения для каждого ребенка.</w:t>
      </w:r>
    </w:p>
    <w:p w14:paraId="3EC85F05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7F21F48" w14:textId="77777777" w:rsidR="000D6308" w:rsidRPr="00302A0D" w:rsidRDefault="000D6308" w:rsidP="000D6308">
      <w:pPr>
        <w:pStyle w:val="SingleTxtG"/>
      </w:pPr>
      <w:r>
        <w:t>30.</w:t>
      </w:r>
      <w:r>
        <w:tab/>
        <w:t>Комитет принимает к сведению информацию государства-участника о том, что готовится новый законопроект, который заменит законопроект № 7276 о защите ребенка при отправлении правосудия в отношении детей. Однако Комитет обеспокоен тем, что:</w:t>
      </w:r>
    </w:p>
    <w:p w14:paraId="0EA6C62E" w14:textId="77777777" w:rsidR="000D6308" w:rsidRPr="002B6797" w:rsidRDefault="000D6308" w:rsidP="000D6308">
      <w:pPr>
        <w:pStyle w:val="SingleTxtG"/>
      </w:pPr>
      <w:r>
        <w:tab/>
        <w:t>a)</w:t>
      </w:r>
      <w:r>
        <w:tab/>
        <w:t>дела детей старше 16 лет могут передаваться на рассмотрение в обычные суды и в некоторых случаях адвоката ребенку назначает судья;</w:t>
      </w:r>
    </w:p>
    <w:p w14:paraId="2F0D8EF4" w14:textId="77777777" w:rsidR="000D6308" w:rsidRPr="002B6797" w:rsidRDefault="000D6308" w:rsidP="000D6308">
      <w:pPr>
        <w:pStyle w:val="SingleTxtG"/>
      </w:pPr>
      <w:r>
        <w:tab/>
        <w:t>b)</w:t>
      </w:r>
      <w:r>
        <w:tab/>
        <w:t>в законодательстве по защите ребенка не проводится различий между детьми, ставшими жертвами преступлений, и детьми, находящимися в конфликте с законом;</w:t>
      </w:r>
    </w:p>
    <w:p w14:paraId="363201FB" w14:textId="77777777" w:rsidR="000D6308" w:rsidRPr="002B6797" w:rsidRDefault="000D6308" w:rsidP="000D6308">
      <w:pPr>
        <w:pStyle w:val="SingleTxtG"/>
      </w:pPr>
      <w:r>
        <w:tab/>
        <w:t>c)</w:t>
      </w:r>
      <w:r>
        <w:tab/>
        <w:t>государство-участник не установило минимальный возраст, с которого ребенок может быть лишен свободы;</w:t>
      </w:r>
    </w:p>
    <w:p w14:paraId="3782BDC5" w14:textId="77777777" w:rsidR="000D6308" w:rsidRPr="002B6797" w:rsidRDefault="000D6308" w:rsidP="000D6308">
      <w:pPr>
        <w:pStyle w:val="SingleTxtG"/>
      </w:pPr>
      <w:r>
        <w:tab/>
        <w:t>d)</w:t>
      </w:r>
      <w:r>
        <w:tab/>
        <w:t>отсутствуют ограничения по срокам содержания детей в центрах для несовершеннолетних правонарушителей (ЮНИСЕК) в условиях, близких к тюремным, и дети могут продолжать содержаться в таких центрах после достижения совершеннолетия;</w:t>
      </w:r>
    </w:p>
    <w:p w14:paraId="2DB70243" w14:textId="77777777" w:rsidR="000D6308" w:rsidRPr="002B6797" w:rsidRDefault="000D6308" w:rsidP="000D6308">
      <w:pPr>
        <w:pStyle w:val="SingleTxtG"/>
      </w:pPr>
      <w:r>
        <w:tab/>
        <w:t>e)</w:t>
      </w:r>
      <w:r>
        <w:tab/>
        <w:t>закон по-прежнему разрешает содержать ребенка в пенитенциарном учреждении для взрослых;</w:t>
      </w:r>
    </w:p>
    <w:p w14:paraId="60DE9A0E" w14:textId="77777777" w:rsidR="000D6308" w:rsidRPr="002B6797" w:rsidRDefault="000D6308" w:rsidP="000D6308">
      <w:pPr>
        <w:pStyle w:val="SingleTxtG"/>
      </w:pPr>
      <w:r>
        <w:lastRenderedPageBreak/>
        <w:tab/>
        <w:t>f)</w:t>
      </w:r>
      <w:r>
        <w:tab/>
        <w:t>в отношении детей, помещенных в социально-воспитательные школы-интернаты, и детей, содержащихся в центрах для несовершеннолетних правонарушителей, нередко применяется одиночное заключение в случае их повторных побегов;</w:t>
      </w:r>
    </w:p>
    <w:p w14:paraId="56C9037F" w14:textId="77777777" w:rsidR="000D6308" w:rsidRPr="002B6797" w:rsidRDefault="000D6308" w:rsidP="000D6308">
      <w:pPr>
        <w:pStyle w:val="SingleTxtG"/>
      </w:pPr>
      <w:r>
        <w:tab/>
        <w:t>g)</w:t>
      </w:r>
      <w:r>
        <w:tab/>
        <w:t>не проводится систематический пересмотр решений о временном помещении детей в социально-воспитательные школы-интернаты.</w:t>
      </w:r>
    </w:p>
    <w:p w14:paraId="7897F500" w14:textId="0BEA21F1" w:rsidR="000D6308" w:rsidRPr="002B6797" w:rsidRDefault="000D6308" w:rsidP="000D6308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другие соответствующие международные и региональные стандарты, включая Руководящие принципы Комитета министров Совета Европы, касающиеся отправления правосудия с учетом интересов ребенка,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</w:t>
      </w:r>
      <w:r w:rsidR="00A1587A">
        <w:rPr>
          <w:b/>
          <w:bCs/>
          <w:lang w:val="fr-CH"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789F0758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a)</w:t>
      </w:r>
      <w:r>
        <w:tab/>
      </w:r>
      <w:r>
        <w:rPr>
          <w:b/>
          <w:bCs/>
        </w:rPr>
        <w:t>ускорить принятие нового законопроекта, направленного на защиту ребенка в системе правосудия в отношении детей, и устранить недостатки, перечисленные выше;</w:t>
      </w:r>
    </w:p>
    <w:p w14:paraId="07E9AF09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b)</w:t>
      </w:r>
      <w:r>
        <w:tab/>
      </w:r>
      <w:r>
        <w:rPr>
          <w:b/>
          <w:bCs/>
        </w:rPr>
        <w:t>принять меры к тому, чтобы дела всех без исключения детей в возрасте до 18 лет, предположительно нарушивших уголовное законодательство или обвиняемых или признанных виновными в таких нарушениях, рассматривались в рамках системы правосудия в отношении детей специальными судьями, имеющими соответствующее образование и подготовку, и чтобы при этом предпочтение отдавалось использованию несудебных средств, методов восстановительного правосудия и реинтеграции, и обеспечивались все процессуальные права, включая право на помощь специализированного адвоката, которого можно было бы по мере возможности выбирать из доступного перечня или который назначался бы ассоциацией адвокатов;</w:t>
      </w:r>
    </w:p>
    <w:p w14:paraId="2AECADAF" w14:textId="261C507C" w:rsidR="000D6308" w:rsidRPr="00A1587A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c)</w:t>
      </w:r>
      <w:r w:rsidRPr="00A1587A">
        <w:rPr>
          <w:b/>
          <w:bCs/>
        </w:rPr>
        <w:tab/>
      </w:r>
      <w:r>
        <w:rPr>
          <w:b/>
          <w:bCs/>
        </w:rPr>
        <w:t>предпринять шаги для разделения мер защиты, предусматриваемых для детей — жертв преступлений или детей, которые потенциально могут стать жертвами преступлений, и мер, предусматриваемых в отношении детей, находящихся в конфликте с законом, с учетом наилучших интересов и прав пострадавших детей</w:t>
      </w:r>
      <w:r w:rsidR="00A1587A">
        <w:rPr>
          <w:b/>
          <w:bCs/>
        </w:rPr>
        <w:t>;</w:t>
      </w:r>
    </w:p>
    <w:p w14:paraId="54CFDC01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d)</w:t>
      </w:r>
      <w:r w:rsidRPr="00A1587A">
        <w:rPr>
          <w:b/>
          <w:bCs/>
        </w:rPr>
        <w:tab/>
      </w:r>
      <w:r>
        <w:rPr>
          <w:b/>
          <w:bCs/>
        </w:rPr>
        <w:t>установить минимальный возраст, с которого ребенок может быть лишен свободы;</w:t>
      </w:r>
    </w:p>
    <w:p w14:paraId="4537EC81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e)</w:t>
      </w:r>
      <w:r>
        <w:tab/>
      </w:r>
      <w:r>
        <w:rPr>
          <w:b/>
          <w:bCs/>
        </w:rPr>
        <w:t>принять меры к тому, чтобы содержание под стражей, в том числе в центрах для несовершеннолетних правонарушителей в условиях, близких к тюремным, применялось лишь в качестве крайней меры и в течение как можно более короткого периода времени и чтобы соответствующие решения регулярно пересматривались на предмет возможности их отмены, и ввести полный запрет на помещение ребенка в тюрьму или пенитенциарное учреждение для взрослых;</w:t>
      </w:r>
    </w:p>
    <w:p w14:paraId="0D78D80C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f)</w:t>
      </w:r>
      <w:r>
        <w:tab/>
      </w:r>
      <w:r>
        <w:rPr>
          <w:b/>
          <w:bCs/>
        </w:rPr>
        <w:t>принять меры к тому, чтобы одиночное заключение не применялось в отношении детей, чтобы любое разлучение ребенка с другими лицами было как можно более непродолжительным и использовалось только в качестве крайней меры в целях защиты ребенка или других лиц и чтобы при этом ребенок находился в присутствии или под пристальным наблюдением соответствующим образом подготовленного сотрудника;</w:t>
      </w:r>
    </w:p>
    <w:p w14:paraId="70050D43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g)</w:t>
      </w:r>
      <w:r>
        <w:tab/>
      </w:r>
      <w:r>
        <w:rPr>
          <w:b/>
          <w:bCs/>
        </w:rPr>
        <w:t>принять меры для обеспечения регулярного пересмотра решений о помещении детей в социально-воспитательные школы-интернаты с целью рассмотрения возможности прекращения такого содержания.</w:t>
      </w:r>
    </w:p>
    <w:p w14:paraId="0CDAB96E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lastRenderedPageBreak/>
        <w:tab/>
        <w:t>J.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3E086EA1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6488DCC5" w14:textId="225E25F8" w:rsidR="000D6308" w:rsidRPr="002B6797" w:rsidRDefault="000D6308" w:rsidP="000D6308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приветствует меры, принятые государством-участником для выполнения рекомендаций, содержащихся в его заключительных замечаниях от 3 июня 2016 года по первоначальному докладу государства-участника, представленному в соответствии с Факультативным протоколом, касающимся торговли детьми, детской проституции и детской порнографии</w:t>
      </w:r>
      <w:r w:rsidRPr="00DC7ABC">
        <w:rPr>
          <w:rStyle w:val="aa"/>
        </w:rPr>
        <w:footnoteReference w:id="9"/>
      </w:r>
      <w:r>
        <w:rPr>
          <w:b/>
          <w:bCs/>
        </w:rPr>
        <w:t>, в частности разработку учебных программ для специалистов, работающих в этой области, и принятие Закона от 28 февраля 2018 года об укреплении мер по борьбе с эксплуатацией проституции, сутенерством и торговлей людьми в сексуальных целях.</w:t>
      </w:r>
      <w:r>
        <w:t xml:space="preserve"> </w:t>
      </w:r>
      <w:r>
        <w:rPr>
          <w:b/>
          <w:bCs/>
        </w:rPr>
        <w:t>Ссылаясь на свои руководящие принципы 2019</w:t>
      </w:r>
      <w:r w:rsidR="00A1587A">
        <w:rPr>
          <w:b/>
          <w:bCs/>
        </w:rPr>
        <w:t xml:space="preserve"> </w:t>
      </w:r>
      <w:r>
        <w:rPr>
          <w:b/>
          <w:bCs/>
        </w:rPr>
        <w:t>года в отношении осуществления Факультативного протокола и напоминая о своих предыдущих рекомендациях, Комитет рекомендует государству-участнику:</w:t>
      </w:r>
    </w:p>
    <w:p w14:paraId="718A59F0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усилия, направленные на то, чтобы меры профилактики охватывали в том числе детей, находящихся в уязвимом и маргинализированном положении, включая детей из числа просителей убежища и беженцев, а также детей, затронутых миграцией;</w:t>
      </w:r>
      <w:r>
        <w:t xml:space="preserve"> </w:t>
      </w:r>
    </w:p>
    <w:p w14:paraId="63A94D5D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b)</w:t>
      </w:r>
      <w:r>
        <w:tab/>
      </w:r>
      <w:r>
        <w:rPr>
          <w:b/>
          <w:bCs/>
        </w:rPr>
        <w:t>внедрить специализированные механизмы и процедуры для выявления детей, которые потенциально могут стать жертвами преступлений, предусмотренных Факультативным протоколом, особенно детей, находящихся в уязвимом положении, и укреплять программы профилактики и защиту потенциальных жертв;</w:t>
      </w:r>
    </w:p>
    <w:p w14:paraId="7109C851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c)</w:t>
      </w:r>
      <w:r>
        <w:tab/>
      </w:r>
      <w:r>
        <w:rPr>
          <w:b/>
          <w:bCs/>
        </w:rPr>
        <w:t>обеспечить закрепление в национальном законодательстве определений понятий «сексуальная эксплуатация детей в целях проституции» и «коммерческое распространение материалов с изображением развратных действий в отношении детей» в соответствии с пунктами b) и c) статьи 2 Факультативного протокола;</w:t>
      </w:r>
    </w:p>
    <w:p w14:paraId="1F56BBF8" w14:textId="7C2A3E9F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d)</w:t>
      </w:r>
      <w:r>
        <w:tab/>
      </w:r>
      <w:r>
        <w:rPr>
          <w:b/>
          <w:bCs/>
        </w:rPr>
        <w:t>ввести уголовную ответственность за неправомерное склонение в рамках посредничества к согласию на незаконное усыновление, как это предусмотрено в подпункте а) ii) пункта 1 статьи 3 и статье 5 Факультативного протокола;</w:t>
      </w:r>
      <w:r>
        <w:t xml:space="preserve"> </w:t>
      </w:r>
    </w:p>
    <w:p w14:paraId="5D75EC56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e)</w:t>
      </w:r>
      <w:r>
        <w:tab/>
      </w:r>
      <w:r>
        <w:rPr>
          <w:b/>
          <w:bCs/>
        </w:rPr>
        <w:t>обеспечить в рамках Уголовного кодекса всестороннюю защиту всех детей в возрасте до 18 лет;</w:t>
      </w:r>
    </w:p>
    <w:p w14:paraId="0FF897E1" w14:textId="5B96445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f)</w:t>
      </w:r>
      <w:r>
        <w:tab/>
      </w:r>
      <w:r>
        <w:rPr>
          <w:b/>
          <w:bCs/>
        </w:rPr>
        <w:t>повысить уровень экспертных знаний в стране, с тем чтобы обеспечить детям</w:t>
      </w:r>
      <w:r w:rsidR="00A1587A">
        <w:rPr>
          <w:b/>
          <w:bCs/>
        </w:rPr>
        <w:t xml:space="preserve"> </w:t>
      </w:r>
      <w:r>
        <w:rPr>
          <w:b/>
          <w:bCs/>
        </w:rPr>
        <w:t>— жертвам преступлений, предусмотренных Факультативным протоколом, предоставление специализированных услуг, надлежащей поддержки и соответствующей их возрасту информации на понятном им языке;</w:t>
      </w:r>
    </w:p>
    <w:p w14:paraId="4EE75726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g)</w:t>
      </w:r>
      <w:r>
        <w:tab/>
      </w:r>
      <w:r>
        <w:rPr>
          <w:b/>
          <w:bCs/>
        </w:rPr>
        <w:t>принять необходимые меры для облегчения и расширения доступа к соответствующим местам размещения для детей, ставших жертвами преступлений, особенно для детей, находящихся в наиболее уязвимом положении;</w:t>
      </w:r>
    </w:p>
    <w:p w14:paraId="1C07206D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h)</w:t>
      </w:r>
      <w:r>
        <w:tab/>
      </w:r>
      <w:r>
        <w:rPr>
          <w:b/>
          <w:bCs/>
        </w:rPr>
        <w:t>расширить возможности юридической и психологической подготовки для всех профессиональных групп, которые отвечают за оказание помощи детям-жертвам и могут вступать в контакт с детьми, ставшими жертвами любого из преступлений, предусмотренных Факультативным протоколом.</w:t>
      </w:r>
    </w:p>
    <w:p w14:paraId="5873C459" w14:textId="77777777" w:rsidR="000D6308" w:rsidRPr="002B6797" w:rsidRDefault="000D6308" w:rsidP="000D6308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6C40607F" w14:textId="77777777" w:rsidR="000D6308" w:rsidRPr="002B6797" w:rsidRDefault="000D6308" w:rsidP="000D6308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высоко оценивает работу государства-участника по защите учащихся, учителей и школ во время вооруженных конфликтов за рубежом, а также одобрение государством-участником Декларации о безопасных школах и Руководства по защите школ и университетов от военного использования во время вооруженных конфликтов.</w:t>
      </w:r>
      <w:r>
        <w:t xml:space="preserve"> </w:t>
      </w:r>
      <w:r>
        <w:rPr>
          <w:b/>
          <w:bCs/>
        </w:rPr>
        <w:t>Он напоминает о своих предыдущих заключительных замечаниях</w:t>
      </w:r>
      <w:r w:rsidRPr="00DC7ABC">
        <w:rPr>
          <w:rStyle w:val="aa"/>
        </w:rPr>
        <w:footnoteReference w:id="10"/>
      </w:r>
      <w:r>
        <w:rPr>
          <w:b/>
          <w:bCs/>
        </w:rPr>
        <w:t xml:space="preserve"> и своих заключительных замечаниях по первоначальному докладу государства-участника, представленному в соответствии с Факультативным протоколом, касающимся участия детей в вооруженных конфликтах</w:t>
      </w:r>
      <w:r w:rsidRPr="00DC7ABC">
        <w:rPr>
          <w:rStyle w:val="aa"/>
        </w:rPr>
        <w:footnoteReference w:id="11"/>
      </w:r>
      <w:r>
        <w:rPr>
          <w:b/>
          <w:bCs/>
        </w:rPr>
        <w:t>, и рекомендует государству-участнику:</w:t>
      </w:r>
      <w:r>
        <w:t xml:space="preserve"> </w:t>
      </w:r>
    </w:p>
    <w:p w14:paraId="7CC2E3FD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a)</w:t>
      </w:r>
      <w:r>
        <w:tab/>
      </w:r>
      <w:r>
        <w:rPr>
          <w:b/>
          <w:bCs/>
        </w:rPr>
        <w:t>официально криминализировать вербовку детей для участия в военных действиях;</w:t>
      </w:r>
      <w:r>
        <w:t xml:space="preserve"> </w:t>
      </w:r>
    </w:p>
    <w:p w14:paraId="5BB16ADA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b)</w:t>
      </w:r>
      <w:r>
        <w:tab/>
      </w:r>
      <w:r>
        <w:rPr>
          <w:b/>
          <w:bCs/>
        </w:rPr>
        <w:t>продолжать усилия по сотрудничеству с другими государствами в целях предотвращения вербовки детей для участия в вооруженных конфликтах, а также реабилитации и интеграции детей, оказавшихся вовлеченными в вооруженный конфликт.</w:t>
      </w:r>
      <w:r>
        <w:t xml:space="preserve"> </w:t>
      </w:r>
    </w:p>
    <w:p w14:paraId="405D1678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</w:r>
      <w:r>
        <w:rPr>
          <w:lang w:val="en-US"/>
        </w:rPr>
        <w:t>K</w:t>
      </w:r>
      <w:r>
        <w:t>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4E33DB4D" w14:textId="77777777" w:rsidR="000D6308" w:rsidRPr="002B6797" w:rsidRDefault="000D6308" w:rsidP="000D6308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14:paraId="3670ED6B" w14:textId="77777777" w:rsidR="000D6308" w:rsidRPr="002B6797" w:rsidRDefault="000D6308" w:rsidP="000D6308">
      <w:pPr>
        <w:pStyle w:val="SingleTxtG"/>
        <w:rPr>
          <w:b/>
          <w:bCs/>
        </w:rPr>
      </w:pPr>
      <w:r>
        <w:tab/>
      </w:r>
      <w:r w:rsidRPr="00A1587A">
        <w:rPr>
          <w:b/>
          <w:bCs/>
        </w:rPr>
        <w:t>a)</w:t>
      </w:r>
      <w:r w:rsidRPr="00A1587A">
        <w:rPr>
          <w:b/>
          <w:bCs/>
        </w:rPr>
        <w:tab/>
      </w:r>
      <w:r>
        <w:rPr>
          <w:b/>
          <w:bCs/>
        </w:rPr>
        <w:t>Международная конвенция о защите прав всех трудящихся-мигрантов и членов их семей;</w:t>
      </w:r>
    </w:p>
    <w:p w14:paraId="2550F08C" w14:textId="77777777" w:rsidR="000D6308" w:rsidRPr="002B6797" w:rsidRDefault="000D6308" w:rsidP="000D6308">
      <w:pPr>
        <w:pStyle w:val="SingleTxtG"/>
        <w:rPr>
          <w:b/>
          <w:bCs/>
        </w:rPr>
      </w:pPr>
      <w:r w:rsidRPr="00A1587A">
        <w:rPr>
          <w:b/>
          <w:bCs/>
        </w:rPr>
        <w:tab/>
        <w:t>b)</w:t>
      </w:r>
      <w:r>
        <w:tab/>
      </w:r>
      <w:r>
        <w:rPr>
          <w:b/>
          <w:bCs/>
        </w:rPr>
        <w:t>Международная конвенция для защиты всех лиц от насильственных исчезновений.</w:t>
      </w:r>
    </w:p>
    <w:p w14:paraId="2D28FA0F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</w:r>
      <w:r>
        <w:rPr>
          <w:lang w:val="en-US"/>
        </w:rPr>
        <w:t>L</w:t>
      </w:r>
      <w:r>
        <w:t>.</w:t>
      </w:r>
      <w:r>
        <w:tab/>
      </w:r>
      <w:r>
        <w:rPr>
          <w:bCs/>
        </w:rPr>
        <w:t>Сотрудничество с региональными органами</w:t>
      </w:r>
    </w:p>
    <w:p w14:paraId="180DEB11" w14:textId="77777777" w:rsidR="000D6308" w:rsidRPr="002B6797" w:rsidRDefault="000D6308" w:rsidP="000D6308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продолжать активное сотрудничество с Советом Европы в деле осуществления Конвенции и других договоров по правам человека как в самом государстве-участнике, так и в других государствах — членах Совета Европы.</w:t>
      </w:r>
      <w:r>
        <w:t xml:space="preserve"> </w:t>
      </w:r>
    </w:p>
    <w:p w14:paraId="68FFA7F1" w14:textId="77777777" w:rsidR="000D6308" w:rsidRPr="002B6797" w:rsidRDefault="000D6308" w:rsidP="000D6308">
      <w:pPr>
        <w:pStyle w:val="HChG"/>
        <w:rPr>
          <w:rFonts w:eastAsiaTheme="minorEastAsia"/>
        </w:rPr>
      </w:pPr>
      <w:r>
        <w:tab/>
        <w:t>IV.</w:t>
      </w:r>
      <w:r>
        <w:tab/>
      </w:r>
      <w:r>
        <w:rPr>
          <w:bCs/>
        </w:rPr>
        <w:t>Меры по осуществлению и представление докладов</w:t>
      </w:r>
    </w:p>
    <w:p w14:paraId="32DAAE4E" w14:textId="77777777" w:rsidR="000D6308" w:rsidRPr="002B6797" w:rsidRDefault="000D6308" w:rsidP="000D6308">
      <w:pPr>
        <w:pStyle w:val="H1G"/>
        <w:rPr>
          <w:rFonts w:eastAsiaTheme="minorEastAsia"/>
        </w:rPr>
      </w:pPr>
      <w: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0A5DB371" w14:textId="77777777" w:rsidR="000D6308" w:rsidRPr="002B6797" w:rsidRDefault="000D6308" w:rsidP="000D6308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  <w:r>
        <w:t xml:space="preserve"> </w:t>
      </w:r>
    </w:p>
    <w:p w14:paraId="47B9A601" w14:textId="642C96A1" w:rsidR="000D6308" w:rsidRPr="002B6797" w:rsidRDefault="000D6308" w:rsidP="000D6308">
      <w:pPr>
        <w:pStyle w:val="H1G"/>
        <w:rPr>
          <w:rFonts w:eastAsiaTheme="minorEastAsia"/>
        </w:rPr>
      </w:pPr>
      <w:r>
        <w:lastRenderedPageBreak/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A1587A">
        <w:rPr>
          <w:bCs/>
          <w:lang w:val="fr-CH"/>
        </w:rPr>
        <w:t> </w:t>
      </w:r>
      <w:r>
        <w:rPr>
          <w:bCs/>
        </w:rPr>
        <w:t>осуществления последующих мер</w:t>
      </w:r>
    </w:p>
    <w:p w14:paraId="382257CB" w14:textId="77777777" w:rsidR="000D6308" w:rsidRPr="002B6797" w:rsidRDefault="000D6308" w:rsidP="000D630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укрепить Межведомственный комитет по правам человека, учрежденный в целях координации и подготовки докладов для международных и региональных правозащитных механизмов и взаимодействия с ними, а также координации и мониторинга последующей деятельности на национальном уровне в связи с договорными обязательствами и рекомендациями и решениями таких механизмов и их осуществления.</w:t>
      </w:r>
      <w:r>
        <w:t xml:space="preserve"> </w:t>
      </w:r>
      <w:r>
        <w:rPr>
          <w:b/>
          <w:bCs/>
        </w:rPr>
        <w:t>Комитет подчеркивает, что в поддержку работы такой структуры должен быть выделен на постоянной основе и в достаточном количестве специальный персонал и у нее должна быть возможность проводить систематические консультации с Консультативной комиссией по правам человека Люксембурга и гражданским обществом.</w:t>
      </w:r>
      <w:r>
        <w:t xml:space="preserve"> </w:t>
      </w:r>
    </w:p>
    <w:p w14:paraId="188EE203" w14:textId="77777777" w:rsidR="000D6308" w:rsidRPr="00030DA9" w:rsidRDefault="000D6308" w:rsidP="000D6308">
      <w:pPr>
        <w:pStyle w:val="H1G"/>
        <w:rPr>
          <w:rFonts w:eastAsiaTheme="minorEastAsia"/>
        </w:rPr>
      </w:pPr>
      <w:r>
        <w:tab/>
        <w:t>C.</w:t>
      </w:r>
      <w:r>
        <w:tab/>
      </w:r>
      <w:r>
        <w:rPr>
          <w:bCs/>
        </w:rPr>
        <w:t>Следующий доклад</w:t>
      </w:r>
    </w:p>
    <w:p w14:paraId="3C8149B5" w14:textId="77777777" w:rsidR="000D6308" w:rsidRPr="002B6797" w:rsidRDefault="000D6308" w:rsidP="000D6308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не позднее 5 апреля 2026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</w:t>
      </w:r>
      <w:r w:rsidRPr="00DC7ABC">
        <w:rPr>
          <w:rStyle w:val="aa"/>
        </w:rPr>
        <w:footnoteReference w:id="12"/>
      </w:r>
      <w:r>
        <w:rPr>
          <w:b/>
          <w:bCs/>
        </w:rPr>
        <w:t>, а его объем не должен превышать 21 200 слов</w:t>
      </w:r>
      <w:r w:rsidRPr="00DC7ABC">
        <w:rPr>
          <w:rStyle w:val="aa"/>
        </w:rPr>
        <w:footnoteReference w:id="13"/>
      </w:r>
      <w:r>
        <w:rPr>
          <w:b/>
          <w:bCs/>
        </w:rPr>
        <w:t>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46F57C92" w14:textId="637A96B2" w:rsidR="000D6308" w:rsidRPr="002B6797" w:rsidRDefault="000D6308" w:rsidP="000D6308">
      <w:pPr>
        <w:pStyle w:val="SingleTxtG"/>
        <w:keepLines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4E18CD">
        <w:rPr>
          <w:b/>
          <w:bCs/>
          <w:lang w:val="fr-CH"/>
        </w:rPr>
        <w:t> </w:t>
      </w:r>
      <w:r>
        <w:rPr>
          <w:b/>
          <w:bCs/>
        </w:rPr>
        <w:t>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DC7ABC">
        <w:rPr>
          <w:rStyle w:val="aa"/>
        </w:rPr>
        <w:footnoteReference w:id="14"/>
      </w:r>
      <w:r>
        <w:rPr>
          <w:b/>
          <w:bCs/>
        </w:rPr>
        <w:t>, и в соответствии с пунктом 16 резолюции 68/268 Генеральной Ассамблеи.</w:t>
      </w:r>
    </w:p>
    <w:p w14:paraId="52B8C262" w14:textId="77777777" w:rsidR="000D6308" w:rsidRPr="002B6797" w:rsidRDefault="000D6308" w:rsidP="000D6308">
      <w:pPr>
        <w:spacing w:before="240"/>
        <w:jc w:val="center"/>
        <w:rPr>
          <w:u w:val="single"/>
        </w:rPr>
      </w:pPr>
      <w:r w:rsidRPr="002B6797">
        <w:rPr>
          <w:u w:val="single"/>
        </w:rPr>
        <w:tab/>
      </w:r>
      <w:r w:rsidRPr="002B6797">
        <w:rPr>
          <w:u w:val="single"/>
        </w:rPr>
        <w:tab/>
      </w:r>
      <w:r w:rsidRPr="002B6797">
        <w:rPr>
          <w:u w:val="single"/>
        </w:rPr>
        <w:tab/>
      </w:r>
    </w:p>
    <w:p w14:paraId="1FD73AA9" w14:textId="3F35491B" w:rsidR="000D6308" w:rsidRPr="000D6308" w:rsidRDefault="000D6308" w:rsidP="002E685D"/>
    <w:p w14:paraId="195D331D" w14:textId="77777777" w:rsidR="00381C24" w:rsidRPr="000D6308" w:rsidRDefault="00381C24" w:rsidP="002E685D"/>
    <w:sectPr w:rsidR="00381C24" w:rsidRPr="000D6308" w:rsidSect="000D63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CD1E4" w14:textId="77777777" w:rsidR="00E01D79" w:rsidRPr="00A312BC" w:rsidRDefault="00E01D79" w:rsidP="00A312BC"/>
  </w:endnote>
  <w:endnote w:type="continuationSeparator" w:id="0">
    <w:p w14:paraId="56DE7F41" w14:textId="77777777" w:rsidR="00E01D79" w:rsidRPr="00A312BC" w:rsidRDefault="00E01D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D99D1" w14:textId="37420607" w:rsidR="000D6308" w:rsidRPr="000D6308" w:rsidRDefault="000D6308">
    <w:pPr>
      <w:pStyle w:val="a8"/>
    </w:pPr>
    <w:r w:rsidRPr="000D6308">
      <w:rPr>
        <w:b/>
        <w:sz w:val="18"/>
      </w:rPr>
      <w:fldChar w:fldCharType="begin"/>
    </w:r>
    <w:r w:rsidRPr="000D6308">
      <w:rPr>
        <w:b/>
        <w:sz w:val="18"/>
      </w:rPr>
      <w:instrText xml:space="preserve"> PAGE  \* MERGEFORMAT </w:instrText>
    </w:r>
    <w:r w:rsidRPr="000D6308">
      <w:rPr>
        <w:b/>
        <w:sz w:val="18"/>
      </w:rPr>
      <w:fldChar w:fldCharType="separate"/>
    </w:r>
    <w:r w:rsidRPr="000D6308">
      <w:rPr>
        <w:b/>
        <w:noProof/>
        <w:sz w:val="18"/>
      </w:rPr>
      <w:t>2</w:t>
    </w:r>
    <w:r w:rsidRPr="000D6308">
      <w:rPr>
        <w:b/>
        <w:sz w:val="18"/>
      </w:rPr>
      <w:fldChar w:fldCharType="end"/>
    </w:r>
    <w:r>
      <w:rPr>
        <w:b/>
        <w:sz w:val="18"/>
      </w:rPr>
      <w:tab/>
    </w:r>
    <w:r>
      <w:t>GE.21-08302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B0E0E" w14:textId="4ACA2676" w:rsidR="000D6308" w:rsidRPr="000D6308" w:rsidRDefault="000D6308" w:rsidP="000D6308">
    <w:pPr>
      <w:pStyle w:val="a8"/>
      <w:tabs>
        <w:tab w:val="clear" w:pos="9639"/>
        <w:tab w:val="right" w:pos="9638"/>
      </w:tabs>
      <w:rPr>
        <w:b/>
        <w:sz w:val="18"/>
      </w:rPr>
    </w:pPr>
    <w:r>
      <w:t>GE.21-08302</w:t>
    </w:r>
    <w:r>
      <w:tab/>
    </w:r>
    <w:r w:rsidRPr="000D6308">
      <w:rPr>
        <w:b/>
        <w:sz w:val="18"/>
      </w:rPr>
      <w:fldChar w:fldCharType="begin"/>
    </w:r>
    <w:r w:rsidRPr="000D6308">
      <w:rPr>
        <w:b/>
        <w:sz w:val="18"/>
      </w:rPr>
      <w:instrText xml:space="preserve"> PAGE  \* MERGEFORMAT </w:instrText>
    </w:r>
    <w:r w:rsidRPr="000D6308">
      <w:rPr>
        <w:b/>
        <w:sz w:val="18"/>
      </w:rPr>
      <w:fldChar w:fldCharType="separate"/>
    </w:r>
    <w:r w:rsidRPr="000D6308">
      <w:rPr>
        <w:b/>
        <w:noProof/>
        <w:sz w:val="18"/>
      </w:rPr>
      <w:t>3</w:t>
    </w:r>
    <w:r w:rsidRPr="000D63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9E90D" w14:textId="66DCAA0B" w:rsidR="00042B72" w:rsidRPr="000D6308" w:rsidRDefault="000D6308" w:rsidP="000D6308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AC02B40" wp14:editId="519E458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21-08302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9FC68A2" wp14:editId="7248179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100921 140921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52FEA" w14:textId="77777777" w:rsidR="00E01D79" w:rsidRPr="001075E9" w:rsidRDefault="00E01D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CB428E" w14:textId="77777777" w:rsidR="00E01D79" w:rsidRDefault="00E01D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505FF2C" w14:textId="77777777" w:rsidR="000D6308" w:rsidRPr="002B6797" w:rsidRDefault="000D6308" w:rsidP="000D6308">
      <w:pPr>
        <w:pStyle w:val="ad"/>
      </w:pPr>
      <w:r>
        <w:tab/>
      </w:r>
      <w:r w:rsidRPr="00CF41BC">
        <w:rPr>
          <w:sz w:val="20"/>
        </w:rPr>
        <w:t>*</w:t>
      </w:r>
      <w:r>
        <w:tab/>
        <w:t xml:space="preserve">Принято Комитетом на его восемьдесят седьмой сессии (17 мая </w:t>
      </w:r>
      <w:r w:rsidRPr="002B6797">
        <w:t>—</w:t>
      </w:r>
      <w:r>
        <w:t xml:space="preserve"> 4 июня 2021 года).</w:t>
      </w:r>
    </w:p>
  </w:footnote>
  <w:footnote w:id="2">
    <w:p w14:paraId="221AFF19" w14:textId="77777777" w:rsidR="000D6308" w:rsidRPr="002B6797" w:rsidRDefault="000D6308" w:rsidP="000D6308">
      <w:pPr>
        <w:pStyle w:val="ad"/>
      </w:pPr>
      <w:r w:rsidRPr="00DC7ABC">
        <w:tab/>
      </w:r>
      <w:r w:rsidRPr="00DC7ABC">
        <w:rPr>
          <w:rStyle w:val="aa"/>
        </w:rPr>
        <w:footnoteRef/>
      </w:r>
      <w:r>
        <w:tab/>
        <w:t>См. CRC/C/SR.2512, 2514 и 2516.</w:t>
      </w:r>
    </w:p>
  </w:footnote>
  <w:footnote w:id="3">
    <w:p w14:paraId="00B919D5" w14:textId="77777777" w:rsidR="000D6308" w:rsidRPr="002B6797" w:rsidRDefault="000D6308" w:rsidP="000D6308">
      <w:pPr>
        <w:pStyle w:val="ad"/>
      </w:pPr>
      <w:r w:rsidRPr="00DC7ABC">
        <w:tab/>
      </w:r>
      <w:r w:rsidRPr="00DC7ABC">
        <w:rPr>
          <w:rStyle w:val="aa"/>
        </w:rPr>
        <w:footnoteRef/>
      </w:r>
      <w:r>
        <w:tab/>
        <w:t>CRC/C/LUX/QPR/5-6.</w:t>
      </w:r>
    </w:p>
  </w:footnote>
  <w:footnote w:id="4">
    <w:p w14:paraId="5820B940" w14:textId="77777777" w:rsidR="000D6308" w:rsidRPr="002B6797" w:rsidRDefault="000D6308" w:rsidP="000D6308">
      <w:pPr>
        <w:pStyle w:val="ad"/>
      </w:pPr>
      <w:r w:rsidRPr="00DC7ABC">
        <w:tab/>
      </w:r>
      <w:r w:rsidRPr="00DC7ABC">
        <w:rPr>
          <w:rStyle w:val="aa"/>
        </w:rPr>
        <w:footnoteRef/>
      </w:r>
      <w:r>
        <w:tab/>
        <w:t xml:space="preserve">Термин «дети» охватывает любое лицо в возрасте до 18 лет, включая подростков. </w:t>
      </w:r>
    </w:p>
  </w:footnote>
  <w:footnote w:id="5">
    <w:p w14:paraId="7A6FA0EB" w14:textId="77777777" w:rsidR="000D6308" w:rsidRPr="00030DA9" w:rsidRDefault="000D6308" w:rsidP="000D6308">
      <w:pPr>
        <w:pStyle w:val="ad"/>
      </w:pPr>
      <w:r w:rsidRPr="00DC7ABC">
        <w:rPr>
          <w:rFonts w:eastAsia="Malgun Gothic"/>
          <w:i/>
          <w:iCs/>
        </w:rPr>
        <w:tab/>
      </w:r>
      <w:r w:rsidRPr="00DC7ABC">
        <w:rPr>
          <w:rStyle w:val="aa"/>
        </w:rPr>
        <w:footnoteRef/>
      </w:r>
      <w:r>
        <w:tab/>
      </w:r>
      <w:r>
        <w:rPr>
          <w:i/>
          <w:iCs/>
        </w:rPr>
        <w:t xml:space="preserve">Ombudsman fir Kanner a Jugendlicher </w:t>
      </w:r>
      <w:r w:rsidRPr="00030DA9">
        <w:t>(OKaJu)</w:t>
      </w:r>
      <w:r>
        <w:t>.</w:t>
      </w:r>
    </w:p>
  </w:footnote>
  <w:footnote w:id="6">
    <w:p w14:paraId="277D466B" w14:textId="77777777" w:rsidR="000D6308" w:rsidRPr="00030DA9" w:rsidRDefault="000D6308" w:rsidP="000D6308">
      <w:pPr>
        <w:pStyle w:val="ad"/>
      </w:pPr>
      <w:r w:rsidRPr="009F320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/15/</w:t>
      </w:r>
      <w:r w:rsidRPr="002B6797">
        <w:rPr>
          <w:lang w:val="en-US"/>
        </w:rPr>
        <w:t>Add</w:t>
      </w:r>
      <w:r w:rsidRPr="00030DA9">
        <w:t xml:space="preserve">.250, </w:t>
      </w:r>
      <w:r>
        <w:t>п</w:t>
      </w:r>
      <w:r w:rsidRPr="00030DA9">
        <w:t xml:space="preserve">. 9; </w:t>
      </w:r>
      <w:r>
        <w:t>и</w:t>
      </w:r>
      <w:r w:rsidRPr="00030DA9">
        <w:t xml:space="preserve"> </w:t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 xml:space="preserve">/3-4, </w:t>
      </w:r>
      <w:r>
        <w:t>п</w:t>
      </w:r>
      <w:r w:rsidRPr="00030DA9">
        <w:t>. 11.</w:t>
      </w:r>
    </w:p>
  </w:footnote>
  <w:footnote w:id="7">
    <w:p w14:paraId="0C0331D8" w14:textId="77777777" w:rsidR="000D6308" w:rsidRPr="00030DA9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 xml:space="preserve">/3-4, </w:t>
      </w:r>
      <w:r>
        <w:t>п</w:t>
      </w:r>
      <w:r w:rsidRPr="00030DA9">
        <w:t>. 15.</w:t>
      </w:r>
    </w:p>
  </w:footnote>
  <w:footnote w:id="8">
    <w:p w14:paraId="719BDD12" w14:textId="77777777" w:rsidR="000D6308" w:rsidRPr="00030DA9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 xml:space="preserve">/3-4, </w:t>
      </w:r>
      <w:r>
        <w:t>п</w:t>
      </w:r>
      <w:r w:rsidRPr="00030DA9">
        <w:t>. 26.</w:t>
      </w:r>
    </w:p>
  </w:footnote>
  <w:footnote w:id="9">
    <w:p w14:paraId="037CDED3" w14:textId="77777777" w:rsidR="000D6308" w:rsidRPr="00030DA9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OPSC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>/1.</w:t>
      </w:r>
    </w:p>
  </w:footnote>
  <w:footnote w:id="10">
    <w:p w14:paraId="687CEBB0" w14:textId="77777777" w:rsidR="000D6308" w:rsidRPr="00030DA9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 xml:space="preserve">/3-4, </w:t>
      </w:r>
      <w:r>
        <w:t>п</w:t>
      </w:r>
      <w:r w:rsidRPr="00030DA9">
        <w:t>. 48.</w:t>
      </w:r>
    </w:p>
  </w:footnote>
  <w:footnote w:id="11">
    <w:p w14:paraId="1B6AB121" w14:textId="77777777" w:rsidR="000D6308" w:rsidRPr="00030DA9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</w:t>
      </w:r>
      <w:r w:rsidRPr="002B6797">
        <w:rPr>
          <w:lang w:val="en-US"/>
        </w:rPr>
        <w:t>OPAC</w:t>
      </w:r>
      <w:r w:rsidRPr="00030DA9">
        <w:t>/</w:t>
      </w:r>
      <w:r w:rsidRPr="002B6797">
        <w:rPr>
          <w:lang w:val="en-US"/>
        </w:rPr>
        <w:t>LUX</w:t>
      </w:r>
      <w:r w:rsidRPr="00030DA9">
        <w:t>/</w:t>
      </w:r>
      <w:r w:rsidRPr="002B6797">
        <w:rPr>
          <w:lang w:val="en-US"/>
        </w:rPr>
        <w:t>CO</w:t>
      </w:r>
      <w:r w:rsidRPr="00030DA9">
        <w:t>/1.</w:t>
      </w:r>
    </w:p>
  </w:footnote>
  <w:footnote w:id="12">
    <w:p w14:paraId="671A11EF" w14:textId="77777777" w:rsidR="000D6308" w:rsidRPr="00030DA9" w:rsidRDefault="000D6308" w:rsidP="000D6308">
      <w:pPr>
        <w:pStyle w:val="ad"/>
      </w:pPr>
      <w:r w:rsidRPr="00030DA9">
        <w:rPr>
          <w:lang w:eastAsia="ja-JP"/>
        </w:rPr>
        <w:tab/>
      </w:r>
      <w:r w:rsidRPr="00DC7ABC">
        <w:rPr>
          <w:rStyle w:val="aa"/>
        </w:rPr>
        <w:footnoteRef/>
      </w:r>
      <w:r w:rsidRPr="00030DA9">
        <w:tab/>
      </w:r>
      <w:r w:rsidRPr="002B6797">
        <w:rPr>
          <w:lang w:val="en-US"/>
        </w:rPr>
        <w:t>CRC</w:t>
      </w:r>
      <w:r w:rsidRPr="00030DA9">
        <w:t>/</w:t>
      </w:r>
      <w:r w:rsidRPr="002B6797">
        <w:rPr>
          <w:lang w:val="en-US"/>
        </w:rPr>
        <w:t>C</w:t>
      </w:r>
      <w:r w:rsidRPr="00030DA9">
        <w:t>/58/</w:t>
      </w:r>
      <w:r w:rsidRPr="002B6797">
        <w:rPr>
          <w:lang w:val="en-US"/>
        </w:rPr>
        <w:t>Rev</w:t>
      </w:r>
      <w:r w:rsidRPr="00030DA9">
        <w:t>.3.</w:t>
      </w:r>
    </w:p>
  </w:footnote>
  <w:footnote w:id="13">
    <w:p w14:paraId="6E2EDA95" w14:textId="77777777" w:rsidR="000D6308" w:rsidRPr="002B6797" w:rsidRDefault="000D6308" w:rsidP="000D6308">
      <w:pPr>
        <w:pStyle w:val="ad"/>
      </w:pPr>
      <w:r w:rsidRPr="00030DA9">
        <w:tab/>
      </w:r>
      <w:r w:rsidRPr="00DC7ABC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14">
    <w:p w14:paraId="16848164" w14:textId="77777777" w:rsidR="000D6308" w:rsidRPr="00030DA9" w:rsidRDefault="000D6308" w:rsidP="000D6308">
      <w:pPr>
        <w:pStyle w:val="ad"/>
        <w:rPr>
          <w:lang w:val="en-US"/>
        </w:rPr>
      </w:pPr>
      <w:r w:rsidRPr="00DC7ABC">
        <w:tab/>
      </w:r>
      <w:r w:rsidRPr="00DC7ABC">
        <w:rPr>
          <w:rStyle w:val="aa"/>
        </w:rPr>
        <w:footnoteRef/>
      </w:r>
      <w:r w:rsidRPr="00030DA9">
        <w:rPr>
          <w:lang w:val="en-US"/>
        </w:rPr>
        <w:tab/>
        <w:t xml:space="preserve">HRI/GEN/2/Rev.6, </w:t>
      </w:r>
      <w:r>
        <w:t>гл</w:t>
      </w:r>
      <w:r w:rsidRPr="00030DA9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8732C" w14:textId="774489B8" w:rsidR="000D6308" w:rsidRPr="000D6308" w:rsidRDefault="000D6308">
    <w:pPr>
      <w:pStyle w:val="a5"/>
    </w:pPr>
    <w:fldSimple w:instr=" TITLE  \* MERGEFORMAT ">
      <w:r w:rsidR="0030203A">
        <w:t>CRC/C/LUX/CO/5-6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38BB0" w14:textId="73AF54CF" w:rsidR="000D6308" w:rsidRPr="000D6308" w:rsidRDefault="000D6308" w:rsidP="000D6308">
    <w:pPr>
      <w:pStyle w:val="a5"/>
      <w:jc w:val="right"/>
    </w:pPr>
    <w:fldSimple w:instr=" TITLE  \* MERGEFORMAT ">
      <w:r w:rsidR="0030203A">
        <w:t>CRC/C/LUX/CO/5-6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D79"/>
    <w:rsid w:val="00033EE1"/>
    <w:rsid w:val="00042B72"/>
    <w:rsid w:val="000558BD"/>
    <w:rsid w:val="000B57E7"/>
    <w:rsid w:val="000B6373"/>
    <w:rsid w:val="000D6308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203A"/>
    <w:rsid w:val="00305C08"/>
    <w:rsid w:val="00307FB6"/>
    <w:rsid w:val="00310F1D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E18CD"/>
    <w:rsid w:val="0050108D"/>
    <w:rsid w:val="00513081"/>
    <w:rsid w:val="00517901"/>
    <w:rsid w:val="00526683"/>
    <w:rsid w:val="005350DD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D557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1587A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41BC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01D79"/>
    <w:rsid w:val="00E21C5E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D47F6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61B20D"/>
  <w15:docId w15:val="{48B459D8-7E08-4B30-A194-021D6E32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15</Pages>
  <Words>5516</Words>
  <Characters>37925</Characters>
  <Application>Microsoft Office Word</Application>
  <DocSecurity>0</DocSecurity>
  <Lines>5417</Lines>
  <Paragraphs>1670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CRC/C/LUX/CO/5-6</vt:lpstr>
      <vt:lpstr>A/</vt:lpstr>
      <vt:lpstr>A/</vt:lpstr>
    </vt:vector>
  </TitlesOfParts>
  <Company>DCM</Company>
  <LinksUpToDate>false</LinksUpToDate>
  <CharactersWithSpaces>41771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CRC/C/LUX/CO/5-6</dc:title>
  <dc:subject/>
  <dc:creator>Elena IZOTOVA</dc:creator>
  <cp:keywords/>
  <cp:lastModifiedBy>Elena IZOTOVA</cp:lastModifiedBy>
  <cp:revision>3</cp:revision>
  <cp:lastPrinted>2021-09-14T10:52:00Z</cp:lastPrinted>
  <dcterms:created xsi:type="dcterms:W3CDTF">2021-09-14T10:52:00Z</dcterms:created>
  <dcterms:modified xsi:type="dcterms:W3CDTF">2021-09-14T10:52:00Z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