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B3908" w:rsidP="00BB3908">
            <w:pPr>
              <w:jc w:val="right"/>
            </w:pPr>
            <w:r w:rsidRPr="00BB3908">
              <w:rPr>
                <w:sz w:val="40"/>
              </w:rPr>
              <w:t>CCPR</w:t>
            </w:r>
            <w:r>
              <w:t>/C/NZL/CO/5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B3908" w:rsidRDefault="00BB3908" w:rsidP="00BB3908">
            <w:pPr>
              <w:spacing w:before="240" w:line="240" w:lineRule="exact"/>
            </w:pPr>
            <w:r>
              <w:t>Distr.: General</w:t>
            </w:r>
          </w:p>
          <w:p w:rsidR="00BB3908" w:rsidRDefault="0090435B" w:rsidP="00C405D8">
            <w:pPr>
              <w:spacing w:line="240" w:lineRule="exact"/>
            </w:pPr>
            <w:r>
              <w:t>7</w:t>
            </w:r>
            <w:r w:rsidR="006F6194">
              <w:t xml:space="preserve"> April</w:t>
            </w:r>
            <w:r w:rsidR="00BB3908">
              <w:t xml:space="preserve"> 2010</w:t>
            </w:r>
          </w:p>
          <w:p w:rsidR="00BB3908" w:rsidRDefault="00BB3908" w:rsidP="00BB3908">
            <w:pPr>
              <w:spacing w:line="240" w:lineRule="exact"/>
            </w:pPr>
          </w:p>
          <w:p w:rsidR="00B56E9C" w:rsidRDefault="00BB3908" w:rsidP="00BB3908">
            <w:pPr>
              <w:spacing w:line="240" w:lineRule="exact"/>
            </w:pPr>
            <w:r>
              <w:t>Original: English</w:t>
            </w:r>
          </w:p>
        </w:tc>
      </w:tr>
    </w:tbl>
    <w:p w:rsidR="005121BA" w:rsidRPr="00AC5D9B" w:rsidRDefault="005121BA" w:rsidP="005121BA">
      <w:pPr>
        <w:spacing w:before="120"/>
        <w:rPr>
          <w:b/>
          <w:sz w:val="24"/>
          <w:szCs w:val="24"/>
        </w:rPr>
      </w:pPr>
      <w:r>
        <w:rPr>
          <w:b/>
          <w:sz w:val="24"/>
          <w:szCs w:val="24"/>
        </w:rPr>
        <w:t>Human Rights Committee</w:t>
      </w:r>
    </w:p>
    <w:p w:rsidR="005121BA" w:rsidRPr="007E3B18" w:rsidRDefault="005121BA" w:rsidP="005121BA">
      <w:pPr>
        <w:outlineLvl w:val="0"/>
        <w:rPr>
          <w:b/>
        </w:rPr>
      </w:pPr>
      <w:r>
        <w:rPr>
          <w:b/>
        </w:rPr>
        <w:t>Ninety-eighth</w:t>
      </w:r>
      <w:r w:rsidRPr="007E3B18">
        <w:rPr>
          <w:b/>
        </w:rPr>
        <w:t xml:space="preserve"> session</w:t>
      </w:r>
    </w:p>
    <w:p w:rsidR="005121BA" w:rsidRDefault="005121BA" w:rsidP="005121BA">
      <w:pPr>
        <w:outlineLvl w:val="0"/>
      </w:pPr>
      <w:smartTag w:uri="urn:schemas-microsoft-com:office:smarttags" w:element="place">
        <w:smartTag w:uri="urn:schemas-microsoft-com:office:smarttags" w:element="State">
          <w:r>
            <w:t>New York</w:t>
          </w:r>
        </w:smartTag>
      </w:smartTag>
      <w:r>
        <w:t>, 8–26 March 2010</w:t>
      </w:r>
    </w:p>
    <w:p w:rsidR="005121BA" w:rsidRPr="0058122D" w:rsidRDefault="005121BA" w:rsidP="00921704">
      <w:pPr>
        <w:pStyle w:val="HChG"/>
      </w:pPr>
      <w:r>
        <w:tab/>
      </w:r>
      <w:r>
        <w:tab/>
      </w:r>
      <w:r w:rsidRPr="00065E5B">
        <w:rPr>
          <w:lang w:val="en-US"/>
        </w:rPr>
        <w:t>Concluding observations of the Human Rights Committee</w:t>
      </w:r>
    </w:p>
    <w:p w:rsidR="005121BA" w:rsidRPr="00065E5B" w:rsidRDefault="005121BA" w:rsidP="005121BA">
      <w:pPr>
        <w:pStyle w:val="HChG"/>
        <w:rPr>
          <w:sz w:val="24"/>
          <w:szCs w:val="24"/>
          <w:lang w:val="en-US"/>
        </w:rPr>
      </w:pPr>
      <w:r>
        <w:tab/>
      </w:r>
      <w:r>
        <w:tab/>
      </w:r>
      <w:r w:rsidRPr="00065E5B">
        <w:t>C</w:t>
      </w:r>
      <w:r>
        <w:t>onsideration</w:t>
      </w:r>
      <w:r w:rsidRPr="00065E5B">
        <w:t xml:space="preserve"> </w:t>
      </w:r>
      <w:r>
        <w:t>of</w:t>
      </w:r>
      <w:r w:rsidRPr="00065E5B">
        <w:t xml:space="preserve"> </w:t>
      </w:r>
      <w:r>
        <w:t>reports</w:t>
      </w:r>
      <w:r w:rsidRPr="00065E5B">
        <w:t xml:space="preserve"> </w:t>
      </w:r>
      <w:r>
        <w:t>submitted</w:t>
      </w:r>
      <w:r w:rsidRPr="00065E5B">
        <w:t xml:space="preserve"> </w:t>
      </w:r>
      <w:r>
        <w:t>by</w:t>
      </w:r>
      <w:r w:rsidRPr="00065E5B">
        <w:t xml:space="preserve"> </w:t>
      </w:r>
      <w:r>
        <w:t>States</w:t>
      </w:r>
      <w:r w:rsidRPr="00065E5B">
        <w:t xml:space="preserve"> </w:t>
      </w:r>
      <w:r w:rsidR="00E10299">
        <w:t xml:space="preserve">parties </w:t>
      </w:r>
      <w:r>
        <w:t>under</w:t>
      </w:r>
      <w:r w:rsidRPr="00065E5B">
        <w:t xml:space="preserve"> </w:t>
      </w:r>
      <w:r w:rsidR="00E10299" w:rsidRPr="00065E5B">
        <w:t>a</w:t>
      </w:r>
      <w:r w:rsidR="00E10299">
        <w:t>rticle</w:t>
      </w:r>
      <w:r w:rsidR="00E10299" w:rsidRPr="00065E5B">
        <w:t xml:space="preserve"> </w:t>
      </w:r>
      <w:r w:rsidRPr="00065E5B">
        <w:t xml:space="preserve">40 </w:t>
      </w:r>
      <w:r>
        <w:t>of the Covenant</w:t>
      </w:r>
    </w:p>
    <w:p w:rsidR="005121BA" w:rsidRDefault="005121BA" w:rsidP="005121BA">
      <w:pPr>
        <w:pStyle w:val="HChG"/>
        <w:rPr>
          <w:lang w:val="en-US"/>
        </w:rPr>
      </w:pPr>
      <w:r>
        <w:rPr>
          <w:lang w:val="en-US"/>
        </w:rPr>
        <w:tab/>
      </w:r>
      <w:r>
        <w:rPr>
          <w:lang w:val="en-US"/>
        </w:rPr>
        <w:tab/>
      </w:r>
      <w:smartTag w:uri="urn:schemas-microsoft-com:office:smarttags" w:element="place">
        <w:smartTag w:uri="urn:schemas-microsoft-com:office:smarttags" w:element="country-region">
          <w:r>
            <w:rPr>
              <w:lang w:val="en-US"/>
            </w:rPr>
            <w:t>New Zealand</w:t>
          </w:r>
        </w:smartTag>
      </w:smartTag>
    </w:p>
    <w:p w:rsidR="005121BA" w:rsidRPr="00065E5B" w:rsidRDefault="005121BA" w:rsidP="005121BA">
      <w:pPr>
        <w:pStyle w:val="SingleTxtG"/>
      </w:pPr>
      <w:r w:rsidRPr="00065E5B">
        <w:t>1.</w:t>
      </w:r>
      <w:r w:rsidRPr="00065E5B">
        <w:tab/>
        <w:t xml:space="preserve">The Human Rights Committee considered the </w:t>
      </w:r>
      <w:r>
        <w:t>fifth</w:t>
      </w:r>
      <w:r w:rsidRPr="00065E5B">
        <w:t xml:space="preserve"> periodic report of </w:t>
      </w:r>
      <w:r>
        <w:t>New Zealand (CCPR/C/NZL</w:t>
      </w:r>
      <w:r w:rsidRPr="00065E5B">
        <w:t>/</w:t>
      </w:r>
      <w:r>
        <w:t>5</w:t>
      </w:r>
      <w:r w:rsidRPr="00065E5B">
        <w:t>) at its 26</w:t>
      </w:r>
      <w:r>
        <w:t>96</w:t>
      </w:r>
      <w:r w:rsidRPr="00921704">
        <w:t>th</w:t>
      </w:r>
      <w:r>
        <w:rPr>
          <w:vertAlign w:val="superscript"/>
        </w:rPr>
        <w:t xml:space="preserve"> </w:t>
      </w:r>
      <w:r w:rsidRPr="00065E5B">
        <w:t>and 26</w:t>
      </w:r>
      <w:r>
        <w:t>97</w:t>
      </w:r>
      <w:r w:rsidRPr="00921704">
        <w:t>th</w:t>
      </w:r>
      <w:r>
        <w:t xml:space="preserve"> </w:t>
      </w:r>
      <w:r w:rsidRPr="00065E5B">
        <w:t xml:space="preserve">meetings, held on </w:t>
      </w:r>
      <w:r>
        <w:t>15</w:t>
      </w:r>
      <w:r w:rsidRPr="00065E5B">
        <w:t xml:space="preserve"> and </w:t>
      </w:r>
      <w:r>
        <w:t>16</w:t>
      </w:r>
      <w:r w:rsidRPr="00065E5B">
        <w:t xml:space="preserve"> </w:t>
      </w:r>
      <w:r>
        <w:t>March</w:t>
      </w:r>
      <w:r w:rsidRPr="00065E5B">
        <w:t xml:space="preserve"> 20</w:t>
      </w:r>
      <w:r>
        <w:t>1</w:t>
      </w:r>
      <w:r w:rsidRPr="00065E5B">
        <w:t>0 (CCPR/C/SR.26</w:t>
      </w:r>
      <w:r>
        <w:t>9</w:t>
      </w:r>
      <w:r w:rsidRPr="00065E5B">
        <w:t>6 and 26</w:t>
      </w:r>
      <w:r>
        <w:t>97</w:t>
      </w:r>
      <w:r w:rsidRPr="00065E5B">
        <w:t xml:space="preserve">). At its </w:t>
      </w:r>
      <w:r>
        <w:t>2711</w:t>
      </w:r>
      <w:r w:rsidRPr="00921704">
        <w:t>th</w:t>
      </w:r>
      <w:r w:rsidRPr="00065E5B">
        <w:t xml:space="preserve"> </w:t>
      </w:r>
      <w:r>
        <w:t>and its 2712</w:t>
      </w:r>
      <w:r w:rsidRPr="00921704">
        <w:t>th</w:t>
      </w:r>
      <w:r>
        <w:t xml:space="preserve"> </w:t>
      </w:r>
      <w:r w:rsidRPr="00065E5B">
        <w:t>meeting</w:t>
      </w:r>
      <w:r>
        <w:t>s</w:t>
      </w:r>
      <w:r w:rsidRPr="00065E5B">
        <w:t xml:space="preserve">, held on </w:t>
      </w:r>
      <w:r>
        <w:t>25</w:t>
      </w:r>
      <w:r w:rsidR="00647E6C">
        <w:t> </w:t>
      </w:r>
      <w:r>
        <w:t>March</w:t>
      </w:r>
      <w:r w:rsidR="00921704">
        <w:t> </w:t>
      </w:r>
      <w:r w:rsidRPr="00065E5B">
        <w:t>20</w:t>
      </w:r>
      <w:r>
        <w:t>1</w:t>
      </w:r>
      <w:r w:rsidRPr="00065E5B">
        <w:t>0 (CCPR/C/SR</w:t>
      </w:r>
      <w:r>
        <w:t>.2711 and 2712</w:t>
      </w:r>
      <w:r w:rsidRPr="00065E5B">
        <w:t>), it adopted the following concluding observations.</w:t>
      </w:r>
    </w:p>
    <w:p w:rsidR="005121BA" w:rsidRPr="00065E5B" w:rsidRDefault="005121BA" w:rsidP="005121BA">
      <w:pPr>
        <w:pStyle w:val="H1G"/>
      </w:pPr>
      <w:r>
        <w:tab/>
        <w:t>A.</w:t>
      </w:r>
      <w:r>
        <w:tab/>
      </w:r>
      <w:r w:rsidRPr="00065E5B">
        <w:t>Introduction</w:t>
      </w:r>
    </w:p>
    <w:p w:rsidR="005121BA" w:rsidRPr="00065E5B" w:rsidRDefault="005121BA" w:rsidP="00647E6C">
      <w:pPr>
        <w:pStyle w:val="SingleTxtG"/>
      </w:pPr>
      <w:r>
        <w:t>2.</w:t>
      </w:r>
      <w:r>
        <w:tab/>
        <w:t>T</w:t>
      </w:r>
      <w:r w:rsidRPr="00065E5B">
        <w:t xml:space="preserve">he Committee </w:t>
      </w:r>
      <w:r>
        <w:t>notes with appreciation</w:t>
      </w:r>
      <w:r w:rsidRPr="00065E5B">
        <w:t xml:space="preserve"> the </w:t>
      </w:r>
      <w:r>
        <w:t xml:space="preserve">timely </w:t>
      </w:r>
      <w:r w:rsidRPr="00065E5B">
        <w:t xml:space="preserve">submission of the </w:t>
      </w:r>
      <w:r>
        <w:t>fifth</w:t>
      </w:r>
      <w:r w:rsidRPr="00065E5B">
        <w:t xml:space="preserve"> periodic report </w:t>
      </w:r>
      <w:r w:rsidR="00647E6C">
        <w:t>of the State party</w:t>
      </w:r>
      <w:r w:rsidR="00647E6C" w:rsidRPr="00065E5B">
        <w:t xml:space="preserve"> </w:t>
      </w:r>
      <w:r w:rsidRPr="00065E5B">
        <w:rPr>
          <w:rFonts w:ascii="TimesNewRomanPSMT" w:hAnsi="TimesNewRomanPSMT"/>
          <w:lang w:eastAsia="de-DE" w:bidi="x-none"/>
        </w:rPr>
        <w:t>which gives detailed information on measures adopted by the State party to further the implementation of the Covenant</w:t>
      </w:r>
      <w:r w:rsidRPr="00065E5B">
        <w:t xml:space="preserve">. </w:t>
      </w:r>
      <w:r>
        <w:t>Furthermore, i</w:t>
      </w:r>
      <w:r w:rsidRPr="00065E5B">
        <w:t xml:space="preserve">t </w:t>
      </w:r>
      <w:r>
        <w:t>expresses its appreciation for the quality of the written replies to the list of issues (CCPR/C/NZL</w:t>
      </w:r>
      <w:r w:rsidRPr="00065E5B">
        <w:t>/Q/</w:t>
      </w:r>
      <w:r>
        <w:t>5</w:t>
      </w:r>
      <w:r w:rsidRPr="00065E5B">
        <w:t xml:space="preserve">/Add.1) </w:t>
      </w:r>
      <w:r>
        <w:t xml:space="preserve">as well as of </w:t>
      </w:r>
      <w:r w:rsidRPr="00065E5B">
        <w:t>the answers provided</w:t>
      </w:r>
      <w:r>
        <w:t xml:space="preserve"> orally</w:t>
      </w:r>
      <w:r w:rsidRPr="00065E5B">
        <w:t xml:space="preserve"> during </w:t>
      </w:r>
      <w:r>
        <w:t>the consideration of the report.</w:t>
      </w:r>
    </w:p>
    <w:p w:rsidR="005121BA" w:rsidRPr="00065E5B" w:rsidRDefault="005121BA" w:rsidP="005121BA">
      <w:pPr>
        <w:pStyle w:val="H1G"/>
      </w:pPr>
      <w:r>
        <w:tab/>
        <w:t>B.</w:t>
      </w:r>
      <w:r>
        <w:tab/>
      </w:r>
      <w:r w:rsidRPr="00065E5B">
        <w:t xml:space="preserve">Positive aspects </w:t>
      </w:r>
    </w:p>
    <w:p w:rsidR="005121BA" w:rsidRDefault="005121BA" w:rsidP="005121BA">
      <w:pPr>
        <w:pStyle w:val="SingleTxtG"/>
      </w:pPr>
      <w:r>
        <w:t>3.</w:t>
      </w:r>
      <w:r>
        <w:tab/>
        <w:t>The Committee welcomes the following</w:t>
      </w:r>
      <w:r w:rsidRPr="00634968">
        <w:t xml:space="preserve"> </w:t>
      </w:r>
      <w:r>
        <w:t>legislative and other measures:</w:t>
      </w:r>
    </w:p>
    <w:p w:rsidR="005121BA" w:rsidRDefault="005121BA" w:rsidP="00647E6C">
      <w:pPr>
        <w:pStyle w:val="SingleTxtG"/>
        <w:ind w:firstLine="567"/>
      </w:pPr>
      <w:r>
        <w:t>(a)</w:t>
      </w:r>
      <w:r>
        <w:tab/>
      </w:r>
      <w:r w:rsidR="00647E6C">
        <w:t xml:space="preserve">The </w:t>
      </w:r>
      <w:r>
        <w:t xml:space="preserve">adoption of the Civil Union Act 2005 regarding the recognition of civil unions of persons of the same sex and the right to equality of gay, lesbian, bisexual and transgender persons; </w:t>
      </w:r>
    </w:p>
    <w:p w:rsidR="005121BA" w:rsidRDefault="005121BA" w:rsidP="00647E6C">
      <w:pPr>
        <w:pStyle w:val="SingleTxtG"/>
        <w:ind w:firstLine="567"/>
      </w:pPr>
      <w:r>
        <w:t>(b)</w:t>
      </w:r>
      <w:r>
        <w:tab/>
      </w:r>
      <w:r w:rsidR="00647E6C">
        <w:t xml:space="preserve">The </w:t>
      </w:r>
      <w:r>
        <w:t>repeal of the defence permitting the use of force against children in the home for the purposes of parental correction in the Crimes Act;</w:t>
      </w:r>
    </w:p>
    <w:p w:rsidR="005121BA" w:rsidRDefault="005121BA" w:rsidP="00647E6C">
      <w:pPr>
        <w:pStyle w:val="SingleTxtG"/>
        <w:ind w:firstLine="567"/>
      </w:pPr>
      <w:r>
        <w:rPr>
          <w:color w:val="000000"/>
          <w:szCs w:val="28"/>
        </w:rPr>
        <w:t>(c)</w:t>
      </w:r>
      <w:r>
        <w:rPr>
          <w:color w:val="000000"/>
          <w:szCs w:val="28"/>
        </w:rPr>
        <w:tab/>
      </w:r>
      <w:r w:rsidR="00647E6C" w:rsidRPr="00E06BC9">
        <w:rPr>
          <w:color w:val="000000"/>
          <w:szCs w:val="28"/>
        </w:rPr>
        <w:t xml:space="preserve">The </w:t>
      </w:r>
      <w:r w:rsidRPr="00E06BC9">
        <w:rPr>
          <w:color w:val="000000"/>
          <w:szCs w:val="28"/>
        </w:rPr>
        <w:t>adoption of the Immigration Act 2009</w:t>
      </w:r>
      <w:r>
        <w:t xml:space="preserve">; </w:t>
      </w:r>
    </w:p>
    <w:p w:rsidR="005121BA" w:rsidRDefault="005121BA" w:rsidP="008D3FE8">
      <w:pPr>
        <w:pStyle w:val="SingleTxtG"/>
        <w:ind w:firstLine="567"/>
      </w:pPr>
      <w:r>
        <w:t>(d)</w:t>
      </w:r>
      <w:r>
        <w:tab/>
      </w:r>
      <w:r w:rsidR="008D3FE8">
        <w:t xml:space="preserve">The </w:t>
      </w:r>
      <w:r>
        <w:t xml:space="preserve">ratification of international human rights treaties, including the International Convention on the Rights of Persons with Disabilities and the Optional Protocol to the Convention against torture and other cruel, inhuman or degrading treatment or punishment. </w:t>
      </w:r>
    </w:p>
    <w:p w:rsidR="005121BA" w:rsidRDefault="005121BA" w:rsidP="005121BA">
      <w:pPr>
        <w:pStyle w:val="SingleTxtG"/>
      </w:pPr>
      <w:r>
        <w:t>4.</w:t>
      </w:r>
      <w:r>
        <w:tab/>
      </w:r>
      <w:r w:rsidRPr="00F04CD4">
        <w:t xml:space="preserve">The Committee welcomes the contribution of the </w:t>
      </w:r>
      <w:r>
        <w:t xml:space="preserve">New Zealand </w:t>
      </w:r>
      <w:r w:rsidRPr="00F04CD4">
        <w:t>Human Rights Commission and non-governmental organizations to its work.</w:t>
      </w:r>
    </w:p>
    <w:p w:rsidR="005121BA" w:rsidRPr="00065E5B" w:rsidRDefault="005121BA" w:rsidP="005121BA">
      <w:pPr>
        <w:pStyle w:val="H1G"/>
      </w:pPr>
      <w:r>
        <w:tab/>
        <w:t>C.</w:t>
      </w:r>
      <w:r>
        <w:tab/>
      </w:r>
      <w:r w:rsidRPr="00065E5B">
        <w:t>Principal subjects of concern and recommendations</w:t>
      </w:r>
    </w:p>
    <w:p w:rsidR="005121BA" w:rsidRPr="00FE7419" w:rsidRDefault="005121BA" w:rsidP="001732E9">
      <w:pPr>
        <w:pStyle w:val="SingleTxtG"/>
        <w:rPr>
          <w:bCs/>
        </w:rPr>
      </w:pPr>
      <w:r>
        <w:t>5.</w:t>
      </w:r>
      <w:r>
        <w:tab/>
        <w:t>The Committee welcomes the State party’s indication that it is currently amending its regulations on detention so as to permit the withdrawal of its reservation to article 10, paragraphs 2</w:t>
      </w:r>
      <w:r w:rsidR="001732E9">
        <w:t xml:space="preserve"> </w:t>
      </w:r>
      <w:r>
        <w:t>(b) and 3</w:t>
      </w:r>
      <w:r w:rsidR="001732E9">
        <w:t>,</w:t>
      </w:r>
      <w:r>
        <w:t xml:space="preserve"> of </w:t>
      </w:r>
      <w:r w:rsidRPr="00FE7419">
        <w:rPr>
          <w:bCs/>
        </w:rPr>
        <w:t>the Covenant</w:t>
      </w:r>
      <w:r>
        <w:t xml:space="preserve">. </w:t>
      </w:r>
      <w:r w:rsidRPr="00FE7419">
        <w:rPr>
          <w:bCs/>
        </w:rPr>
        <w:t xml:space="preserve">The Committee </w:t>
      </w:r>
      <w:r>
        <w:rPr>
          <w:bCs/>
        </w:rPr>
        <w:t xml:space="preserve">further </w:t>
      </w:r>
      <w:r>
        <w:t>notes the intention</w:t>
      </w:r>
      <w:r w:rsidRPr="00FE7419">
        <w:t xml:space="preserve"> </w:t>
      </w:r>
      <w:r w:rsidR="001732E9">
        <w:t>of the State party</w:t>
      </w:r>
      <w:r w:rsidR="001732E9" w:rsidRPr="00FE7419">
        <w:t xml:space="preserve"> </w:t>
      </w:r>
      <w:r w:rsidRPr="00FE7419">
        <w:t xml:space="preserve">to </w:t>
      </w:r>
      <w:r>
        <w:t xml:space="preserve">maintain its other </w:t>
      </w:r>
      <w:r w:rsidRPr="00FE7419">
        <w:t>reservations</w:t>
      </w:r>
      <w:r w:rsidRPr="00FE7419">
        <w:rPr>
          <w:bCs/>
        </w:rPr>
        <w:t>.</w:t>
      </w:r>
      <w:r>
        <w:rPr>
          <w:bCs/>
        </w:rPr>
        <w:t xml:space="preserve"> </w:t>
      </w:r>
    </w:p>
    <w:p w:rsidR="005121BA" w:rsidRPr="00E5580E" w:rsidRDefault="005121BA" w:rsidP="001732E9">
      <w:pPr>
        <w:pStyle w:val="SingleTxtG"/>
        <w:ind w:left="1700"/>
        <w:rPr>
          <w:b/>
          <w:bCs/>
        </w:rPr>
      </w:pPr>
      <w:r>
        <w:rPr>
          <w:b/>
        </w:rPr>
        <w:t>The State party should proceed to withdraw its reservations to article 10, paragraphs 2</w:t>
      </w:r>
      <w:r w:rsidR="001732E9">
        <w:rPr>
          <w:b/>
        </w:rPr>
        <w:t xml:space="preserve"> </w:t>
      </w:r>
      <w:r>
        <w:rPr>
          <w:b/>
        </w:rPr>
        <w:t xml:space="preserve">(b) and 3, and </w:t>
      </w:r>
      <w:r>
        <w:rPr>
          <w:b/>
          <w:bCs/>
        </w:rPr>
        <w:t>consider withdrawing all its other reservations to the Covenant</w:t>
      </w:r>
      <w:r>
        <w:rPr>
          <w:b/>
        </w:rPr>
        <w:t>.</w:t>
      </w:r>
    </w:p>
    <w:p w:rsidR="005121BA" w:rsidRPr="00FE7419" w:rsidRDefault="005121BA" w:rsidP="00734A5C">
      <w:pPr>
        <w:pStyle w:val="SingleTxtG"/>
        <w:rPr>
          <w:bCs/>
        </w:rPr>
      </w:pPr>
      <w:r>
        <w:rPr>
          <w:bCs/>
        </w:rPr>
        <w:t>6.</w:t>
      </w:r>
      <w:r>
        <w:rPr>
          <w:bCs/>
        </w:rPr>
        <w:tab/>
      </w:r>
      <w:r w:rsidRPr="00FE7419">
        <w:rPr>
          <w:bCs/>
        </w:rPr>
        <w:t xml:space="preserve">The Committee </w:t>
      </w:r>
      <w:r>
        <w:rPr>
          <w:bCs/>
        </w:rPr>
        <w:t>welcomes</w:t>
      </w:r>
      <w:r w:rsidRPr="00FE7419">
        <w:rPr>
          <w:bCs/>
        </w:rPr>
        <w:t xml:space="preserve"> the adoption of a national action plan </w:t>
      </w:r>
      <w:r w:rsidR="00734A5C">
        <w:rPr>
          <w:bCs/>
        </w:rPr>
        <w:t>for</w:t>
      </w:r>
      <w:r w:rsidR="00734A5C" w:rsidRPr="00FE7419">
        <w:rPr>
          <w:bCs/>
        </w:rPr>
        <w:t xml:space="preserve"> </w:t>
      </w:r>
      <w:r w:rsidRPr="00FE7419">
        <w:rPr>
          <w:bCs/>
        </w:rPr>
        <w:t>human rights 2005-2010 by the New Zealand Human Rights Commission</w:t>
      </w:r>
      <w:r>
        <w:rPr>
          <w:bCs/>
        </w:rPr>
        <w:t xml:space="preserve"> and notes the delegation’s </w:t>
      </w:r>
      <w:r w:rsidRPr="00FE7419">
        <w:rPr>
          <w:bCs/>
        </w:rPr>
        <w:t xml:space="preserve">statement that all Government agencies are asked to take </w:t>
      </w:r>
      <w:r>
        <w:rPr>
          <w:bCs/>
        </w:rPr>
        <w:t xml:space="preserve">the action plan </w:t>
      </w:r>
      <w:r w:rsidRPr="00FE7419">
        <w:rPr>
          <w:bCs/>
        </w:rPr>
        <w:t>into consideration</w:t>
      </w:r>
      <w:r>
        <w:rPr>
          <w:bCs/>
        </w:rPr>
        <w:t xml:space="preserve"> when developing their policies and programs, but</w:t>
      </w:r>
      <w:r w:rsidRPr="00FE7419">
        <w:rPr>
          <w:bCs/>
        </w:rPr>
        <w:t xml:space="preserve"> is concerned that the State party has no</w:t>
      </w:r>
      <w:r>
        <w:rPr>
          <w:bCs/>
        </w:rPr>
        <w:t>t formally endorsed such a plan as Government policy</w:t>
      </w:r>
      <w:r w:rsidRPr="00FE7419">
        <w:rPr>
          <w:bCs/>
        </w:rPr>
        <w:t>. (art. 2)</w:t>
      </w:r>
    </w:p>
    <w:p w:rsidR="005121BA" w:rsidRPr="0061270F" w:rsidRDefault="005121BA" w:rsidP="005A670B">
      <w:pPr>
        <w:pStyle w:val="SingleTxtG"/>
        <w:ind w:left="1700"/>
        <w:rPr>
          <w:b/>
        </w:rPr>
      </w:pPr>
      <w:r w:rsidRPr="00FE7419">
        <w:rPr>
          <w:b/>
        </w:rPr>
        <w:t xml:space="preserve">The State party should engage in the </w:t>
      </w:r>
      <w:r>
        <w:rPr>
          <w:b/>
        </w:rPr>
        <w:t xml:space="preserve">development and the official </w:t>
      </w:r>
      <w:r w:rsidRPr="00FE7419">
        <w:rPr>
          <w:b/>
        </w:rPr>
        <w:t>adoption</w:t>
      </w:r>
      <w:r w:rsidRPr="00353F66">
        <w:rPr>
          <w:b/>
        </w:rPr>
        <w:t xml:space="preserve">, as </w:t>
      </w:r>
      <w:r w:rsidR="00930C47" w:rsidRPr="00353F66">
        <w:rPr>
          <w:b/>
        </w:rPr>
        <w:t xml:space="preserve">government </w:t>
      </w:r>
      <w:r w:rsidRPr="00353F66">
        <w:rPr>
          <w:b/>
        </w:rPr>
        <w:t>policy,</w:t>
      </w:r>
      <w:r w:rsidRPr="00FE7419">
        <w:rPr>
          <w:b/>
        </w:rPr>
        <w:t xml:space="preserve"> of a national human rights action plan 2010-2015.</w:t>
      </w:r>
    </w:p>
    <w:p w:rsidR="005121BA" w:rsidRPr="00F47E4D" w:rsidRDefault="005121BA" w:rsidP="005121BA">
      <w:pPr>
        <w:pStyle w:val="SingleTxtG"/>
        <w:rPr>
          <w:bCs/>
        </w:rPr>
      </w:pPr>
      <w:r>
        <w:rPr>
          <w:bCs/>
        </w:rPr>
        <w:t>7.</w:t>
      </w:r>
      <w:r>
        <w:rPr>
          <w:bCs/>
        </w:rPr>
        <w:tab/>
        <w:t>T</w:t>
      </w:r>
      <w:r w:rsidRPr="00F47E4D">
        <w:rPr>
          <w:bCs/>
        </w:rPr>
        <w:t xml:space="preserve">he Committee reiterates its concern that the Bill of Rights </w:t>
      </w:r>
      <w:r>
        <w:rPr>
          <w:bCs/>
        </w:rPr>
        <w:t xml:space="preserve">Act 1990 (BORA) does not reflect </w:t>
      </w:r>
      <w:r w:rsidRPr="00F47E4D">
        <w:rPr>
          <w:bCs/>
        </w:rPr>
        <w:t xml:space="preserve">all </w:t>
      </w:r>
      <w:r>
        <w:rPr>
          <w:bCs/>
        </w:rPr>
        <w:t>Covenant rights.</w:t>
      </w:r>
      <w:r w:rsidRPr="00F47E4D">
        <w:rPr>
          <w:bCs/>
        </w:rPr>
        <w:t xml:space="preserve"> </w:t>
      </w:r>
      <w:r>
        <w:rPr>
          <w:bCs/>
        </w:rPr>
        <w:t xml:space="preserve">It also remains concerned </w:t>
      </w:r>
      <w:r w:rsidRPr="00F47E4D">
        <w:rPr>
          <w:bCs/>
        </w:rPr>
        <w:t xml:space="preserve">that </w:t>
      </w:r>
      <w:r>
        <w:rPr>
          <w:bCs/>
        </w:rPr>
        <w:t>the Bill</w:t>
      </w:r>
      <w:r w:rsidRPr="00F47E4D">
        <w:rPr>
          <w:bCs/>
        </w:rPr>
        <w:t xml:space="preserve"> </w:t>
      </w:r>
      <w:r>
        <w:rPr>
          <w:bCs/>
        </w:rPr>
        <w:t xml:space="preserve">of Rights </w:t>
      </w:r>
      <w:r w:rsidRPr="00F47E4D">
        <w:rPr>
          <w:bCs/>
        </w:rPr>
        <w:t xml:space="preserve">does not </w:t>
      </w:r>
      <w:r>
        <w:rPr>
          <w:bCs/>
        </w:rPr>
        <w:t>take precedence over</w:t>
      </w:r>
      <w:r w:rsidRPr="00F47E4D">
        <w:rPr>
          <w:bCs/>
        </w:rPr>
        <w:t xml:space="preserve"> ordinary l</w:t>
      </w:r>
      <w:r>
        <w:rPr>
          <w:bCs/>
        </w:rPr>
        <w:t>aw, d</w:t>
      </w:r>
      <w:r w:rsidRPr="00F47E4D">
        <w:rPr>
          <w:bCs/>
        </w:rPr>
        <w:t xml:space="preserve">espite the </w:t>
      </w:r>
      <w:r>
        <w:rPr>
          <w:bCs/>
        </w:rPr>
        <w:t xml:space="preserve">2002 </w:t>
      </w:r>
      <w:r w:rsidRPr="00F47E4D">
        <w:rPr>
          <w:bCs/>
        </w:rPr>
        <w:t xml:space="preserve">recommendation </w:t>
      </w:r>
      <w:r>
        <w:rPr>
          <w:bCs/>
        </w:rPr>
        <w:t>of the Committee in this regard</w:t>
      </w:r>
      <w:r w:rsidRPr="00F47E4D">
        <w:rPr>
          <w:bCs/>
        </w:rPr>
        <w:t xml:space="preserve">. </w:t>
      </w:r>
      <w:r>
        <w:rPr>
          <w:bCs/>
        </w:rPr>
        <w:t>Furthermore, i</w:t>
      </w:r>
      <w:r w:rsidRPr="00F47E4D">
        <w:rPr>
          <w:bCs/>
        </w:rPr>
        <w:t xml:space="preserve">t remains concerned that laws </w:t>
      </w:r>
      <w:r>
        <w:rPr>
          <w:bCs/>
        </w:rPr>
        <w:t xml:space="preserve">adversely affecting the protection of human rights </w:t>
      </w:r>
      <w:r w:rsidRPr="00F47E4D">
        <w:rPr>
          <w:bCs/>
        </w:rPr>
        <w:t>have been enacted</w:t>
      </w:r>
      <w:r>
        <w:rPr>
          <w:bCs/>
        </w:rPr>
        <w:t xml:space="preserve"> in the State party</w:t>
      </w:r>
      <w:r w:rsidRPr="00F47E4D">
        <w:rPr>
          <w:bCs/>
        </w:rPr>
        <w:t>, notwithstanding</w:t>
      </w:r>
      <w:r>
        <w:rPr>
          <w:bCs/>
        </w:rPr>
        <w:t xml:space="preserve"> that they have been acknowledged by the Attorney-General as being inconsistent </w:t>
      </w:r>
      <w:r w:rsidRPr="00F47E4D">
        <w:rPr>
          <w:bCs/>
        </w:rPr>
        <w:t xml:space="preserve">with the </w:t>
      </w:r>
      <w:r>
        <w:rPr>
          <w:bCs/>
        </w:rPr>
        <w:t>BORA</w:t>
      </w:r>
      <w:r w:rsidRPr="00F47E4D">
        <w:t>.</w:t>
      </w:r>
      <w:r w:rsidRPr="00F47E4D">
        <w:rPr>
          <w:bCs/>
        </w:rPr>
        <w:t xml:space="preserve"> (art. 2)</w:t>
      </w:r>
    </w:p>
    <w:p w:rsidR="005121BA" w:rsidRPr="00F47E4D" w:rsidRDefault="005121BA" w:rsidP="005A670B">
      <w:pPr>
        <w:pStyle w:val="SingleTxtG"/>
        <w:ind w:left="1700"/>
        <w:rPr>
          <w:b/>
        </w:rPr>
      </w:pPr>
      <w:r w:rsidRPr="00F47E4D">
        <w:rPr>
          <w:b/>
        </w:rPr>
        <w:t xml:space="preserve">The State party should enact legislation giving full effect to </w:t>
      </w:r>
      <w:r>
        <w:rPr>
          <w:b/>
        </w:rPr>
        <w:t xml:space="preserve">all </w:t>
      </w:r>
      <w:r w:rsidRPr="00F47E4D">
        <w:rPr>
          <w:b/>
        </w:rPr>
        <w:t>Covenant</w:t>
      </w:r>
      <w:r>
        <w:rPr>
          <w:b/>
        </w:rPr>
        <w:t xml:space="preserve"> rights and provide victims with access to effective remedies within the domestic legal system</w:t>
      </w:r>
      <w:r w:rsidRPr="00F47E4D">
        <w:rPr>
          <w:b/>
        </w:rPr>
        <w:t>. It should also strengthen the current mechanism</w:t>
      </w:r>
      <w:r>
        <w:rPr>
          <w:b/>
        </w:rPr>
        <w:t>s</w:t>
      </w:r>
      <w:r w:rsidRPr="00F47E4D">
        <w:rPr>
          <w:b/>
        </w:rPr>
        <w:t xml:space="preserve"> to ensure compatibility of domestic law with </w:t>
      </w:r>
      <w:r>
        <w:rPr>
          <w:b/>
        </w:rPr>
        <w:t xml:space="preserve">the </w:t>
      </w:r>
      <w:r w:rsidRPr="00F47E4D">
        <w:rPr>
          <w:b/>
        </w:rPr>
        <w:t xml:space="preserve">Covenant. </w:t>
      </w:r>
    </w:p>
    <w:p w:rsidR="005121BA" w:rsidRPr="00AD1517" w:rsidRDefault="005121BA" w:rsidP="00930C47">
      <w:pPr>
        <w:pStyle w:val="SingleTxtG"/>
      </w:pPr>
      <w:r>
        <w:rPr>
          <w:bCs/>
        </w:rPr>
        <w:t>8.</w:t>
      </w:r>
      <w:r>
        <w:rPr>
          <w:bCs/>
        </w:rPr>
        <w:tab/>
        <w:t>While</w:t>
      </w:r>
      <w:r w:rsidRPr="00AD1517">
        <w:rPr>
          <w:bCs/>
        </w:rPr>
        <w:t xml:space="preserve"> welcom</w:t>
      </w:r>
      <w:r>
        <w:rPr>
          <w:bCs/>
        </w:rPr>
        <w:t>ing</w:t>
      </w:r>
      <w:r w:rsidRPr="00AD1517">
        <w:rPr>
          <w:bCs/>
        </w:rPr>
        <w:t xml:space="preserve"> the </w:t>
      </w:r>
      <w:r>
        <w:rPr>
          <w:bCs/>
        </w:rPr>
        <w:t>decision</w:t>
      </w:r>
      <w:r w:rsidR="00930C47" w:rsidRPr="00930C47">
        <w:rPr>
          <w:bCs/>
        </w:rPr>
        <w:t xml:space="preserve"> </w:t>
      </w:r>
      <w:r w:rsidR="00930C47">
        <w:rPr>
          <w:bCs/>
        </w:rPr>
        <w:t>of the State party</w:t>
      </w:r>
      <w:r>
        <w:rPr>
          <w:bCs/>
        </w:rPr>
        <w:t xml:space="preserve"> to undertake a </w:t>
      </w:r>
      <w:r w:rsidRPr="00AD1517">
        <w:rPr>
          <w:bCs/>
        </w:rPr>
        <w:t>ca</w:t>
      </w:r>
      <w:r>
        <w:rPr>
          <w:bCs/>
        </w:rPr>
        <w:t>se-flow analysis of the Family C</w:t>
      </w:r>
      <w:r w:rsidRPr="00AD1517">
        <w:rPr>
          <w:bCs/>
        </w:rPr>
        <w:t>ou</w:t>
      </w:r>
      <w:r>
        <w:rPr>
          <w:bCs/>
        </w:rPr>
        <w:t xml:space="preserve">rt with a view to reducing delays in issuing decisions following the views adopted in </w:t>
      </w:r>
      <w:r w:rsidRPr="00AD1517">
        <w:t xml:space="preserve">Communication No. 1368/2005 </w:t>
      </w:r>
      <w:r w:rsidRPr="00AD1517">
        <w:rPr>
          <w:bCs/>
        </w:rPr>
        <w:t>(</w:t>
      </w:r>
      <w:r w:rsidRPr="00AD1517">
        <w:t>CCPR/C/89/D/1368/2005/Rev.1</w:t>
      </w:r>
      <w:r w:rsidRPr="00AD1517">
        <w:rPr>
          <w:bCs/>
        </w:rPr>
        <w:t>)</w:t>
      </w:r>
      <w:r>
        <w:rPr>
          <w:bCs/>
        </w:rPr>
        <w:t xml:space="preserve">, the Committee is concerned that the authors of the case </w:t>
      </w:r>
      <w:r w:rsidRPr="00AD1517">
        <w:rPr>
          <w:bCs/>
        </w:rPr>
        <w:t xml:space="preserve">have not </w:t>
      </w:r>
      <w:r>
        <w:rPr>
          <w:bCs/>
        </w:rPr>
        <w:t>yet received reparation</w:t>
      </w:r>
      <w:r w:rsidRPr="00AD1517">
        <w:rPr>
          <w:bCs/>
        </w:rPr>
        <w:t>. (art.</w:t>
      </w:r>
      <w:r w:rsidR="00930C47">
        <w:rPr>
          <w:bCs/>
        </w:rPr>
        <w:t> </w:t>
      </w:r>
      <w:r w:rsidRPr="00AD1517">
        <w:rPr>
          <w:bCs/>
        </w:rPr>
        <w:t xml:space="preserve">2) </w:t>
      </w:r>
    </w:p>
    <w:p w:rsidR="005121BA" w:rsidRDefault="005121BA" w:rsidP="005A670B">
      <w:pPr>
        <w:pStyle w:val="SingleTxtG"/>
        <w:ind w:left="1700"/>
        <w:rPr>
          <w:b/>
          <w:bCs/>
        </w:rPr>
      </w:pPr>
      <w:r w:rsidRPr="00AD1517">
        <w:rPr>
          <w:b/>
          <w:bCs/>
        </w:rPr>
        <w:t xml:space="preserve">The State party should give full effect to </w:t>
      </w:r>
      <w:r>
        <w:rPr>
          <w:b/>
          <w:bCs/>
        </w:rPr>
        <w:t>all</w:t>
      </w:r>
      <w:r w:rsidRPr="00AD1517">
        <w:rPr>
          <w:b/>
          <w:bCs/>
        </w:rPr>
        <w:t xml:space="preserve"> views on individual communications</w:t>
      </w:r>
      <w:r>
        <w:rPr>
          <w:b/>
          <w:bCs/>
        </w:rPr>
        <w:t xml:space="preserve"> adopted by the Committee</w:t>
      </w:r>
      <w:r w:rsidRPr="00AD1517">
        <w:rPr>
          <w:b/>
          <w:bCs/>
        </w:rPr>
        <w:t>, in order to comply with article 2, paragraph 3</w:t>
      </w:r>
      <w:r w:rsidR="00930C47">
        <w:rPr>
          <w:b/>
          <w:bCs/>
        </w:rPr>
        <w:t>,</w:t>
      </w:r>
      <w:r w:rsidRPr="00AD1517">
        <w:rPr>
          <w:b/>
          <w:bCs/>
        </w:rPr>
        <w:t xml:space="preserve"> of the Covenant which guarantees </w:t>
      </w:r>
      <w:r>
        <w:rPr>
          <w:b/>
          <w:bCs/>
        </w:rPr>
        <w:t>the</w:t>
      </w:r>
      <w:r w:rsidRPr="00AD1517">
        <w:rPr>
          <w:b/>
          <w:bCs/>
        </w:rPr>
        <w:t xml:space="preserve"> </w:t>
      </w:r>
      <w:r w:rsidRPr="005A670B">
        <w:rPr>
          <w:b/>
        </w:rPr>
        <w:t>right</w:t>
      </w:r>
      <w:r w:rsidRPr="00AD1517">
        <w:rPr>
          <w:b/>
          <w:bCs/>
        </w:rPr>
        <w:t xml:space="preserve"> </w:t>
      </w:r>
      <w:r>
        <w:rPr>
          <w:b/>
          <w:bCs/>
        </w:rPr>
        <w:t xml:space="preserve">of a victim of a human rights violation </w:t>
      </w:r>
      <w:r w:rsidRPr="00AD1517">
        <w:rPr>
          <w:b/>
          <w:bCs/>
        </w:rPr>
        <w:t>to an effective remedy and reparation when there has been a violation of the Covenant.</w:t>
      </w:r>
    </w:p>
    <w:p w:rsidR="005121BA" w:rsidRPr="000C486C" w:rsidRDefault="005121BA" w:rsidP="005121BA">
      <w:pPr>
        <w:pStyle w:val="SingleTxtG"/>
        <w:rPr>
          <w:bCs/>
        </w:rPr>
      </w:pPr>
      <w:r>
        <w:t>9.</w:t>
      </w:r>
      <w:r>
        <w:tab/>
      </w:r>
      <w:r w:rsidRPr="000C486C">
        <w:t>The Committee is concerned about the low representation of women in high-level and managerial positions and on boards of private enterprises. (arts. 2, 3, 25 and 26).</w:t>
      </w:r>
    </w:p>
    <w:p w:rsidR="005121BA" w:rsidRPr="00D83DC6" w:rsidRDefault="005121BA" w:rsidP="00914534">
      <w:pPr>
        <w:pStyle w:val="SingleTxtG"/>
        <w:ind w:left="1700"/>
        <w:rPr>
          <w:b/>
          <w:bCs/>
        </w:rPr>
      </w:pPr>
      <w:r w:rsidRPr="000C486C">
        <w:rPr>
          <w:b/>
          <w:bCs/>
        </w:rPr>
        <w:t xml:space="preserve">In light of </w:t>
      </w:r>
      <w:r>
        <w:rPr>
          <w:b/>
          <w:bCs/>
        </w:rPr>
        <w:t>the Committee’s</w:t>
      </w:r>
      <w:r w:rsidRPr="000C486C">
        <w:rPr>
          <w:b/>
          <w:bCs/>
        </w:rPr>
        <w:t xml:space="preserve"> </w:t>
      </w:r>
      <w:r w:rsidR="00930C47" w:rsidRPr="000C486C">
        <w:rPr>
          <w:b/>
          <w:bCs/>
        </w:rPr>
        <w:t>general</w:t>
      </w:r>
      <w:r w:rsidRPr="000C486C">
        <w:rPr>
          <w:b/>
          <w:bCs/>
        </w:rPr>
        <w:t xml:space="preserve"> comment </w:t>
      </w:r>
      <w:r w:rsidR="00914534">
        <w:rPr>
          <w:b/>
          <w:bCs/>
        </w:rPr>
        <w:t>N</w:t>
      </w:r>
      <w:r w:rsidR="00914534" w:rsidRPr="000C486C">
        <w:rPr>
          <w:b/>
          <w:bCs/>
        </w:rPr>
        <w:t>o</w:t>
      </w:r>
      <w:r w:rsidRPr="000C486C">
        <w:rPr>
          <w:b/>
          <w:bCs/>
        </w:rPr>
        <w:t xml:space="preserve">. 28 (2000) on article 3 (the equality of rights between </w:t>
      </w:r>
      <w:r w:rsidRPr="005A670B">
        <w:rPr>
          <w:b/>
        </w:rPr>
        <w:t>men</w:t>
      </w:r>
      <w:r w:rsidRPr="000C486C">
        <w:rPr>
          <w:b/>
          <w:bCs/>
        </w:rPr>
        <w:t xml:space="preserve"> and women),</w:t>
      </w:r>
      <w:r>
        <w:rPr>
          <w:b/>
          <w:bCs/>
        </w:rPr>
        <w:t xml:space="preserve"> t</w:t>
      </w:r>
      <w:r w:rsidRPr="000C486C">
        <w:rPr>
          <w:b/>
          <w:bCs/>
        </w:rPr>
        <w:t xml:space="preserve">he State party should seek ways to further </w:t>
      </w:r>
      <w:r>
        <w:rPr>
          <w:b/>
          <w:bCs/>
        </w:rPr>
        <w:t>encourage</w:t>
      </w:r>
      <w:r w:rsidRPr="000C486C">
        <w:rPr>
          <w:b/>
          <w:bCs/>
        </w:rPr>
        <w:t xml:space="preserve"> the participation of women in high-level and managerial positions and on boards of private enterprises through enhanced cooperation and dialogue with partners in the private sector.</w:t>
      </w:r>
    </w:p>
    <w:p w:rsidR="005121BA" w:rsidRPr="000C486C" w:rsidRDefault="005121BA" w:rsidP="00400EF6">
      <w:pPr>
        <w:pStyle w:val="SingleTxtG"/>
        <w:rPr>
          <w:color w:val="000000"/>
          <w:szCs w:val="28"/>
        </w:rPr>
      </w:pPr>
      <w:r>
        <w:t>10.</w:t>
      </w:r>
      <w:r>
        <w:tab/>
      </w:r>
      <w:r w:rsidRPr="000C486C">
        <w:t xml:space="preserve">While noting the assurances </w:t>
      </w:r>
      <w:r w:rsidR="00400EF6">
        <w:t>of the State party</w:t>
      </w:r>
      <w:r w:rsidR="00400EF6" w:rsidRPr="000C486C">
        <w:t xml:space="preserve"> </w:t>
      </w:r>
      <w:r w:rsidRPr="000C486C">
        <w:t xml:space="preserve">that electro-muscular disruption devices (EMDs) “TASERs” are only to be used by trained </w:t>
      </w:r>
      <w:r>
        <w:t>law enforcement officers</w:t>
      </w:r>
      <w:r w:rsidRPr="000C486C">
        <w:t xml:space="preserve"> and in situations in which such use is warranted</w:t>
      </w:r>
      <w:r>
        <w:t xml:space="preserve"> by clear and strict guidelines</w:t>
      </w:r>
      <w:r w:rsidRPr="000C486C">
        <w:t xml:space="preserve">, the Committee is concerned </w:t>
      </w:r>
      <w:r>
        <w:t>that</w:t>
      </w:r>
      <w:r w:rsidRPr="000C486C">
        <w:t xml:space="preserve"> </w:t>
      </w:r>
      <w:r>
        <w:t>the use of such weapons may lead to</w:t>
      </w:r>
      <w:r w:rsidRPr="000C486C">
        <w:t xml:space="preserve"> severe pain</w:t>
      </w:r>
      <w:r>
        <w:t>, including</w:t>
      </w:r>
      <w:r w:rsidRPr="000C486C">
        <w:t xml:space="preserve"> life-threatening injuries.</w:t>
      </w:r>
      <w:r>
        <w:t xml:space="preserve"> </w:t>
      </w:r>
      <w:r w:rsidRPr="000C486C">
        <w:t>(arts. 6 and 7) </w:t>
      </w:r>
    </w:p>
    <w:p w:rsidR="005121BA" w:rsidRPr="00C05EC2" w:rsidRDefault="005121BA" w:rsidP="005A670B">
      <w:pPr>
        <w:pStyle w:val="SingleTxtG"/>
        <w:ind w:left="1700"/>
        <w:rPr>
          <w:b/>
          <w:bCs/>
          <w:color w:val="000000"/>
          <w:szCs w:val="28"/>
        </w:rPr>
      </w:pPr>
      <w:r w:rsidRPr="0032259C">
        <w:rPr>
          <w:b/>
          <w:bCs/>
        </w:rPr>
        <w:t>The State party should consider relinquishing the use of electro-muscular disruption devices (EMDs) “TASERs”.</w:t>
      </w:r>
      <w:r w:rsidRPr="0032259C">
        <w:rPr>
          <w:b/>
          <w:bCs/>
          <w:color w:val="000000"/>
          <w:szCs w:val="28"/>
        </w:rPr>
        <w:t xml:space="preserve"> While such weapons remain in use, i</w:t>
      </w:r>
      <w:r w:rsidRPr="0032259C">
        <w:rPr>
          <w:b/>
          <w:bCs/>
        </w:rPr>
        <w:t xml:space="preserve">t should intensify its efforts to ensure </w:t>
      </w:r>
      <w:r w:rsidRPr="005A670B">
        <w:rPr>
          <w:b/>
        </w:rPr>
        <w:t>that</w:t>
      </w:r>
      <w:r w:rsidRPr="0032259C">
        <w:rPr>
          <w:b/>
          <w:bCs/>
        </w:rPr>
        <w:t xml:space="preserve"> its guidelines, which restrict their use to situations where greater or lethal force would be justified, are adhered to by law enforcement officers at all times</w:t>
      </w:r>
      <w:r w:rsidRPr="000C486C">
        <w:rPr>
          <w:b/>
          <w:bCs/>
        </w:rPr>
        <w:t>.</w:t>
      </w:r>
      <w:r w:rsidRPr="00C05EC2">
        <w:rPr>
          <w:b/>
          <w:bCs/>
        </w:rPr>
        <w:t> </w:t>
      </w:r>
      <w:r>
        <w:rPr>
          <w:b/>
          <w:bCs/>
        </w:rPr>
        <w:t xml:space="preserve"> The State party should continue carrying out research on the effects of the use such weapons. </w:t>
      </w:r>
    </w:p>
    <w:p w:rsidR="005121BA" w:rsidRPr="004F73E4" w:rsidRDefault="005121BA" w:rsidP="005121BA">
      <w:pPr>
        <w:pStyle w:val="SingleTxtG"/>
        <w:rPr>
          <w:color w:val="000000"/>
          <w:szCs w:val="28"/>
        </w:rPr>
      </w:pPr>
      <w:r>
        <w:rPr>
          <w:color w:val="000000"/>
          <w:szCs w:val="28"/>
        </w:rPr>
        <w:t>11.</w:t>
      </w:r>
      <w:r>
        <w:rPr>
          <w:color w:val="000000"/>
          <w:szCs w:val="28"/>
        </w:rPr>
        <w:tab/>
      </w:r>
      <w:r w:rsidRPr="004F73E4">
        <w:rPr>
          <w:color w:val="000000"/>
          <w:szCs w:val="28"/>
        </w:rPr>
        <w:t xml:space="preserve">While noting the steps taken by the State party to address the risk </w:t>
      </w:r>
      <w:r>
        <w:rPr>
          <w:color w:val="000000"/>
          <w:szCs w:val="28"/>
        </w:rPr>
        <w:t>of</w:t>
      </w:r>
      <w:r w:rsidRPr="004F73E4">
        <w:rPr>
          <w:color w:val="000000"/>
          <w:szCs w:val="28"/>
        </w:rPr>
        <w:t xml:space="preserve"> human rights violation</w:t>
      </w:r>
      <w:r>
        <w:rPr>
          <w:color w:val="000000"/>
          <w:szCs w:val="28"/>
        </w:rPr>
        <w:t>s</w:t>
      </w:r>
      <w:r w:rsidRPr="004F73E4">
        <w:rPr>
          <w:color w:val="000000"/>
          <w:szCs w:val="28"/>
        </w:rPr>
        <w:t xml:space="preserve"> in relation with the Corrections (Contract Management of Prisons) Amendment Bill 2009, the Committee reiterates its concern at the privatization of prison management. </w:t>
      </w:r>
      <w:r>
        <w:rPr>
          <w:color w:val="000000"/>
          <w:szCs w:val="28"/>
        </w:rPr>
        <w:t>It remains concerned as to whether such</w:t>
      </w:r>
      <w:r w:rsidRPr="004F73E4">
        <w:rPr>
          <w:color w:val="000000"/>
          <w:szCs w:val="28"/>
        </w:rPr>
        <w:t xml:space="preserve"> privatization in an area where the State party is responsible for the protection of human rights of persons deprived of their liberty</w:t>
      </w:r>
      <w:r>
        <w:rPr>
          <w:color w:val="000000"/>
          <w:szCs w:val="28"/>
        </w:rPr>
        <w:t xml:space="preserve"> effectively meets the </w:t>
      </w:r>
      <w:r w:rsidRPr="004F73E4">
        <w:rPr>
          <w:color w:val="000000"/>
          <w:szCs w:val="28"/>
        </w:rPr>
        <w:t xml:space="preserve">obligations </w:t>
      </w:r>
      <w:r>
        <w:rPr>
          <w:color w:val="000000"/>
          <w:szCs w:val="28"/>
        </w:rPr>
        <w:t xml:space="preserve">of the State party </w:t>
      </w:r>
      <w:r w:rsidRPr="004F73E4">
        <w:rPr>
          <w:color w:val="000000"/>
          <w:szCs w:val="28"/>
        </w:rPr>
        <w:t xml:space="preserve">under the Covenant and its accountability for any violations, irrespective of the safeguards in place. (arts. 2 and 10)  </w:t>
      </w:r>
    </w:p>
    <w:p w:rsidR="005121BA" w:rsidRPr="009E6494" w:rsidRDefault="005121BA" w:rsidP="00400EF6">
      <w:pPr>
        <w:pStyle w:val="SingleTxtG"/>
        <w:ind w:left="1700"/>
        <w:rPr>
          <w:b/>
          <w:bCs/>
          <w:color w:val="000000"/>
          <w:szCs w:val="28"/>
        </w:rPr>
      </w:pPr>
      <w:r w:rsidRPr="004F73E4">
        <w:rPr>
          <w:b/>
          <w:bCs/>
          <w:color w:val="000000"/>
          <w:szCs w:val="28"/>
        </w:rPr>
        <w:t>The State party should ensure that all persons deprived of their liberty are guaranteed all rights enshrined in the Covenant</w:t>
      </w:r>
      <w:r>
        <w:rPr>
          <w:b/>
          <w:bCs/>
          <w:color w:val="000000"/>
          <w:szCs w:val="28"/>
        </w:rPr>
        <w:t xml:space="preserve">. In particular, all measures of privatization of prison management should continue to be closely monitored with a view to ensuring that under no circumstances can the State party’s responsibility for guaranteeing to all persons deprived of their liberty all Covenant rights, in particular those under article 10, be impeded. </w:t>
      </w:r>
    </w:p>
    <w:p w:rsidR="005121BA" w:rsidRPr="006C4913" w:rsidRDefault="005121BA" w:rsidP="005121BA">
      <w:pPr>
        <w:pStyle w:val="SingleTxtG"/>
        <w:rPr>
          <w:color w:val="000000"/>
          <w:szCs w:val="28"/>
        </w:rPr>
      </w:pPr>
      <w:r>
        <w:rPr>
          <w:color w:val="000000"/>
          <w:szCs w:val="28"/>
        </w:rPr>
        <w:t>12.</w:t>
      </w:r>
      <w:r>
        <w:rPr>
          <w:color w:val="000000"/>
          <w:szCs w:val="28"/>
        </w:rPr>
        <w:tab/>
      </w:r>
      <w:r w:rsidRPr="006C4913">
        <w:rPr>
          <w:color w:val="000000"/>
          <w:szCs w:val="28"/>
        </w:rPr>
        <w:t>While noting the delegation’s acknowledgement</w:t>
      </w:r>
      <w:r>
        <w:rPr>
          <w:color w:val="000000"/>
          <w:szCs w:val="28"/>
        </w:rPr>
        <w:t>,</w:t>
      </w:r>
      <w:r w:rsidRPr="006C4913">
        <w:rPr>
          <w:color w:val="000000"/>
          <w:szCs w:val="28"/>
        </w:rPr>
        <w:t xml:space="preserve"> the Committee notes with concern the disproportionately high incarceration rate of </w:t>
      </w:r>
      <w:r w:rsidRPr="006C4913">
        <w:t>Māori</w:t>
      </w:r>
      <w:r w:rsidRPr="006C4913">
        <w:rPr>
          <w:color w:val="000000"/>
          <w:szCs w:val="28"/>
        </w:rPr>
        <w:t xml:space="preserve">, in particular </w:t>
      </w:r>
      <w:r w:rsidRPr="006C4913">
        <w:t>Māori</w:t>
      </w:r>
      <w:r w:rsidRPr="006C4913">
        <w:rPr>
          <w:color w:val="000000"/>
          <w:szCs w:val="28"/>
        </w:rPr>
        <w:t xml:space="preserve"> women. It is also concerned </w:t>
      </w:r>
      <w:r>
        <w:rPr>
          <w:color w:val="000000"/>
          <w:szCs w:val="28"/>
        </w:rPr>
        <w:t xml:space="preserve">that the proportion of </w:t>
      </w:r>
      <w:r w:rsidRPr="006C4913">
        <w:t>Māori</w:t>
      </w:r>
      <w:r w:rsidRPr="006C4913">
        <w:rPr>
          <w:color w:val="000000"/>
          <w:szCs w:val="28"/>
        </w:rPr>
        <w:t xml:space="preserve"> </w:t>
      </w:r>
      <w:r>
        <w:rPr>
          <w:color w:val="000000"/>
          <w:szCs w:val="28"/>
        </w:rPr>
        <w:t>among persons accused of a crime as well as among victims of a crime is substantially higher than their proportion within the general population, which points to underlying social causes and raises concerns regarding the possibility of discrimination in the administration of justice.</w:t>
      </w:r>
      <w:r w:rsidRPr="006C4913">
        <w:rPr>
          <w:color w:val="000000"/>
          <w:szCs w:val="28"/>
        </w:rPr>
        <w:t xml:space="preserve"> (arts. 2, 10 and 14)</w:t>
      </w:r>
    </w:p>
    <w:p w:rsidR="005121BA" w:rsidRDefault="005121BA" w:rsidP="005A670B">
      <w:pPr>
        <w:pStyle w:val="SingleTxtG"/>
        <w:ind w:left="1700"/>
        <w:rPr>
          <w:b/>
          <w:color w:val="000000"/>
          <w:szCs w:val="28"/>
        </w:rPr>
      </w:pPr>
      <w:r w:rsidRPr="006C4913">
        <w:rPr>
          <w:b/>
          <w:color w:val="000000"/>
          <w:szCs w:val="28"/>
        </w:rPr>
        <w:t>The State party should strengthen its efforts to reduce the over-representation</w:t>
      </w:r>
      <w:r w:rsidR="0020768C">
        <w:rPr>
          <w:b/>
          <w:color w:val="000000"/>
          <w:szCs w:val="28"/>
        </w:rPr>
        <w:t xml:space="preserve"> </w:t>
      </w:r>
      <w:r w:rsidRPr="006C4913">
        <w:rPr>
          <w:b/>
          <w:color w:val="000000"/>
          <w:szCs w:val="28"/>
        </w:rPr>
        <w:t xml:space="preserve">of </w:t>
      </w:r>
      <w:r w:rsidRPr="006C4913">
        <w:rPr>
          <w:b/>
          <w:bCs/>
        </w:rPr>
        <w:t>Māori</w:t>
      </w:r>
      <w:r w:rsidRPr="006C4913">
        <w:rPr>
          <w:b/>
          <w:color w:val="000000"/>
          <w:szCs w:val="28"/>
        </w:rPr>
        <w:t xml:space="preserve">, in particular </w:t>
      </w:r>
      <w:r w:rsidRPr="006C4913">
        <w:rPr>
          <w:b/>
          <w:bCs/>
        </w:rPr>
        <w:t>Māori</w:t>
      </w:r>
      <w:r w:rsidRPr="006C4913">
        <w:rPr>
          <w:b/>
          <w:color w:val="000000"/>
          <w:szCs w:val="28"/>
        </w:rPr>
        <w:t xml:space="preserve"> women, in prisons</w:t>
      </w:r>
      <w:r>
        <w:rPr>
          <w:b/>
          <w:color w:val="000000"/>
          <w:szCs w:val="28"/>
        </w:rPr>
        <w:t xml:space="preserve"> and continue</w:t>
      </w:r>
      <w:r w:rsidRPr="006C4913">
        <w:rPr>
          <w:b/>
          <w:color w:val="000000"/>
          <w:szCs w:val="28"/>
        </w:rPr>
        <w:t xml:space="preserve"> ad</w:t>
      </w:r>
      <w:r>
        <w:rPr>
          <w:b/>
          <w:color w:val="000000"/>
          <w:szCs w:val="28"/>
        </w:rPr>
        <w:t>dressing the root causes of this</w:t>
      </w:r>
      <w:r w:rsidRPr="006C4913">
        <w:rPr>
          <w:b/>
          <w:color w:val="000000"/>
          <w:szCs w:val="28"/>
        </w:rPr>
        <w:t xml:space="preserve"> </w:t>
      </w:r>
      <w:r>
        <w:rPr>
          <w:b/>
          <w:color w:val="000000"/>
          <w:szCs w:val="28"/>
        </w:rPr>
        <w:t xml:space="preserve">phenomenon. The State party should also increase its efforts to prevent discrimination against </w:t>
      </w:r>
      <w:r w:rsidRPr="005A670B">
        <w:rPr>
          <w:b/>
          <w:bCs/>
          <w:color w:val="000000"/>
          <w:szCs w:val="28"/>
        </w:rPr>
        <w:t>Māori</w:t>
      </w:r>
      <w:r w:rsidRPr="006C4913">
        <w:rPr>
          <w:b/>
          <w:color w:val="000000"/>
          <w:szCs w:val="28"/>
        </w:rPr>
        <w:t xml:space="preserve"> </w:t>
      </w:r>
      <w:r>
        <w:rPr>
          <w:b/>
          <w:color w:val="000000"/>
          <w:szCs w:val="28"/>
        </w:rPr>
        <w:t>in the administration of justice</w:t>
      </w:r>
      <w:r w:rsidRPr="006C4913">
        <w:rPr>
          <w:b/>
          <w:color w:val="000000"/>
          <w:szCs w:val="28"/>
        </w:rPr>
        <w:t xml:space="preserve">. Law enforcement officials and the judiciary should receive adequate </w:t>
      </w:r>
      <w:r>
        <w:rPr>
          <w:b/>
          <w:color w:val="000000"/>
          <w:szCs w:val="28"/>
        </w:rPr>
        <w:t xml:space="preserve">human rights </w:t>
      </w:r>
      <w:r w:rsidRPr="006C4913">
        <w:rPr>
          <w:b/>
          <w:color w:val="000000"/>
          <w:szCs w:val="28"/>
        </w:rPr>
        <w:t>training</w:t>
      </w:r>
      <w:r>
        <w:rPr>
          <w:b/>
          <w:color w:val="000000"/>
          <w:szCs w:val="28"/>
        </w:rPr>
        <w:t>, in particular on the principle of equality and non-dis</w:t>
      </w:r>
      <w:r w:rsidRPr="006C4913">
        <w:rPr>
          <w:b/>
          <w:color w:val="000000"/>
          <w:szCs w:val="28"/>
        </w:rPr>
        <w:t>criminat</w:t>
      </w:r>
      <w:r>
        <w:rPr>
          <w:b/>
          <w:color w:val="000000"/>
          <w:szCs w:val="28"/>
        </w:rPr>
        <w:t>ion</w:t>
      </w:r>
      <w:r w:rsidRPr="006C4913">
        <w:rPr>
          <w:b/>
          <w:color w:val="000000"/>
          <w:szCs w:val="28"/>
        </w:rPr>
        <w:t>.</w:t>
      </w:r>
      <w:r>
        <w:rPr>
          <w:b/>
          <w:color w:val="000000"/>
          <w:szCs w:val="28"/>
        </w:rPr>
        <w:t xml:space="preserve"> </w:t>
      </w:r>
    </w:p>
    <w:p w:rsidR="005121BA" w:rsidRPr="00A55236" w:rsidRDefault="005121BA" w:rsidP="002D2D8C">
      <w:pPr>
        <w:pStyle w:val="SingleTxtG"/>
        <w:rPr>
          <w:bCs/>
        </w:rPr>
      </w:pPr>
      <w:r>
        <w:t>13.</w:t>
      </w:r>
      <w:r>
        <w:tab/>
      </w:r>
      <w:r w:rsidRPr="00A55236">
        <w:t xml:space="preserve">While noting the obligations imposed under Security Council </w:t>
      </w:r>
      <w:r w:rsidR="002D2D8C" w:rsidRPr="00A55236">
        <w:t xml:space="preserve">resolution </w:t>
      </w:r>
      <w:r w:rsidRPr="00A55236">
        <w:t>1373 (2001)</w:t>
      </w:r>
      <w:r w:rsidRPr="00A55236">
        <w:rPr>
          <w:bCs/>
        </w:rPr>
        <w:t xml:space="preserve">, the Committee expresses concern at </w:t>
      </w:r>
      <w:r>
        <w:rPr>
          <w:bCs/>
        </w:rPr>
        <w:t xml:space="preserve">the compatibility of </w:t>
      </w:r>
      <w:r w:rsidRPr="00A55236">
        <w:rPr>
          <w:bCs/>
        </w:rPr>
        <w:t xml:space="preserve">some provisions of the Terrorism Suppression Amendment Act </w:t>
      </w:r>
      <w:r>
        <w:rPr>
          <w:bCs/>
        </w:rPr>
        <w:t>2007</w:t>
      </w:r>
      <w:r w:rsidRPr="00A55236">
        <w:rPr>
          <w:bCs/>
        </w:rPr>
        <w:t xml:space="preserve"> with the Covenant.</w:t>
      </w:r>
      <w:r>
        <w:rPr>
          <w:bCs/>
        </w:rPr>
        <w:t xml:space="preserve"> I</w:t>
      </w:r>
      <w:r w:rsidRPr="00A55236">
        <w:rPr>
          <w:bCs/>
        </w:rPr>
        <w:t xml:space="preserve">t is particularly concerned at </w:t>
      </w:r>
      <w:r>
        <w:rPr>
          <w:bCs/>
        </w:rPr>
        <w:t>the designation procedures</w:t>
      </w:r>
      <w:r w:rsidRPr="00A55236">
        <w:rPr>
          <w:bCs/>
        </w:rPr>
        <w:t xml:space="preserve"> of groups or individuals as terrorist entities </w:t>
      </w:r>
      <w:r>
        <w:rPr>
          <w:bCs/>
        </w:rPr>
        <w:t>and</w:t>
      </w:r>
      <w:r w:rsidRPr="00A55236">
        <w:rPr>
          <w:bCs/>
        </w:rPr>
        <w:t xml:space="preserve"> </w:t>
      </w:r>
      <w:r>
        <w:rPr>
          <w:bCs/>
        </w:rPr>
        <w:t xml:space="preserve">at </w:t>
      </w:r>
      <w:r w:rsidRPr="00A55236">
        <w:rPr>
          <w:bCs/>
        </w:rPr>
        <w:t xml:space="preserve">the lack of </w:t>
      </w:r>
      <w:r>
        <w:rPr>
          <w:bCs/>
        </w:rPr>
        <w:t>a provision in the Act to challenge these designations, which are incompatible with article 14 of the Covenant. The Committee</w:t>
      </w:r>
      <w:r w:rsidRPr="00A55236">
        <w:rPr>
          <w:bCs/>
        </w:rPr>
        <w:t xml:space="preserve"> </w:t>
      </w:r>
      <w:r>
        <w:rPr>
          <w:bCs/>
        </w:rPr>
        <w:t>is</w:t>
      </w:r>
      <w:r w:rsidRPr="00A55236">
        <w:rPr>
          <w:bCs/>
        </w:rPr>
        <w:t xml:space="preserve"> </w:t>
      </w:r>
      <w:r>
        <w:rPr>
          <w:bCs/>
        </w:rPr>
        <w:t xml:space="preserve">also </w:t>
      </w:r>
      <w:r w:rsidRPr="00A55236">
        <w:rPr>
          <w:bCs/>
        </w:rPr>
        <w:t>concern</w:t>
      </w:r>
      <w:r>
        <w:rPr>
          <w:bCs/>
        </w:rPr>
        <w:t xml:space="preserve">ed about the introduction of a new section allowing courts to receive or hear </w:t>
      </w:r>
      <w:r w:rsidRPr="00A55236">
        <w:rPr>
          <w:bCs/>
        </w:rPr>
        <w:t>classified</w:t>
      </w:r>
      <w:r>
        <w:rPr>
          <w:bCs/>
        </w:rPr>
        <w:t xml:space="preserve"> security information against groups or individuals designated as terrorist entities in their absence</w:t>
      </w:r>
      <w:r w:rsidRPr="00A55236">
        <w:rPr>
          <w:bCs/>
        </w:rPr>
        <w:t>. (arts. 2, 14 and 26)</w:t>
      </w:r>
    </w:p>
    <w:p w:rsidR="005121BA" w:rsidRDefault="005121BA" w:rsidP="005A670B">
      <w:pPr>
        <w:pStyle w:val="SingleTxtG"/>
        <w:ind w:left="1700"/>
        <w:rPr>
          <w:b/>
        </w:rPr>
      </w:pPr>
      <w:r w:rsidRPr="00A55236">
        <w:rPr>
          <w:b/>
          <w:bCs/>
        </w:rPr>
        <w:t xml:space="preserve">The State party </w:t>
      </w:r>
      <w:r w:rsidRPr="005A670B">
        <w:rPr>
          <w:b/>
          <w:bCs/>
          <w:color w:val="000000"/>
          <w:szCs w:val="28"/>
        </w:rPr>
        <w:t>should</w:t>
      </w:r>
      <w:r w:rsidRPr="00A55236">
        <w:rPr>
          <w:b/>
          <w:bCs/>
        </w:rPr>
        <w:t xml:space="preserve"> ensure that its counter-terrorism legislation is in full conformity with th</w:t>
      </w:r>
      <w:r>
        <w:rPr>
          <w:b/>
          <w:bCs/>
        </w:rPr>
        <w:t>e Covenant</w:t>
      </w:r>
      <w:r w:rsidRPr="00A55236">
        <w:rPr>
          <w:b/>
          <w:bCs/>
        </w:rPr>
        <w:t xml:space="preserve">. In particular, it should take steps to ensure that the measures taken to implement Security Council </w:t>
      </w:r>
      <w:r w:rsidR="002D2D8C" w:rsidRPr="00A55236">
        <w:rPr>
          <w:b/>
          <w:bCs/>
        </w:rPr>
        <w:t xml:space="preserve">resolution </w:t>
      </w:r>
      <w:r w:rsidRPr="00A55236">
        <w:rPr>
          <w:b/>
          <w:bCs/>
        </w:rPr>
        <w:t>1267 (1999) as well as the national designation procedures for terrori</w:t>
      </w:r>
      <w:r>
        <w:rPr>
          <w:b/>
          <w:bCs/>
        </w:rPr>
        <w:t xml:space="preserve">st groups fully comply </w:t>
      </w:r>
      <w:r w:rsidRPr="00A55236">
        <w:rPr>
          <w:b/>
          <w:bCs/>
        </w:rPr>
        <w:t xml:space="preserve">with </w:t>
      </w:r>
      <w:r>
        <w:rPr>
          <w:b/>
          <w:bCs/>
        </w:rPr>
        <w:t>all the</w:t>
      </w:r>
      <w:r w:rsidRPr="00A55236">
        <w:rPr>
          <w:b/>
          <w:bCs/>
        </w:rPr>
        <w:t xml:space="preserve"> legal safeguards enshrined in article 14 of the Covenant. </w:t>
      </w:r>
    </w:p>
    <w:p w:rsidR="005121BA" w:rsidRPr="009A799C" w:rsidRDefault="005121BA" w:rsidP="005121BA">
      <w:pPr>
        <w:pStyle w:val="SingleTxtG"/>
        <w:rPr>
          <w:bCs/>
        </w:rPr>
      </w:pPr>
      <w:r>
        <w:rPr>
          <w:bCs/>
        </w:rPr>
        <w:t>14.</w:t>
      </w:r>
      <w:r>
        <w:rPr>
          <w:bCs/>
        </w:rPr>
        <w:tab/>
        <w:t>While acknowledging the delegation’s explanations, t</w:t>
      </w:r>
      <w:r w:rsidRPr="009A799C">
        <w:rPr>
          <w:bCs/>
        </w:rPr>
        <w:t xml:space="preserve">he Committee regrets the lack of information concerning the proceedings with regard to so-called Operation 8 </w:t>
      </w:r>
      <w:r>
        <w:rPr>
          <w:bCs/>
        </w:rPr>
        <w:t xml:space="preserve">(anti-terrorism raids carried out on </w:t>
      </w:r>
      <w:r w:rsidRPr="009A799C">
        <w:rPr>
          <w:bCs/>
        </w:rPr>
        <w:t>15 October 2007</w:t>
      </w:r>
      <w:r>
        <w:rPr>
          <w:bCs/>
        </w:rPr>
        <w:t>)</w:t>
      </w:r>
      <w:r w:rsidRPr="009A799C">
        <w:rPr>
          <w:bCs/>
        </w:rPr>
        <w:t xml:space="preserve">, which allegedly involved excessive use of force against </w:t>
      </w:r>
      <w:r w:rsidRPr="00E0609A">
        <w:t>Māori</w:t>
      </w:r>
      <w:r w:rsidRPr="00E0609A">
        <w:rPr>
          <w:rFonts w:ascii="TimesNewRoman" w:hAnsi="TimesNewRoman" w:cs="TimesNewRoman"/>
        </w:rPr>
        <w:t xml:space="preserve"> </w:t>
      </w:r>
      <w:r w:rsidRPr="009A799C">
        <w:rPr>
          <w:bCs/>
        </w:rPr>
        <w:t>communities.</w:t>
      </w:r>
      <w:r>
        <w:rPr>
          <w:bCs/>
        </w:rPr>
        <w:t xml:space="preserve"> It also notes with concern that the trials of the suspects arrested during this operation will only begin in 2011. (arts. 2, 7, 14 and 26)</w:t>
      </w:r>
    </w:p>
    <w:p w:rsidR="005121BA" w:rsidRDefault="005121BA" w:rsidP="005A670B">
      <w:pPr>
        <w:pStyle w:val="SingleTxtG"/>
        <w:ind w:left="1700"/>
        <w:rPr>
          <w:b/>
          <w:bCs/>
        </w:rPr>
      </w:pPr>
      <w:r w:rsidRPr="000716F0">
        <w:rPr>
          <w:b/>
          <w:bCs/>
        </w:rPr>
        <w:t>The State party should ensure that the Terrorism Suppression Amendment Act is not applied in a discriminatory manner and does not lead to excessive use of force against suspects</w:t>
      </w:r>
      <w:r>
        <w:rPr>
          <w:b/>
          <w:bCs/>
        </w:rPr>
        <w:t xml:space="preserve">, in light of the need to balance the preservation of public security and the enjoyment of </w:t>
      </w:r>
      <w:r w:rsidRPr="005A670B">
        <w:rPr>
          <w:b/>
          <w:bCs/>
          <w:color w:val="000000"/>
          <w:szCs w:val="28"/>
        </w:rPr>
        <w:t>individual</w:t>
      </w:r>
      <w:r>
        <w:rPr>
          <w:b/>
          <w:bCs/>
        </w:rPr>
        <w:t xml:space="preserve"> rights</w:t>
      </w:r>
      <w:r w:rsidRPr="000716F0">
        <w:rPr>
          <w:b/>
          <w:bCs/>
        </w:rPr>
        <w:t>. It should also provide the Committee in its next periodic report with detailed information on the results of any investigation, prosecution and disciplinary measures taken vis-à-vis law enforcement officials in connection with the alleged human rights violations perpetrated, in particular cases of excessive use of force, in the context of Operation 8.</w:t>
      </w:r>
      <w:r>
        <w:rPr>
          <w:b/>
          <w:bCs/>
        </w:rPr>
        <w:t xml:space="preserve"> Furthermore, the State party should ensure that the trials of those arrested in the context of Operation 8 are held within a reasonable timeframe.</w:t>
      </w:r>
    </w:p>
    <w:p w:rsidR="005121BA" w:rsidRPr="004915C1" w:rsidRDefault="005121BA" w:rsidP="005121BA">
      <w:pPr>
        <w:pStyle w:val="SingleTxtG"/>
      </w:pPr>
      <w:r>
        <w:t>15.</w:t>
      </w:r>
      <w:r>
        <w:tab/>
      </w:r>
      <w:r w:rsidRPr="004915C1">
        <w:t xml:space="preserve">While the Committee welcomes the measures adopted concerning trafficking in human beings, the Committee is concerned that to date, </w:t>
      </w:r>
      <w:r>
        <w:t>the State party has failed to identify any</w:t>
      </w:r>
      <w:r w:rsidRPr="004915C1">
        <w:t xml:space="preserve"> case of trafficking. (art. 8)</w:t>
      </w:r>
    </w:p>
    <w:p w:rsidR="005121BA" w:rsidRPr="00730188" w:rsidRDefault="005121BA" w:rsidP="005A670B">
      <w:pPr>
        <w:pStyle w:val="SingleTxtG"/>
        <w:ind w:left="1700"/>
        <w:rPr>
          <w:b/>
          <w:bCs/>
        </w:rPr>
      </w:pPr>
      <w:r w:rsidRPr="00730188">
        <w:rPr>
          <w:b/>
          <w:bCs/>
        </w:rPr>
        <w:t>The State party should intensify its efforts to identify victims of trafficking and ensure the systematic collection of data on trafficking flows to and in transit through its territory. Training for police officers, border guards, judges, lawyers and other relevant personnel should be provided, in order to raise awareness of the sensitivity of the issue of trafficking and the rights of victims.</w:t>
      </w:r>
    </w:p>
    <w:p w:rsidR="005121BA" w:rsidRPr="00E06BC9" w:rsidRDefault="005121BA" w:rsidP="005121BA">
      <w:pPr>
        <w:pStyle w:val="SingleTxtG"/>
        <w:rPr>
          <w:color w:val="000000"/>
          <w:szCs w:val="28"/>
        </w:rPr>
      </w:pPr>
      <w:r>
        <w:rPr>
          <w:color w:val="000000"/>
          <w:szCs w:val="28"/>
        </w:rPr>
        <w:t>16.</w:t>
      </w:r>
      <w:r>
        <w:rPr>
          <w:color w:val="000000"/>
          <w:szCs w:val="28"/>
        </w:rPr>
        <w:tab/>
        <w:t>The Committee</w:t>
      </w:r>
      <w:r w:rsidRPr="00E06BC9">
        <w:rPr>
          <w:color w:val="000000"/>
          <w:szCs w:val="28"/>
        </w:rPr>
        <w:t xml:space="preserve"> </w:t>
      </w:r>
      <w:r>
        <w:rPr>
          <w:color w:val="000000"/>
          <w:szCs w:val="28"/>
        </w:rPr>
        <w:t xml:space="preserve">notes </w:t>
      </w:r>
      <w:r w:rsidRPr="00E06BC9">
        <w:rPr>
          <w:color w:val="000000"/>
          <w:szCs w:val="28"/>
        </w:rPr>
        <w:t xml:space="preserve">the State party’s policy </w:t>
      </w:r>
      <w:r w:rsidRPr="00E06BC9">
        <w:rPr>
          <w:bCs/>
        </w:rPr>
        <w:t>to use</w:t>
      </w:r>
      <w:r w:rsidRPr="00E06BC9">
        <w:t xml:space="preserve"> detention of asylum-seekers in very </w:t>
      </w:r>
      <w:r>
        <w:t>limited circumstances</w:t>
      </w:r>
      <w:r w:rsidRPr="00E06BC9">
        <w:rPr>
          <w:color w:val="000000"/>
          <w:szCs w:val="28"/>
        </w:rPr>
        <w:t xml:space="preserve">. </w:t>
      </w:r>
      <w:r>
        <w:rPr>
          <w:color w:val="000000"/>
          <w:szCs w:val="28"/>
        </w:rPr>
        <w:t xml:space="preserve">Furthermore, it </w:t>
      </w:r>
      <w:r w:rsidRPr="00E06BC9">
        <w:rPr>
          <w:color w:val="000000"/>
          <w:szCs w:val="28"/>
        </w:rPr>
        <w:t xml:space="preserve">is concerned </w:t>
      </w:r>
      <w:r>
        <w:rPr>
          <w:color w:val="000000"/>
          <w:szCs w:val="28"/>
        </w:rPr>
        <w:t>that</w:t>
      </w:r>
      <w:r w:rsidRPr="00E06BC9">
        <w:rPr>
          <w:color w:val="000000"/>
          <w:szCs w:val="28"/>
        </w:rPr>
        <w:t xml:space="preserve"> the State party’s policy</w:t>
      </w:r>
      <w:r>
        <w:rPr>
          <w:color w:val="000000"/>
          <w:szCs w:val="28"/>
        </w:rPr>
        <w:t xml:space="preserve"> of</w:t>
      </w:r>
      <w:r w:rsidRPr="00E06BC9">
        <w:rPr>
          <w:color w:val="000000"/>
          <w:szCs w:val="28"/>
        </w:rPr>
        <w:t xml:space="preserve"> “safe third countr</w:t>
      </w:r>
      <w:r>
        <w:rPr>
          <w:color w:val="000000"/>
          <w:szCs w:val="28"/>
        </w:rPr>
        <w:t>ies</w:t>
      </w:r>
      <w:r w:rsidRPr="00E06BC9">
        <w:rPr>
          <w:color w:val="000000"/>
          <w:szCs w:val="28"/>
        </w:rPr>
        <w:t>”</w:t>
      </w:r>
      <w:r>
        <w:rPr>
          <w:b/>
        </w:rPr>
        <w:t xml:space="preserve"> </w:t>
      </w:r>
      <w:r w:rsidRPr="00353F66">
        <w:rPr>
          <w:bCs/>
        </w:rPr>
        <w:t>permits the refusal to consider a claim for protection or refugee status on the basis that the person lodged, or could have lodged, a claim in another country,</w:t>
      </w:r>
      <w:r w:rsidRPr="00353F66">
        <w:rPr>
          <w:bCs/>
          <w:color w:val="000000"/>
          <w:szCs w:val="28"/>
        </w:rPr>
        <w:t xml:space="preserve"> </w:t>
      </w:r>
      <w:r w:rsidRPr="00E06BC9">
        <w:rPr>
          <w:color w:val="000000"/>
          <w:szCs w:val="28"/>
        </w:rPr>
        <w:t>which may lead to breaches of the principle of non-refoulement</w:t>
      </w:r>
      <w:r>
        <w:rPr>
          <w:color w:val="000000"/>
          <w:szCs w:val="28"/>
        </w:rPr>
        <w:t xml:space="preserve">. It is also concerned </w:t>
      </w:r>
      <w:r w:rsidRPr="00E06BC9">
        <w:rPr>
          <w:color w:val="000000"/>
          <w:szCs w:val="28"/>
        </w:rPr>
        <w:t>at reports that asylum-seekers and undocumented migrants are detained in correctional facilities together with convicted prisoners</w:t>
      </w:r>
      <w:r>
        <w:rPr>
          <w:color w:val="000000"/>
          <w:szCs w:val="28"/>
        </w:rPr>
        <w:t>.</w:t>
      </w:r>
      <w:r w:rsidRPr="00E06BC9">
        <w:rPr>
          <w:color w:val="000000"/>
          <w:szCs w:val="28"/>
        </w:rPr>
        <w:t xml:space="preserve"> (art. 13)</w:t>
      </w:r>
    </w:p>
    <w:p w:rsidR="005121BA" w:rsidRDefault="005121BA" w:rsidP="005A670B">
      <w:pPr>
        <w:pStyle w:val="SingleTxtG"/>
        <w:ind w:left="1700"/>
        <w:rPr>
          <w:b/>
          <w:color w:val="000000"/>
          <w:szCs w:val="28"/>
        </w:rPr>
      </w:pPr>
      <w:r w:rsidRPr="00E06BC9">
        <w:rPr>
          <w:b/>
          <w:color w:val="000000"/>
          <w:szCs w:val="28"/>
        </w:rPr>
        <w:t>The State party should</w:t>
      </w:r>
      <w:r>
        <w:rPr>
          <w:b/>
          <w:color w:val="000000"/>
          <w:szCs w:val="28"/>
        </w:rPr>
        <w:t>:</w:t>
      </w:r>
      <w:r w:rsidRPr="00E06BC9">
        <w:rPr>
          <w:b/>
          <w:color w:val="000000"/>
          <w:szCs w:val="28"/>
        </w:rPr>
        <w:t xml:space="preserve"> </w:t>
      </w:r>
    </w:p>
    <w:p w:rsidR="005121BA" w:rsidRDefault="00937A2A" w:rsidP="005A670B">
      <w:pPr>
        <w:pStyle w:val="SingleTxtG"/>
        <w:ind w:left="1701" w:firstLine="567"/>
        <w:rPr>
          <w:b/>
          <w:color w:val="000000"/>
          <w:szCs w:val="28"/>
        </w:rPr>
      </w:pPr>
      <w:r>
        <w:rPr>
          <w:b/>
          <w:color w:val="000000"/>
          <w:szCs w:val="28"/>
        </w:rPr>
        <w:t>(</w:t>
      </w:r>
      <w:r w:rsidR="005121BA">
        <w:rPr>
          <w:b/>
          <w:color w:val="000000"/>
          <w:szCs w:val="28"/>
        </w:rPr>
        <w:t xml:space="preserve">a) </w:t>
      </w:r>
      <w:r w:rsidR="00EA45A4">
        <w:rPr>
          <w:b/>
          <w:color w:val="000000"/>
          <w:szCs w:val="28"/>
        </w:rPr>
        <w:t>Bring</w:t>
      </w:r>
      <w:r w:rsidR="005121BA">
        <w:rPr>
          <w:b/>
          <w:color w:val="000000"/>
          <w:szCs w:val="28"/>
        </w:rPr>
        <w:t xml:space="preserve"> </w:t>
      </w:r>
      <w:r w:rsidR="005121BA" w:rsidRPr="00E06BC9">
        <w:rPr>
          <w:b/>
          <w:color w:val="000000"/>
          <w:szCs w:val="28"/>
        </w:rPr>
        <w:t>its legislation</w:t>
      </w:r>
      <w:r w:rsidR="005121BA">
        <w:rPr>
          <w:b/>
          <w:color w:val="000000"/>
          <w:szCs w:val="28"/>
        </w:rPr>
        <w:t xml:space="preserve"> fully</w:t>
      </w:r>
      <w:r w:rsidR="005121BA" w:rsidRPr="00E06BC9">
        <w:rPr>
          <w:b/>
          <w:color w:val="000000"/>
          <w:szCs w:val="28"/>
        </w:rPr>
        <w:t xml:space="preserve"> in line with the principle of non-refoulement</w:t>
      </w:r>
      <w:r w:rsidR="005121BA">
        <w:rPr>
          <w:b/>
          <w:color w:val="000000"/>
          <w:szCs w:val="28"/>
        </w:rPr>
        <w:t>;</w:t>
      </w:r>
      <w:r w:rsidR="005121BA" w:rsidRPr="00E06BC9">
        <w:rPr>
          <w:b/>
          <w:color w:val="000000"/>
          <w:szCs w:val="28"/>
        </w:rPr>
        <w:t xml:space="preserve"> </w:t>
      </w:r>
    </w:p>
    <w:p w:rsidR="005121BA" w:rsidRDefault="00937A2A" w:rsidP="00937A2A">
      <w:pPr>
        <w:pStyle w:val="SingleTxtG"/>
        <w:ind w:left="1701" w:firstLine="567"/>
        <w:rPr>
          <w:b/>
          <w:color w:val="000000"/>
          <w:szCs w:val="28"/>
        </w:rPr>
      </w:pPr>
      <w:r>
        <w:rPr>
          <w:b/>
          <w:color w:val="000000"/>
          <w:szCs w:val="28"/>
        </w:rPr>
        <w:t>(</w:t>
      </w:r>
      <w:r w:rsidR="005121BA">
        <w:rPr>
          <w:b/>
          <w:color w:val="000000"/>
          <w:szCs w:val="28"/>
        </w:rPr>
        <w:t xml:space="preserve">b) </w:t>
      </w:r>
      <w:r w:rsidR="00EA45A4">
        <w:rPr>
          <w:b/>
          <w:color w:val="000000"/>
          <w:szCs w:val="28"/>
        </w:rPr>
        <w:t xml:space="preserve">Ensure </w:t>
      </w:r>
      <w:r w:rsidR="005121BA">
        <w:rPr>
          <w:b/>
          <w:color w:val="000000"/>
          <w:szCs w:val="28"/>
        </w:rPr>
        <w:t>that no</w:t>
      </w:r>
      <w:r w:rsidR="005121BA">
        <w:rPr>
          <w:b/>
          <w:bCs/>
        </w:rPr>
        <w:t xml:space="preserve"> asylum-seeker</w:t>
      </w:r>
      <w:r w:rsidR="005121BA" w:rsidRPr="00E06BC9">
        <w:rPr>
          <w:b/>
          <w:bCs/>
        </w:rPr>
        <w:t xml:space="preserve"> </w:t>
      </w:r>
      <w:r w:rsidR="005121BA">
        <w:rPr>
          <w:b/>
          <w:bCs/>
        </w:rPr>
        <w:t>or refugee is detained in</w:t>
      </w:r>
      <w:r w:rsidR="005121BA" w:rsidRPr="00E06BC9">
        <w:rPr>
          <w:b/>
          <w:bCs/>
        </w:rPr>
        <w:t xml:space="preserve"> correctional facilities and other places of detention</w:t>
      </w:r>
      <w:r w:rsidR="005121BA">
        <w:rPr>
          <w:b/>
          <w:bCs/>
        </w:rPr>
        <w:t xml:space="preserve"> together with convicted prisoners</w:t>
      </w:r>
      <w:r w:rsidR="005121BA" w:rsidRPr="00E06BC9">
        <w:rPr>
          <w:b/>
          <w:bCs/>
        </w:rPr>
        <w:t>,</w:t>
      </w:r>
      <w:r w:rsidR="005121BA">
        <w:rPr>
          <w:b/>
          <w:bCs/>
        </w:rPr>
        <w:t xml:space="preserve"> and </w:t>
      </w:r>
      <w:r w:rsidR="005121BA" w:rsidRPr="00E06BC9">
        <w:rPr>
          <w:b/>
          <w:color w:val="000000"/>
          <w:szCs w:val="28"/>
        </w:rPr>
        <w:t xml:space="preserve">amend </w:t>
      </w:r>
      <w:r w:rsidR="005121BA" w:rsidRPr="00E06BC9">
        <w:rPr>
          <w:b/>
          <w:bCs/>
        </w:rPr>
        <w:t xml:space="preserve">the </w:t>
      </w:r>
      <w:r w:rsidR="005121BA">
        <w:rPr>
          <w:b/>
          <w:bCs/>
        </w:rPr>
        <w:t xml:space="preserve">Immigration </w:t>
      </w:r>
      <w:r w:rsidR="005121BA" w:rsidRPr="00E06BC9">
        <w:rPr>
          <w:b/>
          <w:bCs/>
        </w:rPr>
        <w:t>Act</w:t>
      </w:r>
      <w:r w:rsidR="005121BA">
        <w:rPr>
          <w:b/>
          <w:bCs/>
        </w:rPr>
        <w:t xml:space="preserve"> accordingly</w:t>
      </w:r>
      <w:r w:rsidR="005121BA">
        <w:rPr>
          <w:b/>
          <w:color w:val="000000"/>
          <w:szCs w:val="28"/>
        </w:rPr>
        <w:t xml:space="preserve">; </w:t>
      </w:r>
    </w:p>
    <w:p w:rsidR="005121BA" w:rsidRPr="007C6358" w:rsidRDefault="00937A2A" w:rsidP="005A670B">
      <w:pPr>
        <w:pStyle w:val="SingleTxtG"/>
        <w:ind w:left="1701" w:firstLine="567"/>
        <w:rPr>
          <w:b/>
          <w:color w:val="000000"/>
          <w:szCs w:val="28"/>
        </w:rPr>
      </w:pPr>
      <w:r>
        <w:rPr>
          <w:b/>
          <w:color w:val="000000"/>
          <w:szCs w:val="28"/>
        </w:rPr>
        <w:t>(</w:t>
      </w:r>
      <w:r w:rsidR="005121BA">
        <w:rPr>
          <w:b/>
          <w:color w:val="000000"/>
          <w:szCs w:val="28"/>
        </w:rPr>
        <w:t xml:space="preserve">c) </w:t>
      </w:r>
      <w:r w:rsidR="00EA45A4">
        <w:rPr>
          <w:b/>
          <w:color w:val="000000"/>
          <w:szCs w:val="28"/>
        </w:rPr>
        <w:t xml:space="preserve">Consider </w:t>
      </w:r>
      <w:r w:rsidR="005121BA" w:rsidRPr="005A670B">
        <w:rPr>
          <w:b/>
          <w:bCs/>
        </w:rPr>
        <w:t>extending</w:t>
      </w:r>
      <w:r w:rsidR="005121BA" w:rsidRPr="00E06BC9">
        <w:rPr>
          <w:b/>
          <w:color w:val="000000"/>
          <w:szCs w:val="28"/>
        </w:rPr>
        <w:t xml:space="preserve"> the mandate of the New Zealand Human Rights Commission </w:t>
      </w:r>
      <w:r w:rsidR="005121BA">
        <w:rPr>
          <w:b/>
          <w:color w:val="000000"/>
          <w:szCs w:val="28"/>
        </w:rPr>
        <w:t xml:space="preserve">so that it can receive complaints </w:t>
      </w:r>
      <w:r w:rsidR="005121BA" w:rsidRPr="00E06BC9">
        <w:rPr>
          <w:b/>
          <w:color w:val="000000"/>
          <w:szCs w:val="28"/>
        </w:rPr>
        <w:t>of human rights violations related to immigration laws, policies and practices</w:t>
      </w:r>
      <w:r w:rsidR="005121BA">
        <w:rPr>
          <w:b/>
          <w:color w:val="000000"/>
          <w:szCs w:val="28"/>
        </w:rPr>
        <w:t xml:space="preserve"> and report on them</w:t>
      </w:r>
      <w:r w:rsidR="005121BA" w:rsidRPr="00E06BC9">
        <w:rPr>
          <w:b/>
          <w:color w:val="000000"/>
          <w:szCs w:val="28"/>
        </w:rPr>
        <w:t>.</w:t>
      </w:r>
      <w:r w:rsidR="005121BA">
        <w:rPr>
          <w:b/>
          <w:color w:val="000000"/>
          <w:szCs w:val="28"/>
        </w:rPr>
        <w:t xml:space="preserve"> </w:t>
      </w:r>
    </w:p>
    <w:p w:rsidR="005121BA" w:rsidRPr="00933DB8" w:rsidRDefault="005121BA" w:rsidP="005121BA">
      <w:pPr>
        <w:pStyle w:val="SingleTxtG"/>
        <w:rPr>
          <w:bCs/>
        </w:rPr>
      </w:pPr>
      <w:r>
        <w:t>17.</w:t>
      </w:r>
      <w:r>
        <w:tab/>
      </w:r>
      <w:r w:rsidRPr="00933DB8">
        <w:t xml:space="preserve">The Committee </w:t>
      </w:r>
      <w:r>
        <w:t>is concerned</w:t>
      </w:r>
      <w:r w:rsidRPr="00933DB8">
        <w:t xml:space="preserve"> that the finding of an infringement of the presumption of innocence in criminal l</w:t>
      </w:r>
      <w:r>
        <w:t>egislation</w:t>
      </w:r>
      <w:r w:rsidRPr="00933DB8">
        <w:t xml:space="preserve"> related to drug possession by the Supreme Court has not yet led to amendments of the relevant legislation. (arts. 9 and 14).  </w:t>
      </w:r>
    </w:p>
    <w:p w:rsidR="005121BA" w:rsidRPr="00933DB8" w:rsidRDefault="005121BA" w:rsidP="00EA45A4">
      <w:pPr>
        <w:pStyle w:val="SingleTxtG"/>
        <w:ind w:left="1700"/>
        <w:rPr>
          <w:b/>
          <w:bCs/>
        </w:rPr>
      </w:pPr>
      <w:r w:rsidRPr="00933DB8">
        <w:rPr>
          <w:b/>
          <w:bCs/>
        </w:rPr>
        <w:t xml:space="preserve">In light of the Committee’s </w:t>
      </w:r>
      <w:r w:rsidR="00EA45A4" w:rsidRPr="00933DB8">
        <w:rPr>
          <w:b/>
          <w:bCs/>
        </w:rPr>
        <w:t xml:space="preserve">general comment </w:t>
      </w:r>
      <w:r w:rsidRPr="00933DB8">
        <w:rPr>
          <w:b/>
          <w:bCs/>
        </w:rPr>
        <w:t>No. 32 (2007) on article 14 (Right to equality before courts and tribunals and to a fair trial), the State party should expedite the adoption of amendments to the Misuse of Drugs Act 1975, with a view to ensuring compatibility with articles 9 and 1</w:t>
      </w:r>
      <w:r>
        <w:rPr>
          <w:b/>
          <w:bCs/>
        </w:rPr>
        <w:t xml:space="preserve">4 of the Covenant and </w:t>
      </w:r>
      <w:r w:rsidR="00EA45A4">
        <w:rPr>
          <w:b/>
          <w:bCs/>
        </w:rPr>
        <w:t>ensuring</w:t>
      </w:r>
      <w:r w:rsidR="00EA45A4" w:rsidRPr="00933DB8">
        <w:rPr>
          <w:b/>
          <w:bCs/>
        </w:rPr>
        <w:t xml:space="preserve"> </w:t>
      </w:r>
      <w:r w:rsidRPr="00933DB8">
        <w:rPr>
          <w:b/>
          <w:bCs/>
        </w:rPr>
        <w:t>the right to be presumed innocent.</w:t>
      </w:r>
    </w:p>
    <w:p w:rsidR="005121BA" w:rsidRPr="00FD2D9F" w:rsidRDefault="005121BA" w:rsidP="005121BA">
      <w:pPr>
        <w:pStyle w:val="SingleTxtG"/>
        <w:rPr>
          <w:bCs/>
        </w:rPr>
      </w:pPr>
      <w:r>
        <w:t>18.</w:t>
      </w:r>
      <w:r>
        <w:tab/>
        <w:t>While</w:t>
      </w:r>
      <w:r w:rsidRPr="00FD2D9F">
        <w:t xml:space="preserve"> </w:t>
      </w:r>
      <w:r>
        <w:t>welcoming</w:t>
      </w:r>
      <w:r w:rsidRPr="00FD2D9F">
        <w:t xml:space="preserve"> the initiatives taken to prote</w:t>
      </w:r>
      <w:r>
        <w:t>ct children from abuse and noting</w:t>
      </w:r>
      <w:r w:rsidRPr="00FD2D9F">
        <w:t xml:space="preserve"> the State party’s acknowledgment of the need for addressing this issue</w:t>
      </w:r>
      <w:r>
        <w:t>, the Committee</w:t>
      </w:r>
      <w:r w:rsidRPr="00FD2D9F">
        <w:t xml:space="preserve"> expresses concern at the </w:t>
      </w:r>
      <w:r>
        <w:t>incidence</w:t>
      </w:r>
      <w:r w:rsidRPr="00FD2D9F">
        <w:t xml:space="preserve"> of child abuse in the State party.  (arts. 7 and 24)</w:t>
      </w:r>
    </w:p>
    <w:p w:rsidR="005121BA" w:rsidRPr="005121BA" w:rsidRDefault="005121BA" w:rsidP="005A670B">
      <w:pPr>
        <w:pStyle w:val="SingleTxtG"/>
        <w:ind w:left="1700"/>
        <w:rPr>
          <w:b/>
          <w:bCs/>
        </w:rPr>
      </w:pPr>
      <w:r w:rsidRPr="00FD2D9F">
        <w:rPr>
          <w:b/>
          <w:bCs/>
        </w:rPr>
        <w:t xml:space="preserve">The State party should </w:t>
      </w:r>
      <w:r>
        <w:rPr>
          <w:b/>
          <w:bCs/>
        </w:rPr>
        <w:t xml:space="preserve">further </w:t>
      </w:r>
      <w:r w:rsidRPr="00FD2D9F">
        <w:rPr>
          <w:b/>
          <w:bCs/>
        </w:rPr>
        <w:t xml:space="preserve">strengthen its efforts to combat child abuse by improving mechanisms for its early detection, encouraging reporting of suspected and actual abuse, and by </w:t>
      </w:r>
      <w:r>
        <w:rPr>
          <w:b/>
          <w:bCs/>
        </w:rPr>
        <w:t>ensuring that the</w:t>
      </w:r>
      <w:r w:rsidRPr="00FD2D9F">
        <w:rPr>
          <w:b/>
          <w:bCs/>
        </w:rPr>
        <w:t xml:space="preserve"> </w:t>
      </w:r>
      <w:r>
        <w:rPr>
          <w:b/>
          <w:bCs/>
        </w:rPr>
        <w:t xml:space="preserve">relevant </w:t>
      </w:r>
      <w:r w:rsidRPr="00FD2D9F">
        <w:rPr>
          <w:b/>
          <w:bCs/>
        </w:rPr>
        <w:t>authorities take legal action against those involved in child abuse.</w:t>
      </w:r>
      <w:r>
        <w:rPr>
          <w:b/>
          <w:bCs/>
        </w:rPr>
        <w:t xml:space="preserve"> </w:t>
      </w:r>
      <w:r w:rsidRPr="00185CF3">
        <w:rPr>
          <w:b/>
          <w:bCs/>
        </w:rPr>
        <w:t> </w:t>
      </w:r>
    </w:p>
    <w:p w:rsidR="005121BA" w:rsidRPr="00FD2D9F" w:rsidRDefault="005121BA" w:rsidP="005121BA">
      <w:pPr>
        <w:pStyle w:val="SingleTxtG"/>
        <w:rPr>
          <w:bCs/>
        </w:rPr>
      </w:pPr>
      <w:r>
        <w:rPr>
          <w:bCs/>
        </w:rPr>
        <w:t>19.</w:t>
      </w:r>
      <w:r>
        <w:rPr>
          <w:bCs/>
        </w:rPr>
        <w:tab/>
      </w:r>
      <w:r w:rsidRPr="00FD2D9F">
        <w:rPr>
          <w:bCs/>
        </w:rPr>
        <w:t>While acknowledging the negotiation process initiated with</w:t>
      </w:r>
      <w:r>
        <w:rPr>
          <w:bCs/>
        </w:rPr>
        <w:t xml:space="preserve"> regard to a review or possible</w:t>
      </w:r>
      <w:r w:rsidRPr="00FD2D9F">
        <w:rPr>
          <w:bCs/>
        </w:rPr>
        <w:t xml:space="preserve"> repeal of the Foreshore and Seabed Act 2004, the Committee is concerned that the </w:t>
      </w:r>
      <w:r>
        <w:rPr>
          <w:bCs/>
        </w:rPr>
        <w:t>Act</w:t>
      </w:r>
      <w:r w:rsidRPr="00FD2D9F">
        <w:rPr>
          <w:bCs/>
        </w:rPr>
        <w:t xml:space="preserve"> discriminat</w:t>
      </w:r>
      <w:r>
        <w:rPr>
          <w:bCs/>
        </w:rPr>
        <w:t>es</w:t>
      </w:r>
      <w:r w:rsidRPr="00FD2D9F">
        <w:rPr>
          <w:bCs/>
        </w:rPr>
        <w:t xml:space="preserve"> against the </w:t>
      </w:r>
      <w:r w:rsidRPr="00FD2D9F">
        <w:t>Māori</w:t>
      </w:r>
      <w:r>
        <w:t xml:space="preserve">, and </w:t>
      </w:r>
      <w:r w:rsidRPr="00FD2D9F">
        <w:rPr>
          <w:bCs/>
        </w:rPr>
        <w:t>extinguishes their customary title ov</w:t>
      </w:r>
      <w:r>
        <w:rPr>
          <w:bCs/>
        </w:rPr>
        <w:t xml:space="preserve">er the foreshore and seabed. </w:t>
      </w:r>
      <w:r w:rsidRPr="00FD2D9F">
        <w:rPr>
          <w:bCs/>
        </w:rPr>
        <w:t>(arts. 2, 26 and 27)</w:t>
      </w:r>
    </w:p>
    <w:p w:rsidR="005121BA" w:rsidRPr="007C3FD8" w:rsidRDefault="005121BA" w:rsidP="005A670B">
      <w:pPr>
        <w:pStyle w:val="SingleTxtG"/>
        <w:ind w:left="1700"/>
        <w:rPr>
          <w:b/>
        </w:rPr>
      </w:pPr>
      <w:r w:rsidRPr="007C3FD8">
        <w:rPr>
          <w:b/>
        </w:rPr>
        <w:t xml:space="preserve">The State party should increase its efforts for effective consultation </w:t>
      </w:r>
      <w:r>
        <w:rPr>
          <w:b/>
        </w:rPr>
        <w:t>of</w:t>
      </w:r>
      <w:r w:rsidRPr="007C3FD8">
        <w:rPr>
          <w:b/>
        </w:rPr>
        <w:t xml:space="preserve"> representatives of all Māori</w:t>
      </w:r>
      <w:r>
        <w:rPr>
          <w:b/>
        </w:rPr>
        <w:t xml:space="preserve"> </w:t>
      </w:r>
      <w:r w:rsidRPr="005A670B">
        <w:rPr>
          <w:b/>
          <w:bCs/>
        </w:rPr>
        <w:t>groups</w:t>
      </w:r>
      <w:r>
        <w:rPr>
          <w:b/>
        </w:rPr>
        <w:t xml:space="preserve"> with regard to the current</w:t>
      </w:r>
      <w:r w:rsidRPr="007C3FD8">
        <w:rPr>
          <w:b/>
        </w:rPr>
        <w:t xml:space="preserve"> review of the Foreshore and Seabed Act 2004</w:t>
      </w:r>
      <w:r>
        <w:rPr>
          <w:b/>
        </w:rPr>
        <w:t>, with a view to amending or repealing it</w:t>
      </w:r>
      <w:r w:rsidRPr="007C3FD8">
        <w:rPr>
          <w:b/>
        </w:rPr>
        <w:t xml:space="preserve">. In particular, the public consultation period should be sufficiently long </w:t>
      </w:r>
      <w:r>
        <w:rPr>
          <w:b/>
        </w:rPr>
        <w:t xml:space="preserve">so as to enable all </w:t>
      </w:r>
      <w:r w:rsidRPr="007C3FD8">
        <w:rPr>
          <w:b/>
        </w:rPr>
        <w:t>Māori</w:t>
      </w:r>
      <w:r>
        <w:rPr>
          <w:b/>
        </w:rPr>
        <w:t xml:space="preserve"> groups to have their </w:t>
      </w:r>
      <w:r w:rsidRPr="007C3FD8">
        <w:rPr>
          <w:b/>
        </w:rPr>
        <w:t xml:space="preserve">views </w:t>
      </w:r>
      <w:r>
        <w:rPr>
          <w:b/>
        </w:rPr>
        <w:t>heard. Furthermore, i</w:t>
      </w:r>
      <w:r w:rsidRPr="007C3FD8">
        <w:rPr>
          <w:b/>
        </w:rPr>
        <w:t xml:space="preserve">n light of the Committee’s </w:t>
      </w:r>
      <w:r w:rsidR="00B36EAD" w:rsidRPr="007C3FD8">
        <w:rPr>
          <w:b/>
        </w:rPr>
        <w:t xml:space="preserve">general </w:t>
      </w:r>
      <w:r w:rsidRPr="007C3FD8">
        <w:rPr>
          <w:b/>
        </w:rPr>
        <w:t xml:space="preserve">comment No. 23 (1994) on </w:t>
      </w:r>
      <w:r>
        <w:rPr>
          <w:b/>
        </w:rPr>
        <w:t>article 27 (</w:t>
      </w:r>
      <w:r w:rsidRPr="007C3FD8">
        <w:rPr>
          <w:b/>
        </w:rPr>
        <w:t>the rights of minorities</w:t>
      </w:r>
      <w:r>
        <w:rPr>
          <w:b/>
        </w:rPr>
        <w:t>)</w:t>
      </w:r>
      <w:r w:rsidRPr="007C3FD8">
        <w:rPr>
          <w:b/>
        </w:rPr>
        <w:t xml:space="preserve">, special attention </w:t>
      </w:r>
      <w:r>
        <w:rPr>
          <w:b/>
        </w:rPr>
        <w:t xml:space="preserve">should be paid </w:t>
      </w:r>
      <w:r w:rsidRPr="007C3FD8">
        <w:rPr>
          <w:b/>
        </w:rPr>
        <w:t>to the cultural and religious significance of access to the foreshore and seabed for the Māori.</w:t>
      </w:r>
      <w:r>
        <w:rPr>
          <w:b/>
        </w:rPr>
        <w:t xml:space="preserve"> </w:t>
      </w:r>
    </w:p>
    <w:p w:rsidR="005121BA" w:rsidRPr="00E0609A" w:rsidRDefault="005121BA" w:rsidP="00B36EAD">
      <w:pPr>
        <w:pStyle w:val="SingleTxtG"/>
        <w:rPr>
          <w:rFonts w:ascii="TimesNewRoman" w:hAnsi="TimesNewRoman" w:cs="TimesNewRoman"/>
        </w:rPr>
      </w:pPr>
      <w:r>
        <w:rPr>
          <w:bCs/>
        </w:rPr>
        <w:t>20.</w:t>
      </w:r>
      <w:r>
        <w:rPr>
          <w:bCs/>
        </w:rPr>
        <w:tab/>
      </w:r>
      <w:r w:rsidRPr="00E0609A">
        <w:rPr>
          <w:bCs/>
        </w:rPr>
        <w:t xml:space="preserve">The Committee welcomes the initiative </w:t>
      </w:r>
      <w:r w:rsidR="00B36EAD">
        <w:rPr>
          <w:bCs/>
        </w:rPr>
        <w:t>of the State party</w:t>
      </w:r>
      <w:r w:rsidR="00B36EAD" w:rsidRPr="00E0609A">
        <w:rPr>
          <w:bCs/>
        </w:rPr>
        <w:t xml:space="preserve"> </w:t>
      </w:r>
      <w:r w:rsidRPr="00E0609A">
        <w:rPr>
          <w:bCs/>
        </w:rPr>
        <w:t xml:space="preserve">for constitutional reform which also aims </w:t>
      </w:r>
      <w:r>
        <w:rPr>
          <w:bCs/>
        </w:rPr>
        <w:t>at giving</w:t>
      </w:r>
      <w:r w:rsidRPr="00E0609A">
        <w:rPr>
          <w:bCs/>
        </w:rPr>
        <w:t xml:space="preserve"> greater effect to the Treaty of Waitangi</w:t>
      </w:r>
      <w:r>
        <w:rPr>
          <w:bCs/>
        </w:rPr>
        <w:t>.</w:t>
      </w:r>
      <w:r w:rsidRPr="00E0609A">
        <w:rPr>
          <w:bCs/>
        </w:rPr>
        <w:t xml:space="preserve"> </w:t>
      </w:r>
      <w:r>
        <w:rPr>
          <w:bCs/>
        </w:rPr>
        <w:t>I</w:t>
      </w:r>
      <w:r w:rsidRPr="00E0609A">
        <w:rPr>
          <w:bCs/>
        </w:rPr>
        <w:t>t notes, however, that the Treaty is currently not a formal p</w:t>
      </w:r>
      <w:r w:rsidRPr="00E0609A">
        <w:rPr>
          <w:rFonts w:ascii="TimesNewRoman" w:hAnsi="TimesNewRoman" w:cs="TimesNewRoman"/>
        </w:rPr>
        <w:t>art of</w:t>
      </w:r>
      <w:r>
        <w:rPr>
          <w:rFonts w:ascii="TimesNewRoman" w:hAnsi="TimesNewRoman" w:cs="TimesNewRoman"/>
        </w:rPr>
        <w:t xml:space="preserve"> domestic law,</w:t>
      </w:r>
      <w:r w:rsidRPr="00E0609A">
        <w:rPr>
          <w:rFonts w:ascii="TimesNewRoman" w:hAnsi="TimesNewRoman" w:cs="TimesNewRoman"/>
        </w:rPr>
        <w:t xml:space="preserve"> which makes it difficult for </w:t>
      </w:r>
      <w:r w:rsidRPr="00E0609A">
        <w:t>Māori</w:t>
      </w:r>
      <w:r w:rsidRPr="00E0609A">
        <w:rPr>
          <w:rFonts w:ascii="TimesNewRoman" w:hAnsi="TimesNewRoman" w:cs="TimesNewRoman"/>
        </w:rPr>
        <w:t xml:space="preserve"> to invoke it before the courts.</w:t>
      </w:r>
      <w:r>
        <w:rPr>
          <w:rFonts w:ascii="TimesNewRoman" w:hAnsi="TimesNewRoman" w:cs="TimesNewRoman"/>
        </w:rPr>
        <w:t xml:space="preserve"> </w:t>
      </w:r>
      <w:r>
        <w:t>The Committee</w:t>
      </w:r>
      <w:r w:rsidRPr="00E0609A">
        <w:t xml:space="preserve"> also welcomes the efforts </w:t>
      </w:r>
      <w:r w:rsidR="00B36EAD">
        <w:t>of the State party</w:t>
      </w:r>
      <w:r w:rsidR="00B36EAD" w:rsidRPr="00E0609A">
        <w:t xml:space="preserve"> </w:t>
      </w:r>
      <w:r w:rsidRPr="00E0609A">
        <w:t xml:space="preserve">to settle historical Treaty claims, but is concerned at reports that </w:t>
      </w:r>
      <w:r>
        <w:t xml:space="preserve">in one particular case, </w:t>
      </w:r>
      <w:r w:rsidRPr="00E0609A">
        <w:t xml:space="preserve">the State party </w:t>
      </w:r>
      <w:r>
        <w:t>put an end</w:t>
      </w:r>
      <w:r w:rsidRPr="00E0609A">
        <w:t xml:space="preserve"> to consultations despite the claim of some Māori groups that the settlements did not adequately reflect original tribal ownership. (arts. 2, 26 and 27)</w:t>
      </w:r>
    </w:p>
    <w:p w:rsidR="005121BA" w:rsidRPr="005121BA" w:rsidRDefault="005121BA" w:rsidP="005A670B">
      <w:pPr>
        <w:pStyle w:val="SingleTxtG"/>
        <w:ind w:left="1700"/>
        <w:rPr>
          <w:rFonts w:ascii="TimesNewRoman" w:hAnsi="TimesNewRoman" w:cs="TimesNewRoman"/>
          <w:b/>
          <w:bCs/>
        </w:rPr>
      </w:pPr>
      <w:r w:rsidRPr="00E0609A">
        <w:rPr>
          <w:b/>
        </w:rPr>
        <w:t xml:space="preserve">The State party should continue its efforts to review the status of the Treaty of Waitangi within the domestic legal system, </w:t>
      </w:r>
      <w:r>
        <w:rPr>
          <w:b/>
        </w:rPr>
        <w:t xml:space="preserve">including the desirability to incorporate it </w:t>
      </w:r>
      <w:r w:rsidRPr="005A670B">
        <w:rPr>
          <w:b/>
          <w:bCs/>
        </w:rPr>
        <w:t>into</w:t>
      </w:r>
      <w:r>
        <w:rPr>
          <w:b/>
        </w:rPr>
        <w:t xml:space="preserve"> domestic law,</w:t>
      </w:r>
      <w:r w:rsidRPr="00E0609A">
        <w:rPr>
          <w:b/>
        </w:rPr>
        <w:t xml:space="preserve"> in consultation with all </w:t>
      </w:r>
      <w:r w:rsidRPr="00E0609A">
        <w:rPr>
          <w:b/>
          <w:bCs/>
        </w:rPr>
        <w:t xml:space="preserve">Māori </w:t>
      </w:r>
      <w:r>
        <w:rPr>
          <w:b/>
          <w:bCs/>
        </w:rPr>
        <w:t>groups</w:t>
      </w:r>
      <w:r w:rsidRPr="00E0609A">
        <w:rPr>
          <w:b/>
          <w:bCs/>
        </w:rPr>
        <w:t xml:space="preserve">. </w:t>
      </w:r>
      <w:r>
        <w:rPr>
          <w:b/>
          <w:bCs/>
        </w:rPr>
        <w:t>Furthermore, the State</w:t>
      </w:r>
      <w:r w:rsidRPr="00E0609A">
        <w:rPr>
          <w:b/>
          <w:bCs/>
        </w:rPr>
        <w:t xml:space="preserve"> </w:t>
      </w:r>
      <w:r>
        <w:rPr>
          <w:b/>
          <w:bCs/>
        </w:rPr>
        <w:t xml:space="preserve">party </w:t>
      </w:r>
      <w:r w:rsidRPr="00E0609A">
        <w:rPr>
          <w:b/>
          <w:bCs/>
        </w:rPr>
        <w:t xml:space="preserve">should ensure that </w:t>
      </w:r>
      <w:r>
        <w:rPr>
          <w:b/>
          <w:bCs/>
        </w:rPr>
        <w:t xml:space="preserve">the views expressed by different </w:t>
      </w:r>
      <w:r w:rsidRPr="00E0609A">
        <w:rPr>
          <w:b/>
          <w:bCs/>
        </w:rPr>
        <w:t xml:space="preserve">Māori groups </w:t>
      </w:r>
      <w:r>
        <w:rPr>
          <w:b/>
          <w:bCs/>
        </w:rPr>
        <w:t xml:space="preserve">during </w:t>
      </w:r>
      <w:r w:rsidRPr="00E0609A">
        <w:rPr>
          <w:b/>
          <w:bCs/>
        </w:rPr>
        <w:t xml:space="preserve">consultations </w:t>
      </w:r>
      <w:r>
        <w:rPr>
          <w:b/>
          <w:bCs/>
        </w:rPr>
        <w:t>in the context of</w:t>
      </w:r>
      <w:r w:rsidRPr="00E0609A">
        <w:rPr>
          <w:b/>
          <w:bCs/>
        </w:rPr>
        <w:t xml:space="preserve"> </w:t>
      </w:r>
      <w:r>
        <w:rPr>
          <w:b/>
          <w:bCs/>
        </w:rPr>
        <w:t xml:space="preserve">the </w:t>
      </w:r>
      <w:r w:rsidRPr="00E0609A">
        <w:rPr>
          <w:b/>
          <w:bCs/>
        </w:rPr>
        <w:t xml:space="preserve">historical Treaty claims settlement process </w:t>
      </w:r>
      <w:r>
        <w:rPr>
          <w:b/>
          <w:bCs/>
        </w:rPr>
        <w:t xml:space="preserve">are duly </w:t>
      </w:r>
      <w:r w:rsidRPr="00E0609A">
        <w:rPr>
          <w:b/>
          <w:bCs/>
        </w:rPr>
        <w:t>ta</w:t>
      </w:r>
      <w:r>
        <w:rPr>
          <w:b/>
          <w:bCs/>
        </w:rPr>
        <w:t>ken into account</w:t>
      </w:r>
      <w:r w:rsidRPr="00E0609A">
        <w:rPr>
          <w:b/>
          <w:bCs/>
        </w:rPr>
        <w:t xml:space="preserve">. </w:t>
      </w:r>
    </w:p>
    <w:p w:rsidR="005121BA" w:rsidRPr="00065E5B" w:rsidRDefault="005121BA" w:rsidP="005121BA">
      <w:pPr>
        <w:pStyle w:val="SingleTxtG"/>
        <w:rPr>
          <w:snapToGrid w:val="0"/>
        </w:rPr>
      </w:pPr>
      <w:r>
        <w:rPr>
          <w:snapToGrid w:val="0"/>
        </w:rPr>
        <w:t>21.</w:t>
      </w:r>
      <w:r>
        <w:rPr>
          <w:snapToGrid w:val="0"/>
        </w:rPr>
        <w:tab/>
      </w:r>
      <w:r w:rsidRPr="00065E5B">
        <w:rPr>
          <w:snapToGrid w:val="0"/>
        </w:rPr>
        <w:t xml:space="preserve">The State party should widely disseminate the </w:t>
      </w:r>
      <w:r>
        <w:rPr>
          <w:snapToGrid w:val="0"/>
        </w:rPr>
        <w:t xml:space="preserve">Covenant, the two Optional Protocols to the Covenant, the </w:t>
      </w:r>
      <w:r w:rsidRPr="00065E5B">
        <w:rPr>
          <w:snapToGrid w:val="0"/>
        </w:rPr>
        <w:t xml:space="preserve">text of the </w:t>
      </w:r>
      <w:r>
        <w:rPr>
          <w:snapToGrid w:val="0"/>
        </w:rPr>
        <w:t>fifth</w:t>
      </w:r>
      <w:r w:rsidRPr="00065E5B">
        <w:rPr>
          <w:snapToGrid w:val="0"/>
        </w:rPr>
        <w:t xml:space="preserve"> periodic report, the written responses it has provided in response to the list of issues drawn up by the Committee, and the present concluding observations </w:t>
      </w:r>
      <w:r>
        <w:rPr>
          <w:snapToGrid w:val="0"/>
        </w:rPr>
        <w:t xml:space="preserve">so as to increase awareness </w:t>
      </w:r>
      <w:r w:rsidRPr="00065E5B">
        <w:rPr>
          <w:snapToGrid w:val="0"/>
        </w:rPr>
        <w:t>amo</w:t>
      </w:r>
      <w:r>
        <w:rPr>
          <w:snapToGrid w:val="0"/>
        </w:rPr>
        <w:t xml:space="preserve">ng </w:t>
      </w:r>
      <w:r w:rsidRPr="00065E5B">
        <w:rPr>
          <w:snapToGrid w:val="0"/>
        </w:rPr>
        <w:t>the judicial, legislative and administrative authorities, civil society and non-governmental organizations operating in the country</w:t>
      </w:r>
      <w:r>
        <w:rPr>
          <w:snapToGrid w:val="0"/>
        </w:rPr>
        <w:t xml:space="preserve">, as well as the general public. </w:t>
      </w:r>
      <w:r w:rsidRPr="00065E5B">
        <w:rPr>
          <w:snapToGrid w:val="0"/>
        </w:rPr>
        <w:t>The Committee also suggests that the report and the concluding observations be translated into the</w:t>
      </w:r>
      <w:r>
        <w:rPr>
          <w:snapToGrid w:val="0"/>
        </w:rPr>
        <w:t xml:space="preserve"> other</w:t>
      </w:r>
      <w:r w:rsidRPr="00065E5B">
        <w:rPr>
          <w:snapToGrid w:val="0"/>
        </w:rPr>
        <w:t xml:space="preserve"> </w:t>
      </w:r>
      <w:r>
        <w:rPr>
          <w:snapToGrid w:val="0"/>
        </w:rPr>
        <w:t>official</w:t>
      </w:r>
      <w:r w:rsidRPr="00065E5B">
        <w:rPr>
          <w:snapToGrid w:val="0"/>
        </w:rPr>
        <w:t xml:space="preserve"> language</w:t>
      </w:r>
      <w:r>
        <w:rPr>
          <w:snapToGrid w:val="0"/>
        </w:rPr>
        <w:t xml:space="preserve"> of the State party.</w:t>
      </w:r>
    </w:p>
    <w:p w:rsidR="005121BA" w:rsidRPr="00065E5B" w:rsidRDefault="005121BA" w:rsidP="005121BA">
      <w:pPr>
        <w:pStyle w:val="SingleTxtG"/>
        <w:rPr>
          <w:snapToGrid w:val="0"/>
        </w:rPr>
      </w:pPr>
      <w:r>
        <w:rPr>
          <w:bCs/>
        </w:rPr>
        <w:t>22.</w:t>
      </w:r>
      <w:r>
        <w:rPr>
          <w:bCs/>
        </w:rPr>
        <w:tab/>
      </w:r>
      <w:r w:rsidRPr="00065E5B">
        <w:rPr>
          <w:bCs/>
        </w:rPr>
        <w:t xml:space="preserve">In accordance with rule 71, paragraph 5, of the Committee’s rules of procedure, the State party should provide, within one year, relevant information on its implementation of the Committee’s recommendations made in paragraphs </w:t>
      </w:r>
      <w:r>
        <w:rPr>
          <w:bCs/>
        </w:rPr>
        <w:t>12, 14 and 19</w:t>
      </w:r>
      <w:r w:rsidRPr="00065E5B">
        <w:rPr>
          <w:bCs/>
        </w:rPr>
        <w:t>.</w:t>
      </w:r>
    </w:p>
    <w:p w:rsidR="005121BA" w:rsidRPr="00065E5B" w:rsidRDefault="005121BA" w:rsidP="005A670B">
      <w:pPr>
        <w:pStyle w:val="SingleTxtG"/>
        <w:keepNext/>
        <w:keepLines/>
        <w:rPr>
          <w:snapToGrid w:val="0"/>
        </w:rPr>
      </w:pPr>
      <w:r>
        <w:t>23.</w:t>
      </w:r>
      <w:r>
        <w:tab/>
      </w:r>
      <w:r w:rsidRPr="00065E5B">
        <w:t xml:space="preserve">The Committee requests the State party to provide in its </w:t>
      </w:r>
      <w:r>
        <w:rPr>
          <w:bCs/>
        </w:rPr>
        <w:t>sixth</w:t>
      </w:r>
      <w:r w:rsidRPr="00065E5B">
        <w:rPr>
          <w:bCs/>
        </w:rPr>
        <w:t xml:space="preserve"> periodic </w:t>
      </w:r>
      <w:r w:rsidRPr="00065E5B">
        <w:t>report, due to be submitted by</w:t>
      </w:r>
      <w:r w:rsidRPr="00065E5B">
        <w:rPr>
          <w:bCs/>
        </w:rPr>
        <w:t xml:space="preserve"> </w:t>
      </w:r>
      <w:r>
        <w:rPr>
          <w:bCs/>
        </w:rPr>
        <w:t>30 March 2015</w:t>
      </w:r>
      <w:r w:rsidRPr="00065E5B">
        <w:rPr>
          <w:bCs/>
        </w:rPr>
        <w:t>,</w:t>
      </w:r>
      <w:r w:rsidRPr="00065E5B">
        <w:t xml:space="preserve"> specific, up-to-date information on all its recommendations and on the Covenant as a whole. The Committee also requests the State party, when preparing the </w:t>
      </w:r>
      <w:r>
        <w:t>sixth</w:t>
      </w:r>
      <w:r w:rsidRPr="00065E5B">
        <w:t xml:space="preserve"> periodic report, to </w:t>
      </w:r>
      <w:r>
        <w:t xml:space="preserve">broadly </w:t>
      </w:r>
      <w:r w:rsidRPr="00065E5B">
        <w:t>consult</w:t>
      </w:r>
      <w:r>
        <w:t xml:space="preserve"> with</w:t>
      </w:r>
      <w:r w:rsidRPr="00065E5B">
        <w:t xml:space="preserve"> civil society and non-governmental org</w:t>
      </w:r>
      <w:r>
        <w:t>anizations</w:t>
      </w:r>
      <w:r w:rsidRPr="00065E5B">
        <w:t>.</w:t>
      </w:r>
    </w:p>
    <w:p w:rsidR="005121BA" w:rsidRPr="00D23981" w:rsidRDefault="005121BA" w:rsidP="005121BA">
      <w:pPr>
        <w:pStyle w:val="Default"/>
        <w:suppressAutoHyphens/>
        <w:spacing w:before="240" w:line="240" w:lineRule="atLeast"/>
        <w:ind w:left="1134" w:right="1134"/>
        <w:jc w:val="center"/>
        <w:rPr>
          <w:b/>
          <w:bCs/>
          <w:u w:val="single"/>
        </w:rPr>
      </w:pPr>
      <w:r>
        <w:rPr>
          <w:b/>
          <w:bCs/>
          <w:u w:val="single"/>
        </w:rPr>
        <w:tab/>
      </w:r>
      <w:r>
        <w:rPr>
          <w:b/>
          <w:bCs/>
          <w:u w:val="single"/>
        </w:rPr>
        <w:tab/>
      </w:r>
      <w:r>
        <w:rPr>
          <w:b/>
          <w:bCs/>
          <w:u w:val="single"/>
        </w:rPr>
        <w:tab/>
      </w:r>
    </w:p>
    <w:p w:rsidR="005121BA" w:rsidRPr="00D23981" w:rsidRDefault="005121BA" w:rsidP="005121BA">
      <w:pPr>
        <w:rPr>
          <w:lang w:val="en-US"/>
        </w:rPr>
      </w:pPr>
    </w:p>
    <w:p w:rsidR="005121BA" w:rsidRPr="007529A2" w:rsidRDefault="005121BA" w:rsidP="005121BA"/>
    <w:p w:rsidR="00442A83" w:rsidRPr="00BB3908" w:rsidRDefault="00442A83" w:rsidP="0052136D"/>
    <w:sectPr w:rsidR="00442A83" w:rsidRPr="00BB3908" w:rsidSect="00BB390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649" w:rsidRDefault="00C66649"/>
  </w:endnote>
  <w:endnote w:type="continuationSeparator" w:id="0">
    <w:p w:rsidR="00C66649" w:rsidRDefault="00C66649"/>
  </w:endnote>
  <w:endnote w:type="continuationNotice" w:id="1">
    <w:p w:rsidR="00C66649" w:rsidRDefault="00C666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D" w:rsidRPr="00BB3908" w:rsidRDefault="00D1260D" w:rsidP="00BB3908">
    <w:pPr>
      <w:pStyle w:val="Footer"/>
      <w:tabs>
        <w:tab w:val="right" w:pos="9638"/>
      </w:tabs>
    </w:pPr>
    <w:r w:rsidRPr="00BB3908">
      <w:rPr>
        <w:b/>
        <w:sz w:val="18"/>
      </w:rPr>
      <w:fldChar w:fldCharType="begin"/>
    </w:r>
    <w:r w:rsidRPr="00BB3908">
      <w:rPr>
        <w:b/>
        <w:sz w:val="18"/>
      </w:rPr>
      <w:instrText xml:space="preserve"> PAGE  \* MERGEFORMAT </w:instrText>
    </w:r>
    <w:r w:rsidRPr="00BB3908">
      <w:rPr>
        <w:b/>
        <w:sz w:val="18"/>
      </w:rPr>
      <w:fldChar w:fldCharType="separate"/>
    </w:r>
    <w:r w:rsidR="00BF3124">
      <w:rPr>
        <w:b/>
        <w:noProof/>
        <w:sz w:val="18"/>
      </w:rPr>
      <w:t>4</w:t>
    </w:r>
    <w:r w:rsidRPr="00BB39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D" w:rsidRPr="00BB3908" w:rsidRDefault="00D1260D" w:rsidP="00BB3908">
    <w:pPr>
      <w:pStyle w:val="Footer"/>
      <w:tabs>
        <w:tab w:val="right" w:pos="9638"/>
      </w:tabs>
      <w:rPr>
        <w:b/>
        <w:sz w:val="18"/>
      </w:rPr>
    </w:pPr>
    <w:r>
      <w:tab/>
    </w:r>
    <w:r w:rsidRPr="00BB3908">
      <w:rPr>
        <w:b/>
        <w:sz w:val="18"/>
      </w:rPr>
      <w:fldChar w:fldCharType="begin"/>
    </w:r>
    <w:r w:rsidRPr="00BB3908">
      <w:rPr>
        <w:b/>
        <w:sz w:val="18"/>
      </w:rPr>
      <w:instrText xml:space="preserve"> PAGE  \* MERGEFORMAT </w:instrText>
    </w:r>
    <w:r w:rsidRPr="00BB3908">
      <w:rPr>
        <w:b/>
        <w:sz w:val="18"/>
      </w:rPr>
      <w:fldChar w:fldCharType="separate"/>
    </w:r>
    <w:r w:rsidR="00BF3124">
      <w:rPr>
        <w:b/>
        <w:noProof/>
        <w:sz w:val="18"/>
      </w:rPr>
      <w:t>3</w:t>
    </w:r>
    <w:r w:rsidRPr="00BB39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D" w:rsidRPr="00BB3908" w:rsidRDefault="00D1260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BF3124">
      <w:t>41511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649" w:rsidRPr="000B175B" w:rsidRDefault="00C66649" w:rsidP="000B175B">
      <w:pPr>
        <w:tabs>
          <w:tab w:val="right" w:pos="2155"/>
        </w:tabs>
        <w:spacing w:after="80"/>
        <w:ind w:left="680"/>
        <w:rPr>
          <w:u w:val="single"/>
        </w:rPr>
      </w:pPr>
      <w:r>
        <w:rPr>
          <w:u w:val="single"/>
        </w:rPr>
        <w:tab/>
      </w:r>
    </w:p>
  </w:footnote>
  <w:footnote w:type="continuationSeparator" w:id="0">
    <w:p w:rsidR="00C66649" w:rsidRPr="00FC68B7" w:rsidRDefault="00C66649" w:rsidP="00FC68B7">
      <w:pPr>
        <w:tabs>
          <w:tab w:val="left" w:pos="2155"/>
        </w:tabs>
        <w:spacing w:after="80"/>
        <w:ind w:left="680"/>
        <w:rPr>
          <w:u w:val="single"/>
        </w:rPr>
      </w:pPr>
      <w:r>
        <w:rPr>
          <w:u w:val="single"/>
        </w:rPr>
        <w:tab/>
      </w:r>
    </w:p>
  </w:footnote>
  <w:footnote w:type="continuationNotice" w:id="1">
    <w:p w:rsidR="00C66649" w:rsidRDefault="00C666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D" w:rsidRPr="00BB3908" w:rsidRDefault="00D1260D">
    <w:pPr>
      <w:pStyle w:val="Header"/>
    </w:pPr>
    <w:r>
      <w:t>CCPR/C/NZL/CO/5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60D" w:rsidRPr="00BB3908" w:rsidRDefault="00D1260D" w:rsidP="00BB3908">
    <w:pPr>
      <w:pStyle w:val="Header"/>
      <w:jc w:val="right"/>
    </w:pPr>
    <w:r>
      <w:t>CCPR/C/NZL/CO/5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124" w:rsidRDefault="00BF31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908"/>
    <w:rsid w:val="000272B3"/>
    <w:rsid w:val="00050F6B"/>
    <w:rsid w:val="00057E97"/>
    <w:rsid w:val="00060C3A"/>
    <w:rsid w:val="00072C8C"/>
    <w:rsid w:val="000733B5"/>
    <w:rsid w:val="00081815"/>
    <w:rsid w:val="000931C0"/>
    <w:rsid w:val="000B175B"/>
    <w:rsid w:val="000B3A0F"/>
    <w:rsid w:val="000B4EF7"/>
    <w:rsid w:val="000B5BCC"/>
    <w:rsid w:val="000C2C03"/>
    <w:rsid w:val="000C2D2E"/>
    <w:rsid w:val="000E0415"/>
    <w:rsid w:val="001103AA"/>
    <w:rsid w:val="001157B8"/>
    <w:rsid w:val="00165F3A"/>
    <w:rsid w:val="001732E9"/>
    <w:rsid w:val="00183968"/>
    <w:rsid w:val="00185190"/>
    <w:rsid w:val="001A6686"/>
    <w:rsid w:val="001B4B04"/>
    <w:rsid w:val="001C6663"/>
    <w:rsid w:val="001C7895"/>
    <w:rsid w:val="001D0C8C"/>
    <w:rsid w:val="001D26DF"/>
    <w:rsid w:val="001D3A03"/>
    <w:rsid w:val="00202DA8"/>
    <w:rsid w:val="0020768C"/>
    <w:rsid w:val="00211E0B"/>
    <w:rsid w:val="0023210C"/>
    <w:rsid w:val="00240404"/>
    <w:rsid w:val="00251BEF"/>
    <w:rsid w:val="00267F5F"/>
    <w:rsid w:val="00286B4D"/>
    <w:rsid w:val="002B2033"/>
    <w:rsid w:val="002C119E"/>
    <w:rsid w:val="002D2D8C"/>
    <w:rsid w:val="002F175C"/>
    <w:rsid w:val="003229D8"/>
    <w:rsid w:val="00352709"/>
    <w:rsid w:val="00367567"/>
    <w:rsid w:val="00371178"/>
    <w:rsid w:val="0038264D"/>
    <w:rsid w:val="0038336C"/>
    <w:rsid w:val="003A6810"/>
    <w:rsid w:val="003C2CC4"/>
    <w:rsid w:val="003D4B23"/>
    <w:rsid w:val="003E2EFE"/>
    <w:rsid w:val="00400EF6"/>
    <w:rsid w:val="00410C89"/>
    <w:rsid w:val="00426B9B"/>
    <w:rsid w:val="004325CB"/>
    <w:rsid w:val="00436B33"/>
    <w:rsid w:val="00442A83"/>
    <w:rsid w:val="0045495B"/>
    <w:rsid w:val="00487488"/>
    <w:rsid w:val="004C328B"/>
    <w:rsid w:val="005121BA"/>
    <w:rsid w:val="0052136D"/>
    <w:rsid w:val="0052775E"/>
    <w:rsid w:val="005420F2"/>
    <w:rsid w:val="005628B6"/>
    <w:rsid w:val="005848B3"/>
    <w:rsid w:val="005A670B"/>
    <w:rsid w:val="005B3DB3"/>
    <w:rsid w:val="005F7717"/>
    <w:rsid w:val="005F7B75"/>
    <w:rsid w:val="006001EE"/>
    <w:rsid w:val="00605042"/>
    <w:rsid w:val="00611FC4"/>
    <w:rsid w:val="006176FB"/>
    <w:rsid w:val="00640B26"/>
    <w:rsid w:val="00647E6C"/>
    <w:rsid w:val="00652D0A"/>
    <w:rsid w:val="00662BB6"/>
    <w:rsid w:val="00684C21"/>
    <w:rsid w:val="006D37AF"/>
    <w:rsid w:val="006D51D0"/>
    <w:rsid w:val="006E564B"/>
    <w:rsid w:val="006E7191"/>
    <w:rsid w:val="006F6194"/>
    <w:rsid w:val="00703577"/>
    <w:rsid w:val="0072632A"/>
    <w:rsid w:val="007327D5"/>
    <w:rsid w:val="00734A5C"/>
    <w:rsid w:val="007629C8"/>
    <w:rsid w:val="00764FC6"/>
    <w:rsid w:val="007B6BA5"/>
    <w:rsid w:val="007C3390"/>
    <w:rsid w:val="007C4F4B"/>
    <w:rsid w:val="007C784F"/>
    <w:rsid w:val="007E0B2D"/>
    <w:rsid w:val="007F6611"/>
    <w:rsid w:val="008105B8"/>
    <w:rsid w:val="008242D7"/>
    <w:rsid w:val="008257B1"/>
    <w:rsid w:val="00843767"/>
    <w:rsid w:val="008679D9"/>
    <w:rsid w:val="008743B3"/>
    <w:rsid w:val="008979B1"/>
    <w:rsid w:val="008A1DB2"/>
    <w:rsid w:val="008A6B25"/>
    <w:rsid w:val="008A6C4F"/>
    <w:rsid w:val="008B2335"/>
    <w:rsid w:val="008B7BE5"/>
    <w:rsid w:val="008D3FE8"/>
    <w:rsid w:val="008E0678"/>
    <w:rsid w:val="0090435B"/>
    <w:rsid w:val="00910F40"/>
    <w:rsid w:val="00912C08"/>
    <w:rsid w:val="00914534"/>
    <w:rsid w:val="00921704"/>
    <w:rsid w:val="009223CA"/>
    <w:rsid w:val="00930C47"/>
    <w:rsid w:val="00937A2A"/>
    <w:rsid w:val="00940F93"/>
    <w:rsid w:val="0095347F"/>
    <w:rsid w:val="009760F3"/>
    <w:rsid w:val="009909F5"/>
    <w:rsid w:val="009A0E8D"/>
    <w:rsid w:val="009B26E7"/>
    <w:rsid w:val="00A00A3F"/>
    <w:rsid w:val="00A01489"/>
    <w:rsid w:val="00A338F1"/>
    <w:rsid w:val="00A44615"/>
    <w:rsid w:val="00A72F22"/>
    <w:rsid w:val="00A7360F"/>
    <w:rsid w:val="00A748A6"/>
    <w:rsid w:val="00A769F4"/>
    <w:rsid w:val="00A776B4"/>
    <w:rsid w:val="00A94361"/>
    <w:rsid w:val="00AA293C"/>
    <w:rsid w:val="00B13E9B"/>
    <w:rsid w:val="00B30179"/>
    <w:rsid w:val="00B339A7"/>
    <w:rsid w:val="00B36EAD"/>
    <w:rsid w:val="00B420D3"/>
    <w:rsid w:val="00B4441E"/>
    <w:rsid w:val="00B56E4A"/>
    <w:rsid w:val="00B56E9C"/>
    <w:rsid w:val="00B64B1F"/>
    <w:rsid w:val="00B6553F"/>
    <w:rsid w:val="00B66E5E"/>
    <w:rsid w:val="00B77D05"/>
    <w:rsid w:val="00B81206"/>
    <w:rsid w:val="00B81E12"/>
    <w:rsid w:val="00B9067B"/>
    <w:rsid w:val="00BB3908"/>
    <w:rsid w:val="00BC2C23"/>
    <w:rsid w:val="00BC74E9"/>
    <w:rsid w:val="00BF3124"/>
    <w:rsid w:val="00BF68A8"/>
    <w:rsid w:val="00C01071"/>
    <w:rsid w:val="00C11A03"/>
    <w:rsid w:val="00C405D8"/>
    <w:rsid w:val="00C463DD"/>
    <w:rsid w:val="00C4724C"/>
    <w:rsid w:val="00C56BA5"/>
    <w:rsid w:val="00C629A0"/>
    <w:rsid w:val="00C66649"/>
    <w:rsid w:val="00C745C3"/>
    <w:rsid w:val="00CE4A8F"/>
    <w:rsid w:val="00CE68E1"/>
    <w:rsid w:val="00D1260D"/>
    <w:rsid w:val="00D2031B"/>
    <w:rsid w:val="00D25FE2"/>
    <w:rsid w:val="00D262B5"/>
    <w:rsid w:val="00D31563"/>
    <w:rsid w:val="00D43252"/>
    <w:rsid w:val="00D47EEA"/>
    <w:rsid w:val="00D95303"/>
    <w:rsid w:val="00D978C6"/>
    <w:rsid w:val="00DA3111"/>
    <w:rsid w:val="00DA3C1C"/>
    <w:rsid w:val="00DA4D9E"/>
    <w:rsid w:val="00DB0C79"/>
    <w:rsid w:val="00E10299"/>
    <w:rsid w:val="00E27346"/>
    <w:rsid w:val="00E539B4"/>
    <w:rsid w:val="00E71BC8"/>
    <w:rsid w:val="00E7260F"/>
    <w:rsid w:val="00E779FC"/>
    <w:rsid w:val="00E96630"/>
    <w:rsid w:val="00EA45A4"/>
    <w:rsid w:val="00EB2581"/>
    <w:rsid w:val="00ED7A2A"/>
    <w:rsid w:val="00EF1D7F"/>
    <w:rsid w:val="00F20C3D"/>
    <w:rsid w:val="00F21332"/>
    <w:rsid w:val="00F43E9E"/>
    <w:rsid w:val="00F9057C"/>
    <w:rsid w:val="00F906D7"/>
    <w:rsid w:val="00F93781"/>
    <w:rsid w:val="00FB613B"/>
    <w:rsid w:val="00FC2FEB"/>
    <w:rsid w:val="00FC68B7"/>
    <w:rsid w:val="00FD730A"/>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Default">
    <w:name w:val="Default"/>
    <w:rsid w:val="005121BA"/>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2568</Words>
  <Characters>13843</Characters>
  <Application>Microsoft Office Word</Application>
  <DocSecurity>4</DocSecurity>
  <Lines>234</Lines>
  <Paragraphs>72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2010-04-07T13:40:00Z</cp:lastPrinted>
  <dcterms:created xsi:type="dcterms:W3CDTF">2010-04-08T14:14:00Z</dcterms:created>
  <dcterms:modified xsi:type="dcterms:W3CDTF">2010-04-08T14:14:00Z</dcterms:modified>
</cp:coreProperties>
</file>