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77D" w:rsidRDefault="00A5077D">
      <w:pPr>
        <w:rPr>
          <w:rFonts w:hint="eastAsia"/>
        </w:rPr>
      </w:pPr>
      <w:r>
        <w:rPr>
          <w:rFonts w:hint="eastAsia"/>
        </w:rPr>
        <w:t>人权事务委员会</w:t>
      </w:r>
    </w:p>
    <w:p w:rsidR="00A5077D" w:rsidRDefault="00A5077D">
      <w:pPr>
        <w:rPr>
          <w:rFonts w:hint="eastAsia"/>
        </w:rPr>
      </w:pPr>
      <w:r>
        <w:rPr>
          <w:rFonts w:hint="eastAsia"/>
        </w:rPr>
        <w:t>第九十二届会议</w:t>
      </w:r>
    </w:p>
    <w:p w:rsidR="00A5077D" w:rsidRDefault="00A5077D" w:rsidP="0068071D">
      <w:pPr>
        <w:spacing w:after="360"/>
        <w:rPr>
          <w:rFonts w:hint="eastAsia"/>
        </w:rPr>
      </w:pPr>
      <w:r>
        <w:rPr>
          <w:rFonts w:hint="eastAsia"/>
        </w:rPr>
        <w:t>2008</w:t>
      </w:r>
      <w:r>
        <w:rPr>
          <w:rFonts w:hint="eastAsia"/>
        </w:rPr>
        <w:t>年</w:t>
      </w:r>
      <w:r>
        <w:rPr>
          <w:rFonts w:hint="eastAsia"/>
        </w:rPr>
        <w:t>3</w:t>
      </w:r>
      <w:r>
        <w:rPr>
          <w:rFonts w:hint="eastAsia"/>
        </w:rPr>
        <w:t>月</w:t>
      </w:r>
      <w:r>
        <w:rPr>
          <w:rFonts w:hint="eastAsia"/>
        </w:rPr>
        <w:t>17</w:t>
      </w:r>
      <w:r>
        <w:rPr>
          <w:rFonts w:hint="eastAsia"/>
        </w:rPr>
        <w:t>日至</w:t>
      </w:r>
      <w:r>
        <w:rPr>
          <w:rFonts w:hint="eastAsia"/>
        </w:rPr>
        <w:t>4</w:t>
      </w:r>
      <w:r>
        <w:rPr>
          <w:rFonts w:hint="eastAsia"/>
        </w:rPr>
        <w:t>月</w:t>
      </w:r>
      <w:r>
        <w:rPr>
          <w:rFonts w:hint="eastAsia"/>
        </w:rPr>
        <w:t>4</w:t>
      </w:r>
      <w:r>
        <w:rPr>
          <w:rFonts w:hint="eastAsia"/>
        </w:rPr>
        <w:t>日，纽约</w:t>
      </w:r>
    </w:p>
    <w:p w:rsidR="00A5077D" w:rsidRDefault="00A5077D" w:rsidP="00147CF9">
      <w:pPr>
        <w:pStyle w:val="Heading2"/>
        <w:rPr>
          <w:rFonts w:hint="eastAsia"/>
        </w:rPr>
      </w:pPr>
      <w:r>
        <w:rPr>
          <w:rFonts w:hint="eastAsia"/>
        </w:rPr>
        <w:t>审议缔约国根据《公约》第四十条提交的报告</w:t>
      </w:r>
    </w:p>
    <w:p w:rsidR="00A5077D" w:rsidRDefault="00A5077D" w:rsidP="00147CF9">
      <w:pPr>
        <w:pStyle w:val="Heading3"/>
        <w:rPr>
          <w:rFonts w:hint="eastAsia"/>
        </w:rPr>
      </w:pPr>
      <w:r>
        <w:rPr>
          <w:rFonts w:hint="eastAsia"/>
        </w:rPr>
        <w:t>人权事务委员会的结论性意见</w:t>
      </w:r>
    </w:p>
    <w:p w:rsidR="00A5077D" w:rsidRDefault="00A5077D" w:rsidP="00147CF9">
      <w:pPr>
        <w:pStyle w:val="a7"/>
        <w:rPr>
          <w:rFonts w:hint="eastAsia"/>
        </w:rPr>
      </w:pPr>
      <w:r>
        <w:rPr>
          <w:rFonts w:hint="eastAsia"/>
        </w:rPr>
        <w:t>突尼斯</w:t>
      </w:r>
    </w:p>
    <w:p w:rsidR="00A5077D" w:rsidRDefault="00A5077D" w:rsidP="003B2A1D">
      <w:pPr>
        <w:spacing w:after="320"/>
        <w:rPr>
          <w:rFonts w:hint="eastAsia"/>
        </w:rPr>
      </w:pPr>
      <w:r>
        <w:rPr>
          <w:rFonts w:hint="eastAsia"/>
        </w:rPr>
        <w:tab/>
        <w:t>1</w:t>
      </w:r>
      <w:r>
        <w:t>.</w:t>
      </w:r>
      <w:r>
        <w:rPr>
          <w:rFonts w:hint="eastAsia"/>
        </w:rPr>
        <w:t xml:space="preserve">  </w:t>
      </w:r>
      <w:r>
        <w:rPr>
          <w:rFonts w:hint="eastAsia"/>
        </w:rPr>
        <w:t>人权事务委员会于</w:t>
      </w:r>
      <w:r>
        <w:rPr>
          <w:rFonts w:hint="eastAsia"/>
        </w:rPr>
        <w:t>2008</w:t>
      </w:r>
      <w:r>
        <w:rPr>
          <w:rFonts w:hint="eastAsia"/>
        </w:rPr>
        <w:t>年</w:t>
      </w:r>
      <w:r>
        <w:rPr>
          <w:rFonts w:hint="eastAsia"/>
        </w:rPr>
        <w:t>3</w:t>
      </w:r>
      <w:r>
        <w:rPr>
          <w:rFonts w:hint="eastAsia"/>
        </w:rPr>
        <w:t>月</w:t>
      </w:r>
      <w:r>
        <w:rPr>
          <w:rFonts w:hint="eastAsia"/>
        </w:rPr>
        <w:t>17</w:t>
      </w:r>
      <w:r>
        <w:rPr>
          <w:rFonts w:hint="eastAsia"/>
        </w:rPr>
        <w:t>日和</w:t>
      </w:r>
      <w:r>
        <w:rPr>
          <w:rFonts w:hint="eastAsia"/>
        </w:rPr>
        <w:t>18</w:t>
      </w:r>
      <w:r>
        <w:rPr>
          <w:rFonts w:hint="eastAsia"/>
        </w:rPr>
        <w:t>日的第</w:t>
      </w:r>
      <w:r>
        <w:rPr>
          <w:rFonts w:hint="eastAsia"/>
        </w:rPr>
        <w:t>2512</w:t>
      </w:r>
      <w:r>
        <w:rPr>
          <w:rFonts w:hint="eastAsia"/>
        </w:rPr>
        <w:t>、</w:t>
      </w:r>
      <w:r>
        <w:rPr>
          <w:rFonts w:hint="eastAsia"/>
        </w:rPr>
        <w:t>2513</w:t>
      </w:r>
      <w:r>
        <w:rPr>
          <w:rFonts w:hint="eastAsia"/>
        </w:rPr>
        <w:t>和</w:t>
      </w:r>
      <w:r>
        <w:rPr>
          <w:rFonts w:hint="eastAsia"/>
        </w:rPr>
        <w:t>2514</w:t>
      </w:r>
      <w:r>
        <w:rPr>
          <w:rFonts w:hint="eastAsia"/>
        </w:rPr>
        <w:t>次会议（</w:t>
      </w:r>
      <w:r>
        <w:rPr>
          <w:rFonts w:hint="eastAsia"/>
        </w:rPr>
        <w:t>CCPR/C/SR</w:t>
      </w:r>
      <w:r>
        <w:t>.</w:t>
      </w:r>
      <w:r>
        <w:rPr>
          <w:rFonts w:hint="eastAsia"/>
        </w:rPr>
        <w:t>2512</w:t>
      </w:r>
      <w:r>
        <w:rPr>
          <w:rFonts w:hint="eastAsia"/>
        </w:rPr>
        <w:t>、</w:t>
      </w:r>
      <w:r>
        <w:rPr>
          <w:rFonts w:hint="eastAsia"/>
        </w:rPr>
        <w:t>2513</w:t>
      </w:r>
      <w:r>
        <w:rPr>
          <w:rFonts w:hint="eastAsia"/>
        </w:rPr>
        <w:t>和</w:t>
      </w:r>
      <w:r>
        <w:rPr>
          <w:rFonts w:hint="eastAsia"/>
        </w:rPr>
        <w:t>2514</w:t>
      </w:r>
      <w:r>
        <w:rPr>
          <w:rFonts w:hint="eastAsia"/>
        </w:rPr>
        <w:t>）上，审议了突尼斯提交的第五次定期报告（</w:t>
      </w:r>
      <w:r>
        <w:rPr>
          <w:rFonts w:hint="eastAsia"/>
        </w:rPr>
        <w:t>CCPR/C/TUN/5</w:t>
      </w:r>
      <w:r>
        <w:rPr>
          <w:rFonts w:hint="eastAsia"/>
        </w:rPr>
        <w:t>），并于</w:t>
      </w:r>
      <w:r>
        <w:rPr>
          <w:rFonts w:hint="eastAsia"/>
        </w:rPr>
        <w:t>2008</w:t>
      </w:r>
      <w:r>
        <w:rPr>
          <w:rFonts w:hint="eastAsia"/>
        </w:rPr>
        <w:t>年</w:t>
      </w:r>
      <w:r>
        <w:rPr>
          <w:rFonts w:hint="eastAsia"/>
        </w:rPr>
        <w:t>3</w:t>
      </w:r>
      <w:r>
        <w:rPr>
          <w:rFonts w:hint="eastAsia"/>
        </w:rPr>
        <w:t>月</w:t>
      </w:r>
      <w:r>
        <w:rPr>
          <w:rFonts w:hint="eastAsia"/>
        </w:rPr>
        <w:t>28</w:t>
      </w:r>
      <w:r>
        <w:rPr>
          <w:rFonts w:hint="eastAsia"/>
        </w:rPr>
        <w:t>日举行的第</w:t>
      </w:r>
      <w:r>
        <w:rPr>
          <w:rFonts w:hint="eastAsia"/>
        </w:rPr>
        <w:t>2527</w:t>
      </w:r>
      <w:r>
        <w:rPr>
          <w:rFonts w:hint="eastAsia"/>
        </w:rPr>
        <w:t>次会议（</w:t>
      </w:r>
      <w:r>
        <w:rPr>
          <w:rFonts w:hint="eastAsia"/>
        </w:rPr>
        <w:t>CCPR/C/SR.2527</w:t>
      </w:r>
      <w:r>
        <w:rPr>
          <w:rFonts w:hint="eastAsia"/>
        </w:rPr>
        <w:t>）上通过了以下结论性意见。</w:t>
      </w:r>
    </w:p>
    <w:p w:rsidR="00A5077D" w:rsidRDefault="00A5077D" w:rsidP="00147CF9">
      <w:pPr>
        <w:pStyle w:val="Heading3"/>
        <w:rPr>
          <w:rFonts w:hint="eastAsia"/>
        </w:rPr>
      </w:pPr>
      <w:r w:rsidRPr="003B2A1D">
        <w:rPr>
          <w:rFonts w:hint="eastAsia"/>
          <w:u w:val="none"/>
        </w:rPr>
        <w:t>A</w:t>
      </w:r>
      <w:r w:rsidRPr="003B2A1D">
        <w:rPr>
          <w:u w:val="none"/>
        </w:rPr>
        <w:t>.</w:t>
      </w:r>
      <w:r w:rsidRPr="003B2A1D">
        <w:rPr>
          <w:rFonts w:hint="eastAsia"/>
          <w:u w:val="none"/>
        </w:rPr>
        <w:t xml:space="preserve">  </w:t>
      </w:r>
      <w:r>
        <w:rPr>
          <w:rFonts w:hint="eastAsia"/>
        </w:rPr>
        <w:t>导</w:t>
      </w:r>
      <w:r w:rsidR="003B2A1D">
        <w:rPr>
          <w:rFonts w:hint="eastAsia"/>
        </w:rPr>
        <w:t xml:space="preserve">   </w:t>
      </w:r>
      <w:r>
        <w:rPr>
          <w:rFonts w:hint="eastAsia"/>
        </w:rPr>
        <w:t>言</w:t>
      </w:r>
    </w:p>
    <w:p w:rsidR="00A5077D" w:rsidRDefault="00A5077D" w:rsidP="00147CF9">
      <w:pPr>
        <w:rPr>
          <w:rFonts w:hint="eastAsia"/>
        </w:rPr>
      </w:pPr>
      <w:r>
        <w:rPr>
          <w:rFonts w:hint="eastAsia"/>
        </w:rPr>
        <w:tab/>
        <w:t>2</w:t>
      </w:r>
      <w:r>
        <w:t>.</w:t>
      </w:r>
      <w:r>
        <w:rPr>
          <w:rFonts w:hint="eastAsia"/>
        </w:rPr>
        <w:t xml:space="preserve">  </w:t>
      </w:r>
      <w:r>
        <w:rPr>
          <w:rFonts w:hint="eastAsia"/>
        </w:rPr>
        <w:t>委员会满意地欢迎突尼斯提交了第五次定期报告，并因此有机会在</w:t>
      </w:r>
      <w:r>
        <w:rPr>
          <w:rFonts w:hint="eastAsia"/>
        </w:rPr>
        <w:t>13</w:t>
      </w:r>
      <w:r>
        <w:rPr>
          <w:rFonts w:hint="eastAsia"/>
        </w:rPr>
        <w:t>年多以后恢复与缔约国的对话。委员会并欢迎该国高级别的代表团参加了对报告的审议。委员会感谢缔约国的书面答复（</w:t>
      </w:r>
      <w:r>
        <w:rPr>
          <w:rFonts w:hint="eastAsia"/>
        </w:rPr>
        <w:t>CCPR/C/TUN/Q/5/Add.1</w:t>
      </w:r>
      <w:r>
        <w:rPr>
          <w:rFonts w:hint="eastAsia"/>
        </w:rPr>
        <w:t>）和预先以及在审议报告期间提出的进一步解释，尽管有些答复并不完整。</w:t>
      </w:r>
    </w:p>
    <w:p w:rsidR="00A5077D" w:rsidRDefault="00D22886" w:rsidP="003B2A1D">
      <w:pPr>
        <w:spacing w:after="320"/>
        <w:rPr>
          <w:rFonts w:hint="eastAsia"/>
        </w:rPr>
      </w:pPr>
      <w:r>
        <w:br w:type="page"/>
      </w:r>
      <w:r w:rsidR="00A5077D">
        <w:rPr>
          <w:rFonts w:hint="eastAsia"/>
        </w:rPr>
        <w:tab/>
        <w:t>3</w:t>
      </w:r>
      <w:r w:rsidR="00A5077D">
        <w:t>.</w:t>
      </w:r>
      <w:r w:rsidR="00A5077D">
        <w:rPr>
          <w:rFonts w:hint="eastAsia"/>
        </w:rPr>
        <w:t xml:space="preserve">  </w:t>
      </w:r>
      <w:r w:rsidR="00A5077D">
        <w:rPr>
          <w:rFonts w:hint="eastAsia"/>
        </w:rPr>
        <w:t>委员会认识到该国存在一些</w:t>
      </w:r>
      <w:r w:rsidR="003B2A1D">
        <w:rPr>
          <w:rFonts w:hint="eastAsia"/>
        </w:rPr>
        <w:t>困难，</w:t>
      </w:r>
      <w:r w:rsidR="00A5077D">
        <w:rPr>
          <w:rFonts w:hint="eastAsia"/>
        </w:rPr>
        <w:t>导致宗教的政治化和宗教极端主义，影响到了人权</w:t>
      </w:r>
      <w:r w:rsidR="003B2A1D">
        <w:rPr>
          <w:rFonts w:hint="eastAsia"/>
        </w:rPr>
        <w:t>，</w:t>
      </w:r>
      <w:r w:rsidR="00A5077D">
        <w:rPr>
          <w:rFonts w:hint="eastAsia"/>
        </w:rPr>
        <w:t>并构成对宽容态度的否定，为国家和社会带来了障碍，这些都并非突尼斯政府的责任，但与此同时，委员会认为这不能作为</w:t>
      </w:r>
      <w:r w:rsidR="003B2A1D">
        <w:rPr>
          <w:rFonts w:hint="eastAsia"/>
        </w:rPr>
        <w:t>借口，违反</w:t>
      </w:r>
      <w:r w:rsidR="00A5077D">
        <w:rPr>
          <w:rFonts w:hint="eastAsia"/>
        </w:rPr>
        <w:t>《公约》</w:t>
      </w:r>
      <w:r w:rsidR="003B2A1D">
        <w:rPr>
          <w:rFonts w:hint="eastAsia"/>
        </w:rPr>
        <w:t>，来</w:t>
      </w:r>
      <w:r w:rsidR="00A5077D">
        <w:rPr>
          <w:rFonts w:hint="eastAsia"/>
        </w:rPr>
        <w:t>减损或限制</w:t>
      </w:r>
      <w:r w:rsidR="0068071D">
        <w:rPr>
          <w:rFonts w:hint="eastAsia"/>
        </w:rPr>
        <w:t>各项</w:t>
      </w:r>
      <w:r w:rsidR="00A5077D">
        <w:rPr>
          <w:rFonts w:hint="eastAsia"/>
        </w:rPr>
        <w:t>权利。</w:t>
      </w:r>
    </w:p>
    <w:p w:rsidR="00A5077D" w:rsidRDefault="00A5077D" w:rsidP="00147CF9">
      <w:pPr>
        <w:pStyle w:val="Heading3"/>
        <w:rPr>
          <w:rFonts w:hint="eastAsia"/>
        </w:rPr>
      </w:pPr>
      <w:r w:rsidRPr="003B2A1D">
        <w:rPr>
          <w:rFonts w:hint="eastAsia"/>
          <w:u w:val="none"/>
        </w:rPr>
        <w:t>B</w:t>
      </w:r>
      <w:r w:rsidRPr="003B2A1D">
        <w:rPr>
          <w:u w:val="none"/>
        </w:rPr>
        <w:t>.</w:t>
      </w:r>
      <w:r w:rsidRPr="003B2A1D">
        <w:rPr>
          <w:rFonts w:hint="eastAsia"/>
          <w:u w:val="none"/>
        </w:rPr>
        <w:t xml:space="preserve">  </w:t>
      </w:r>
      <w:r>
        <w:rPr>
          <w:rFonts w:hint="eastAsia"/>
        </w:rPr>
        <w:t>积极方面</w:t>
      </w:r>
    </w:p>
    <w:p w:rsidR="00A5077D" w:rsidRDefault="00A5077D" w:rsidP="00147CF9">
      <w:pPr>
        <w:rPr>
          <w:rFonts w:hint="eastAsia"/>
        </w:rPr>
      </w:pPr>
      <w:r>
        <w:rPr>
          <w:rFonts w:hint="eastAsia"/>
        </w:rPr>
        <w:tab/>
        <w:t>4</w:t>
      </w:r>
      <w:r>
        <w:t>.</w:t>
      </w:r>
      <w:r>
        <w:rPr>
          <w:rFonts w:hint="eastAsia"/>
        </w:rPr>
        <w:t xml:space="preserve">  </w:t>
      </w:r>
      <w:r>
        <w:rPr>
          <w:rFonts w:hint="eastAsia"/>
        </w:rPr>
        <w:t>委员会欢迎该国在法律和实</w:t>
      </w:r>
      <w:r w:rsidR="003B2A1D">
        <w:rPr>
          <w:rFonts w:hint="eastAsia"/>
        </w:rPr>
        <w:t>践</w:t>
      </w:r>
      <w:r>
        <w:rPr>
          <w:rFonts w:hint="eastAsia"/>
        </w:rPr>
        <w:t>中就落实《公约》第三条方面取得的进步。委员会感兴趣地注意到在该国国家的司法管辖中有一些判例涉及到了儿童的监护、国籍的承袭和继承权，尤其是突尼斯妇女国籍的</w:t>
      </w:r>
      <w:r w:rsidR="003B2A1D">
        <w:rPr>
          <w:rFonts w:hint="eastAsia"/>
        </w:rPr>
        <w:t>传</w:t>
      </w:r>
      <w:r>
        <w:rPr>
          <w:rFonts w:hint="eastAsia"/>
        </w:rPr>
        <w:t>袭以及继承规则。</w:t>
      </w:r>
    </w:p>
    <w:p w:rsidR="00A5077D" w:rsidRDefault="00A5077D" w:rsidP="00147CF9">
      <w:pPr>
        <w:rPr>
          <w:rFonts w:hint="eastAsia"/>
        </w:rPr>
      </w:pPr>
      <w:r>
        <w:rPr>
          <w:rFonts w:hint="eastAsia"/>
        </w:rPr>
        <w:tab/>
        <w:t>5</w:t>
      </w:r>
      <w:r>
        <w:t>.</w:t>
      </w:r>
      <w:r>
        <w:rPr>
          <w:rFonts w:hint="eastAsia"/>
        </w:rPr>
        <w:t xml:space="preserve">  </w:t>
      </w:r>
      <w:r>
        <w:rPr>
          <w:rFonts w:hint="eastAsia"/>
        </w:rPr>
        <w:t>委员会欢迎缔约国自</w:t>
      </w:r>
      <w:r>
        <w:rPr>
          <w:rFonts w:hint="eastAsia"/>
        </w:rPr>
        <w:t>1991</w:t>
      </w:r>
      <w:r>
        <w:rPr>
          <w:rFonts w:hint="eastAsia"/>
        </w:rPr>
        <w:t>年以来一直对死刑实行中止。委员会欢迎缔约国认为本国是事实上废除死刑</w:t>
      </w:r>
      <w:r w:rsidR="00DE6F54">
        <w:rPr>
          <w:rFonts w:hint="eastAsia"/>
        </w:rPr>
        <w:t>的</w:t>
      </w:r>
      <w:r>
        <w:rPr>
          <w:rFonts w:hint="eastAsia"/>
        </w:rPr>
        <w:t>国家。对此，委员会注意到突尼斯共和国总统</w:t>
      </w:r>
      <w:r w:rsidR="00DE6F54">
        <w:rPr>
          <w:rFonts w:hint="eastAsia"/>
        </w:rPr>
        <w:t>再次</w:t>
      </w:r>
      <w:r>
        <w:rPr>
          <w:rFonts w:hint="eastAsia"/>
        </w:rPr>
        <w:t>作出的关于不实行死刑的庄严承诺。</w:t>
      </w:r>
    </w:p>
    <w:p w:rsidR="00A5077D" w:rsidRDefault="00A5077D" w:rsidP="00147CF9">
      <w:pPr>
        <w:rPr>
          <w:rFonts w:hint="eastAsia"/>
        </w:rPr>
      </w:pPr>
      <w:r>
        <w:rPr>
          <w:rFonts w:hint="eastAsia"/>
        </w:rPr>
        <w:tab/>
        <w:t>6</w:t>
      </w:r>
      <w:r>
        <w:t>.</w:t>
      </w:r>
      <w:r>
        <w:rPr>
          <w:rFonts w:hint="eastAsia"/>
        </w:rPr>
        <w:t xml:space="preserve">  </w:t>
      </w:r>
      <w:r>
        <w:rPr>
          <w:rFonts w:hint="eastAsia"/>
        </w:rPr>
        <w:t>委员会注意到该国代表团关于缔约国决定加入《消除对妇女一切形式歧视公约任择议定书》和《残疾人权利公约》的决定。委员会注意到缔约国代表团承诺在联合国各特别报告员的任期之内邀请他们前往突尼斯访问，其中包括酷刑和其他残忍、不人道或有辱人格的待遇或处罚问题特别报告员。委员会注意到，缔约国并有意设立一个机构，负责落实条约机构的建议。</w:t>
      </w:r>
    </w:p>
    <w:p w:rsidR="00A5077D" w:rsidRDefault="00A5077D" w:rsidP="00DE6F54">
      <w:pPr>
        <w:spacing w:after="320"/>
        <w:rPr>
          <w:rFonts w:hint="eastAsia"/>
        </w:rPr>
      </w:pPr>
      <w:r>
        <w:rPr>
          <w:rFonts w:hint="eastAsia"/>
        </w:rPr>
        <w:tab/>
        <w:t>7</w:t>
      </w:r>
      <w:r>
        <w:t>.</w:t>
      </w:r>
      <w:r>
        <w:rPr>
          <w:rFonts w:hint="eastAsia"/>
        </w:rPr>
        <w:t xml:space="preserve">  </w:t>
      </w:r>
      <w:r>
        <w:rPr>
          <w:rFonts w:hint="eastAsia"/>
        </w:rPr>
        <w:t>委员会欢迎</w:t>
      </w:r>
      <w:r w:rsidR="00DE6F54">
        <w:rPr>
          <w:rFonts w:hint="eastAsia"/>
        </w:rPr>
        <w:t>缔约国</w:t>
      </w:r>
      <w:r>
        <w:rPr>
          <w:rFonts w:hint="eastAsia"/>
        </w:rPr>
        <w:t>有意撤销其对《儿童权利公约》的保留意见，尤其是对于切实履行《公约》第二十三和第二十四条的履行。</w:t>
      </w:r>
    </w:p>
    <w:p w:rsidR="00A5077D" w:rsidRDefault="00A5077D" w:rsidP="00147CF9">
      <w:pPr>
        <w:pStyle w:val="Heading3"/>
        <w:rPr>
          <w:rFonts w:hint="eastAsia"/>
        </w:rPr>
      </w:pPr>
      <w:r w:rsidRPr="00DE6F54">
        <w:rPr>
          <w:rFonts w:hint="eastAsia"/>
          <w:u w:val="none"/>
        </w:rPr>
        <w:t>C</w:t>
      </w:r>
      <w:r w:rsidRPr="00DE6F54">
        <w:rPr>
          <w:u w:val="none"/>
        </w:rPr>
        <w:t>.</w:t>
      </w:r>
      <w:r w:rsidRPr="00DE6F54">
        <w:rPr>
          <w:rFonts w:hint="eastAsia"/>
          <w:u w:val="none"/>
        </w:rPr>
        <w:t xml:space="preserve">  </w:t>
      </w:r>
      <w:r>
        <w:rPr>
          <w:rFonts w:hint="eastAsia"/>
        </w:rPr>
        <w:t>主要关注问题和建议</w:t>
      </w:r>
    </w:p>
    <w:p w:rsidR="00A5077D" w:rsidRDefault="00A5077D" w:rsidP="00147CF9">
      <w:pPr>
        <w:rPr>
          <w:rFonts w:hint="eastAsia"/>
        </w:rPr>
      </w:pPr>
      <w:r>
        <w:rPr>
          <w:rFonts w:hint="eastAsia"/>
        </w:rPr>
        <w:tab/>
        <w:t>8</w:t>
      </w:r>
      <w:r>
        <w:t>.</w:t>
      </w:r>
      <w:r>
        <w:rPr>
          <w:rFonts w:hint="eastAsia"/>
        </w:rPr>
        <w:t xml:space="preserve">  </w:t>
      </w:r>
      <w:r>
        <w:rPr>
          <w:rFonts w:hint="eastAsia"/>
        </w:rPr>
        <w:t>委员会感到遗憾的是，缔约国仍然没有根据《巴黎原则》建立一个在人权方面能行使职权的国家机构，尽管该国代表团指出，使该国人权和基本自由问题高级委员会符合《巴黎原则》目前正是在部长理事会这方面</w:t>
      </w:r>
      <w:r w:rsidR="00DE6F54">
        <w:rPr>
          <w:rFonts w:hint="eastAsia"/>
        </w:rPr>
        <w:t>作出</w:t>
      </w:r>
      <w:r>
        <w:rPr>
          <w:rFonts w:hint="eastAsia"/>
        </w:rPr>
        <w:t>的一个决定之后提交议会审议的法案</w:t>
      </w:r>
      <w:r w:rsidR="00DE6F54">
        <w:rPr>
          <w:rFonts w:hint="eastAsia"/>
        </w:rPr>
        <w:t>中</w:t>
      </w:r>
      <w:r>
        <w:rPr>
          <w:rFonts w:hint="eastAsia"/>
        </w:rPr>
        <w:t>所涉及的问题（《公约》第二条）。</w:t>
      </w:r>
    </w:p>
    <w:p w:rsidR="00A5077D" w:rsidRPr="00DE6F54" w:rsidRDefault="00A5077D" w:rsidP="00147CF9">
      <w:pPr>
        <w:pStyle w:val="NormalIndent0"/>
        <w:rPr>
          <w:rFonts w:ascii="Time New Roman" w:eastAsia="SimHei" w:hAnsi="Time New Roman" w:hint="eastAsia"/>
        </w:rPr>
      </w:pPr>
      <w:r w:rsidRPr="00DE6F54">
        <w:rPr>
          <w:rFonts w:ascii="Time New Roman" w:eastAsia="SimHei" w:hAnsi="Time New Roman" w:hint="eastAsia"/>
        </w:rPr>
        <w:t>缔约国应当采取必要步骤，确保人权和基本自由问题高级委员会以符合《巴黎原则》的方式行使职能。</w:t>
      </w:r>
    </w:p>
    <w:p w:rsidR="00A5077D" w:rsidRDefault="00A5077D" w:rsidP="00147CF9">
      <w:pPr>
        <w:rPr>
          <w:rFonts w:hint="eastAsia"/>
        </w:rPr>
      </w:pPr>
      <w:r>
        <w:rPr>
          <w:rFonts w:hint="eastAsia"/>
        </w:rPr>
        <w:tab/>
        <w:t>9</w:t>
      </w:r>
      <w:r>
        <w:t>.</w:t>
      </w:r>
      <w:r>
        <w:rPr>
          <w:rFonts w:hint="eastAsia"/>
        </w:rPr>
        <w:t xml:space="preserve">  </w:t>
      </w:r>
      <w:r>
        <w:rPr>
          <w:rFonts w:hint="eastAsia"/>
        </w:rPr>
        <w:t>委员会注意到，加入《任择议定书》是否可取的问题仍然还在辩论之中。</w:t>
      </w:r>
    </w:p>
    <w:p w:rsidR="00A5077D" w:rsidRPr="00DE6F54" w:rsidRDefault="00A5077D" w:rsidP="00147CF9">
      <w:pPr>
        <w:pStyle w:val="NormalIndent0"/>
        <w:rPr>
          <w:rFonts w:ascii="Time New Roman" w:eastAsia="SimHei" w:hAnsi="Time New Roman" w:hint="eastAsia"/>
        </w:rPr>
      </w:pPr>
      <w:r w:rsidRPr="00DE6F54">
        <w:rPr>
          <w:rFonts w:ascii="Time New Roman" w:eastAsia="SimHei" w:hAnsi="Time New Roman" w:hint="eastAsia"/>
        </w:rPr>
        <w:t>缔约国应当考虑加入《公约》第一项《任择议定书》。</w:t>
      </w:r>
    </w:p>
    <w:p w:rsidR="00A5077D" w:rsidRDefault="00A5077D" w:rsidP="00147CF9">
      <w:pPr>
        <w:rPr>
          <w:rFonts w:hint="eastAsia"/>
        </w:rPr>
      </w:pPr>
      <w:r>
        <w:rPr>
          <w:rFonts w:hint="eastAsia"/>
        </w:rPr>
        <w:tab/>
        <w:t>10</w:t>
      </w:r>
      <w:r>
        <w:t>.</w:t>
      </w:r>
      <w:r>
        <w:rPr>
          <w:rFonts w:hint="eastAsia"/>
        </w:rPr>
        <w:t xml:space="preserve">  </w:t>
      </w:r>
      <w:r>
        <w:rPr>
          <w:rFonts w:hint="eastAsia"/>
        </w:rPr>
        <w:t>委员会认识到该国政府当局为消除家庭暴力作了努力，但与此同时注意到仍然应当进一步关注遭受暴力的妇女的状况。</w:t>
      </w:r>
    </w:p>
    <w:p w:rsidR="00A5077D" w:rsidRPr="00DE6F54" w:rsidRDefault="00A5077D" w:rsidP="00147CF9">
      <w:pPr>
        <w:pStyle w:val="NormalIndent0"/>
        <w:rPr>
          <w:rFonts w:ascii="Time New Roman" w:eastAsia="SimHei" w:hAnsi="Time New Roman" w:hint="eastAsia"/>
        </w:rPr>
      </w:pPr>
      <w:r w:rsidRPr="00DE6F54">
        <w:rPr>
          <w:rFonts w:ascii="Time New Roman" w:eastAsia="SimHei" w:hAnsi="Time New Roman" w:hint="eastAsia"/>
        </w:rPr>
        <w:t>缔约国应当提高公众舆论对于这一问题的认识，并采取必要步骤消除这一现象。</w:t>
      </w:r>
    </w:p>
    <w:p w:rsidR="00A5077D" w:rsidRDefault="00A5077D" w:rsidP="00147CF9">
      <w:pPr>
        <w:rPr>
          <w:rFonts w:hint="eastAsia"/>
        </w:rPr>
      </w:pPr>
      <w:r>
        <w:rPr>
          <w:rFonts w:hint="eastAsia"/>
        </w:rPr>
        <w:tab/>
        <w:t>11</w:t>
      </w:r>
      <w:r>
        <w:t>.</w:t>
      </w:r>
      <w:r>
        <w:rPr>
          <w:rFonts w:hint="eastAsia"/>
        </w:rPr>
        <w:t xml:space="preserve">  </w:t>
      </w:r>
      <w:r>
        <w:rPr>
          <w:rFonts w:hint="eastAsia"/>
        </w:rPr>
        <w:t>委员会欢迎该国的法院对于那些根据判决认为犯有酷刑或虐待罪行的政府官员而作出了一些判决，而且为受害者提供了赔偿，与此同时委员会关注到有严肃而得到证实的报告指出，在缔约国的领土内仍然存在酷刑和残忍、不人道或有辱人格待遇或处罚行为。根据其中的一些报告：</w:t>
      </w:r>
      <w:r>
        <w:t>(a)</w:t>
      </w:r>
      <w:r>
        <w:rPr>
          <w:rFonts w:hint="eastAsia"/>
        </w:rPr>
        <w:t xml:space="preserve"> </w:t>
      </w:r>
      <w:r>
        <w:rPr>
          <w:rFonts w:hint="eastAsia"/>
        </w:rPr>
        <w:t>一些法官拒绝</w:t>
      </w:r>
      <w:r w:rsidR="00DE6F54">
        <w:rPr>
          <w:rFonts w:hint="eastAsia"/>
        </w:rPr>
        <w:t>注册登记涉及</w:t>
      </w:r>
      <w:r>
        <w:rPr>
          <w:rFonts w:hint="eastAsia"/>
        </w:rPr>
        <w:t>虐待或酷刑</w:t>
      </w:r>
      <w:r w:rsidR="00DE6F54">
        <w:rPr>
          <w:rFonts w:hint="eastAsia"/>
        </w:rPr>
        <w:t>的</w:t>
      </w:r>
      <w:r>
        <w:rPr>
          <w:rFonts w:hint="eastAsia"/>
        </w:rPr>
        <w:t>申诉；</w:t>
      </w:r>
      <w:r>
        <w:t>(b)</w:t>
      </w:r>
      <w:r>
        <w:rPr>
          <w:rFonts w:hint="eastAsia"/>
        </w:rPr>
        <w:t xml:space="preserve"> </w:t>
      </w:r>
      <w:r>
        <w:rPr>
          <w:rFonts w:hint="eastAsia"/>
        </w:rPr>
        <w:t>在这类申诉提出之后，下令进行的调查被拖延的时间</w:t>
      </w:r>
      <w:r w:rsidR="00DE6F54">
        <w:rPr>
          <w:rFonts w:hint="eastAsia"/>
        </w:rPr>
        <w:t>长得</w:t>
      </w:r>
      <w:r>
        <w:rPr>
          <w:rFonts w:hint="eastAsia"/>
        </w:rPr>
        <w:t>没有理由；</w:t>
      </w:r>
      <w:r>
        <w:t>(c)</w:t>
      </w:r>
      <w:r>
        <w:rPr>
          <w:rFonts w:hint="eastAsia"/>
        </w:rPr>
        <w:t xml:space="preserve"> </w:t>
      </w:r>
      <w:r>
        <w:rPr>
          <w:rFonts w:hint="eastAsia"/>
        </w:rPr>
        <w:t>一些</w:t>
      </w:r>
      <w:r w:rsidR="00DE6F54">
        <w:rPr>
          <w:rFonts w:hint="eastAsia"/>
        </w:rPr>
        <w:t>对其</w:t>
      </w:r>
      <w:r>
        <w:rPr>
          <w:rFonts w:hint="eastAsia"/>
        </w:rPr>
        <w:t>违反《公约》第七条</w:t>
      </w:r>
      <w:r w:rsidR="00DE6F54">
        <w:rPr>
          <w:rFonts w:hint="eastAsia"/>
        </w:rPr>
        <w:t>的</w:t>
      </w:r>
      <w:r>
        <w:rPr>
          <w:rFonts w:hint="eastAsia"/>
        </w:rPr>
        <w:t>工作人员行为负有责任的上司即没有</w:t>
      </w:r>
      <w:r w:rsidR="00DE6F54">
        <w:rPr>
          <w:rFonts w:hint="eastAsia"/>
        </w:rPr>
        <w:t>受</w:t>
      </w:r>
      <w:r>
        <w:rPr>
          <w:rFonts w:hint="eastAsia"/>
        </w:rPr>
        <w:t>到调查也没有受到审讯。委员会感到遗憾的是，缺乏有关提交政府当局、政府当局注册登记的酷刑申诉方面的统计数字（《公约》第二条和第七条）。</w:t>
      </w:r>
    </w:p>
    <w:p w:rsidR="00A5077D" w:rsidRPr="00DE6F54" w:rsidRDefault="00A5077D" w:rsidP="00DE6F54">
      <w:pPr>
        <w:pStyle w:val="NormalIndent0"/>
        <w:rPr>
          <w:rFonts w:ascii="Time New Roman" w:eastAsia="SimHei" w:hAnsi="Time New Roman" w:hint="eastAsia"/>
        </w:rPr>
      </w:pPr>
      <w:r w:rsidRPr="00DE6F54">
        <w:rPr>
          <w:rFonts w:ascii="Time New Roman" w:eastAsia="SimHei" w:hAnsi="Time New Roman" w:hint="eastAsia"/>
        </w:rPr>
        <w:t>缔约国应当：</w:t>
      </w:r>
    </w:p>
    <w:p w:rsidR="00A5077D" w:rsidRPr="00DE6F54" w:rsidRDefault="00A5077D" w:rsidP="00DE6F54">
      <w:pPr>
        <w:pStyle w:val="NormalIndent0"/>
        <w:numPr>
          <w:ilvl w:val="1"/>
          <w:numId w:val="29"/>
        </w:numPr>
        <w:tabs>
          <w:tab w:val="clear" w:pos="1100"/>
          <w:tab w:val="num" w:pos="2210"/>
        </w:tabs>
        <w:ind w:left="2210"/>
        <w:rPr>
          <w:rFonts w:ascii="Time New Roman" w:eastAsia="SimHei" w:hAnsi="Time New Roman" w:hint="eastAsia"/>
        </w:rPr>
      </w:pPr>
      <w:r w:rsidRPr="00DE6F54">
        <w:rPr>
          <w:rFonts w:ascii="Time New Roman" w:eastAsia="SimHei" w:hAnsi="Time New Roman" w:hint="eastAsia"/>
        </w:rPr>
        <w:t>确保所有关于酷刑和残忍、不人道或有辱人格的待遇的指控都应得到独立主管机构的调查，而从事这类行为的肇事者及其上司</w:t>
      </w:r>
      <w:r w:rsidR="00DE6F54">
        <w:rPr>
          <w:rFonts w:ascii="Time New Roman" w:eastAsia="SimHei" w:hAnsi="Time New Roman" w:hint="eastAsia"/>
        </w:rPr>
        <w:t>都应</w:t>
      </w:r>
      <w:r w:rsidRPr="00DE6F54">
        <w:rPr>
          <w:rFonts w:ascii="Time New Roman" w:eastAsia="SimHei" w:hAnsi="Time New Roman" w:hint="eastAsia"/>
        </w:rPr>
        <w:t>受到审讯和惩处，受害者</w:t>
      </w:r>
      <w:r w:rsidR="00DE6F54">
        <w:rPr>
          <w:rFonts w:ascii="Time New Roman" w:eastAsia="SimHei" w:hAnsi="Time New Roman" w:hint="eastAsia"/>
        </w:rPr>
        <w:t>应</w:t>
      </w:r>
      <w:r w:rsidRPr="00DE6F54">
        <w:rPr>
          <w:rFonts w:ascii="Time New Roman" w:eastAsia="SimHei" w:hAnsi="Time New Roman" w:hint="eastAsia"/>
        </w:rPr>
        <w:t>得到补救，其中包括适当的赔偿；</w:t>
      </w:r>
    </w:p>
    <w:p w:rsidR="00A5077D" w:rsidRPr="00DE6F54" w:rsidRDefault="00A5077D" w:rsidP="00DE6F54">
      <w:pPr>
        <w:pStyle w:val="NormalIndent0"/>
        <w:numPr>
          <w:ilvl w:val="1"/>
          <w:numId w:val="29"/>
        </w:numPr>
        <w:tabs>
          <w:tab w:val="clear" w:pos="1100"/>
          <w:tab w:val="num" w:pos="2210"/>
        </w:tabs>
        <w:ind w:left="2210"/>
        <w:rPr>
          <w:rFonts w:ascii="Time New Roman" w:eastAsia="SimHei" w:hAnsi="Time New Roman" w:hint="eastAsia"/>
        </w:rPr>
      </w:pPr>
      <w:r w:rsidRPr="00DE6F54">
        <w:rPr>
          <w:rFonts w:ascii="Time New Roman" w:eastAsia="SimHei" w:hAnsi="Time New Roman" w:hint="eastAsia"/>
        </w:rPr>
        <w:t>改进为公众政府官员提供的这方面的训练；</w:t>
      </w:r>
    </w:p>
    <w:p w:rsidR="00A5077D" w:rsidRPr="00DE6F54" w:rsidRDefault="00A5077D" w:rsidP="00DE6F54">
      <w:pPr>
        <w:pStyle w:val="NormalIndent0"/>
        <w:numPr>
          <w:ilvl w:val="1"/>
          <w:numId w:val="29"/>
        </w:numPr>
        <w:tabs>
          <w:tab w:val="clear" w:pos="1100"/>
          <w:tab w:val="num" w:pos="2210"/>
        </w:tabs>
        <w:ind w:left="2210"/>
        <w:rPr>
          <w:rFonts w:ascii="Time New Roman" w:eastAsia="SimHei" w:hAnsi="Time New Roman" w:hint="eastAsia"/>
        </w:rPr>
      </w:pPr>
      <w:r w:rsidRPr="00DE6F54">
        <w:rPr>
          <w:rFonts w:ascii="Time New Roman" w:eastAsia="SimHei" w:hAnsi="Time New Roman" w:hint="eastAsia"/>
        </w:rPr>
        <w:t>在该国第六次定期报告中纳入有关这一问题的详尽统计数据。</w:t>
      </w:r>
    </w:p>
    <w:p w:rsidR="00A5077D" w:rsidRDefault="00A5077D" w:rsidP="00147CF9">
      <w:pPr>
        <w:rPr>
          <w:rFonts w:hint="eastAsia"/>
        </w:rPr>
      </w:pPr>
      <w:r>
        <w:rPr>
          <w:rFonts w:hint="eastAsia"/>
        </w:rPr>
        <w:tab/>
        <w:t>12</w:t>
      </w:r>
      <w:r>
        <w:t>.</w:t>
      </w:r>
      <w:r>
        <w:rPr>
          <w:rFonts w:hint="eastAsia"/>
        </w:rPr>
        <w:t xml:space="preserve">  </w:t>
      </w:r>
      <w:r>
        <w:rPr>
          <w:rFonts w:hint="eastAsia"/>
        </w:rPr>
        <w:t>委员会满意地注意到该国的《刑事法》第</w:t>
      </w:r>
      <w:r>
        <w:rPr>
          <w:rFonts w:hint="eastAsia"/>
        </w:rPr>
        <w:t>101</w:t>
      </w:r>
      <w:r>
        <w:rPr>
          <w:rFonts w:hint="eastAsia"/>
        </w:rPr>
        <w:t>条之二禁止酷刑，但与此同时关注到有报告指出，在实际中，经严刑拷打而得到的供词没有被排除为审判中的证据。委员会并指出，这类供词没有受到缔约国法律的明文禁止（《公约》第七条第十四条第</w:t>
      </w:r>
      <w:r>
        <w:rPr>
          <w:rFonts w:hint="eastAsia"/>
        </w:rPr>
        <w:t>3</w:t>
      </w:r>
      <w:r>
        <w:rPr>
          <w:rFonts w:hint="eastAsia"/>
        </w:rPr>
        <w:t>款（庚）项）。</w:t>
      </w:r>
    </w:p>
    <w:p w:rsidR="00A5077D" w:rsidRPr="00DE6F54" w:rsidRDefault="00A5077D" w:rsidP="00147CF9">
      <w:pPr>
        <w:pStyle w:val="NormalIndent0"/>
        <w:rPr>
          <w:rFonts w:ascii="Time New Roman" w:eastAsia="SimHei" w:hAnsi="Time New Roman" w:hint="eastAsia"/>
        </w:rPr>
      </w:pPr>
      <w:r w:rsidRPr="00DE6F54">
        <w:rPr>
          <w:rFonts w:ascii="Time New Roman" w:eastAsia="SimHei" w:hAnsi="Time New Roman" w:hint="eastAsia"/>
        </w:rPr>
        <w:t>缔约国应当禁止在所有司法过程中采</w:t>
      </w:r>
      <w:r w:rsidR="00DE6F54" w:rsidRPr="00DE6F54">
        <w:rPr>
          <w:rFonts w:ascii="Time New Roman" w:eastAsia="SimHei" w:hAnsi="Time New Roman" w:hint="eastAsia"/>
        </w:rPr>
        <w:t>纳</w:t>
      </w:r>
      <w:r w:rsidRPr="00DE6F54">
        <w:rPr>
          <w:rFonts w:ascii="Time New Roman" w:eastAsia="SimHei" w:hAnsi="Time New Roman" w:hint="eastAsia"/>
        </w:rPr>
        <w:t>严刑拷打取得的供词。同样，缔约国应当确保举证责任不应由受害者承担。</w:t>
      </w:r>
    </w:p>
    <w:p w:rsidR="00A5077D" w:rsidRDefault="00A5077D" w:rsidP="00147CF9">
      <w:pPr>
        <w:rPr>
          <w:rFonts w:hint="eastAsia"/>
        </w:rPr>
      </w:pPr>
      <w:r>
        <w:rPr>
          <w:rFonts w:hint="eastAsia"/>
        </w:rPr>
        <w:tab/>
        <w:t>13</w:t>
      </w:r>
      <w:r>
        <w:t>.</w:t>
      </w:r>
      <w:r>
        <w:rPr>
          <w:rFonts w:hint="eastAsia"/>
        </w:rPr>
        <w:t xml:space="preserve">  </w:t>
      </w:r>
      <w:r>
        <w:rPr>
          <w:rFonts w:hint="eastAsia"/>
        </w:rPr>
        <w:t>委员会关注到，突尼斯法律允许警察逮捕并拘留任何人达</w:t>
      </w:r>
      <w:r>
        <w:rPr>
          <w:rFonts w:hint="eastAsia"/>
        </w:rPr>
        <w:t>3</w:t>
      </w:r>
      <w:r>
        <w:rPr>
          <w:rFonts w:hint="eastAsia"/>
        </w:rPr>
        <w:t>天</w:t>
      </w:r>
      <w:r w:rsidR="00DE6F54">
        <w:rPr>
          <w:rFonts w:hint="eastAsia"/>
        </w:rPr>
        <w:t>时间</w:t>
      </w:r>
      <w:r>
        <w:rPr>
          <w:rFonts w:hint="eastAsia"/>
        </w:rPr>
        <w:t>，经法官同意</w:t>
      </w:r>
      <w:r w:rsidR="00DE6F54">
        <w:rPr>
          <w:rFonts w:hint="eastAsia"/>
        </w:rPr>
        <w:t>并可以</w:t>
      </w:r>
      <w:r>
        <w:rPr>
          <w:rFonts w:hint="eastAsia"/>
        </w:rPr>
        <w:t>继续延长。受拘捕者在被剥夺自由的这段时间里没有与律师接触的机会。根据转交委员会的许多报告，被剥夺自由的人的法律保障在实际中没有得到尊重。因此，据指控警方拘留的合法</w:t>
      </w:r>
      <w:r w:rsidR="00DE6F54">
        <w:rPr>
          <w:rFonts w:hint="eastAsia"/>
        </w:rPr>
        <w:t>时间</w:t>
      </w:r>
      <w:r>
        <w:rPr>
          <w:rFonts w:hint="eastAsia"/>
        </w:rPr>
        <w:t>在一些情况下已经超过，与此同时还不允许被捕的人接受医疗检查</w:t>
      </w:r>
      <w:r w:rsidR="00DE6F54">
        <w:rPr>
          <w:rFonts w:hint="eastAsia"/>
        </w:rPr>
        <w:t>和</w:t>
      </w:r>
      <w:r>
        <w:rPr>
          <w:rFonts w:hint="eastAsia"/>
        </w:rPr>
        <w:t>/</w:t>
      </w:r>
      <w:r>
        <w:rPr>
          <w:rFonts w:hint="eastAsia"/>
        </w:rPr>
        <w:t>或不向其家属通知这些人被捕的情况。此外，委员会关注到，被剥夺自由的人没有向法院起诉要求法院对其监禁的合法性作出</w:t>
      </w:r>
      <w:r w:rsidR="008E409D">
        <w:rPr>
          <w:rFonts w:hint="eastAsia"/>
        </w:rPr>
        <w:t>裁</w:t>
      </w:r>
      <w:r>
        <w:rPr>
          <w:rFonts w:hint="eastAsia"/>
        </w:rPr>
        <w:t>定之权利（《公约》第九条）。</w:t>
      </w:r>
    </w:p>
    <w:p w:rsidR="00A5077D" w:rsidRPr="008E409D" w:rsidRDefault="00A5077D" w:rsidP="00147CF9">
      <w:pPr>
        <w:pStyle w:val="NormalIndent0"/>
        <w:rPr>
          <w:rFonts w:ascii="Time New Roman" w:eastAsia="SimHei" w:hAnsi="Time New Roman" w:hint="eastAsia"/>
        </w:rPr>
      </w:pPr>
      <w:r w:rsidRPr="008E409D">
        <w:rPr>
          <w:rFonts w:ascii="Time New Roman" w:eastAsia="SimHei" w:hAnsi="Time New Roman" w:hint="eastAsia"/>
        </w:rPr>
        <w:t>缔约国应当采取措施限制警察拘禁的合法时间长度，并使该国法律符合《公约》第九条的所有条款。</w:t>
      </w:r>
    </w:p>
    <w:p w:rsidR="00A5077D" w:rsidRDefault="00A5077D" w:rsidP="00147CF9">
      <w:pPr>
        <w:rPr>
          <w:rFonts w:hint="eastAsia"/>
        </w:rPr>
      </w:pPr>
      <w:r>
        <w:rPr>
          <w:rFonts w:hint="eastAsia"/>
        </w:rPr>
        <w:tab/>
        <w:t>14</w:t>
      </w:r>
      <w:r>
        <w:t>.</w:t>
      </w:r>
      <w:r>
        <w:rPr>
          <w:rFonts w:hint="eastAsia"/>
        </w:rPr>
        <w:t xml:space="preserve">  </w:t>
      </w:r>
      <w:r>
        <w:rPr>
          <w:rFonts w:hint="eastAsia"/>
        </w:rPr>
        <w:t>委员会满意地注意到缔约国在废除死刑以及减缓某些囚徒死刑方面所取得的进步。但是，委员会感到遗憾的是，该国法院</w:t>
      </w:r>
      <w:r w:rsidR="008E409D">
        <w:rPr>
          <w:rFonts w:hint="eastAsia"/>
        </w:rPr>
        <w:t>仍</w:t>
      </w:r>
      <w:r>
        <w:rPr>
          <w:rFonts w:hint="eastAsia"/>
        </w:rPr>
        <w:t>在宣判死刑，而且在一些案例中，被判处死刑的人没有自动得到缓刑。委员会并关注到，主管的当局在对缓刑作出决定时还会考虑宣判死刑之后所经过的时间长度（《公约》第二条、第六条和第七条）。</w:t>
      </w:r>
    </w:p>
    <w:p w:rsidR="00A5077D" w:rsidRPr="008E409D" w:rsidRDefault="00A5077D" w:rsidP="00147CF9">
      <w:pPr>
        <w:pStyle w:val="NormalIndent0"/>
        <w:rPr>
          <w:rFonts w:ascii="Time New Roman" w:eastAsia="SimHei" w:hAnsi="Time New Roman" w:hint="eastAsia"/>
        </w:rPr>
      </w:pPr>
      <w:r w:rsidRPr="008E409D">
        <w:rPr>
          <w:rFonts w:ascii="Time New Roman" w:eastAsia="SimHei" w:hAnsi="Time New Roman" w:hint="eastAsia"/>
        </w:rPr>
        <w:t>缔约国应当采取必要措施，尽快减缓所有死刑。缔约国应当考虑废除死刑，并批准《公约》第二项《任择议定书》。</w:t>
      </w:r>
    </w:p>
    <w:p w:rsidR="00A5077D" w:rsidRDefault="00A5077D" w:rsidP="00147CF9">
      <w:pPr>
        <w:rPr>
          <w:rFonts w:hint="eastAsia"/>
        </w:rPr>
      </w:pPr>
      <w:r>
        <w:rPr>
          <w:rFonts w:hint="eastAsia"/>
        </w:rPr>
        <w:tab/>
        <w:t>15</w:t>
      </w:r>
      <w:r>
        <w:t>.</w:t>
      </w:r>
      <w:r>
        <w:rPr>
          <w:rFonts w:hint="eastAsia"/>
        </w:rPr>
        <w:t xml:space="preserve">  </w:t>
      </w:r>
      <w:r>
        <w:rPr>
          <w:rFonts w:hint="eastAsia"/>
        </w:rPr>
        <w:t>委员会在理解涉及到打击恐怖主义方面的安全</w:t>
      </w:r>
      <w:r w:rsidR="008E409D">
        <w:rPr>
          <w:rFonts w:hint="eastAsia"/>
        </w:rPr>
        <w:t>需要</w:t>
      </w:r>
      <w:r>
        <w:rPr>
          <w:rFonts w:hint="eastAsia"/>
        </w:rPr>
        <w:t>同时，也关注到在该国《恐怖主义和洗钱法》（第</w:t>
      </w:r>
      <w:r>
        <w:rPr>
          <w:rFonts w:hint="eastAsia"/>
        </w:rPr>
        <w:t>2003-75</w:t>
      </w:r>
      <w:r>
        <w:rPr>
          <w:rFonts w:hint="eastAsia"/>
        </w:rPr>
        <w:t>号法令）中所载的关于恐怖主义行为的特别宽广的定义缺乏明确性。委员会尤其关注到，根据这项法令，</w:t>
      </w:r>
      <w:r>
        <w:t>(a)</w:t>
      </w:r>
      <w:r>
        <w:rPr>
          <w:rFonts w:hint="eastAsia"/>
        </w:rPr>
        <w:t xml:space="preserve"> </w:t>
      </w:r>
      <w:r>
        <w:rPr>
          <w:rFonts w:hint="eastAsia"/>
        </w:rPr>
        <w:t>律师可以不必承担职业保密性的义务，而且必须提出证词，否则会面临监禁；</w:t>
      </w:r>
      <w:r>
        <w:t>(b)</w:t>
      </w:r>
      <w:r>
        <w:rPr>
          <w:rFonts w:hint="eastAsia"/>
        </w:rPr>
        <w:t xml:space="preserve"> </w:t>
      </w:r>
      <w:r>
        <w:rPr>
          <w:rFonts w:hint="eastAsia"/>
        </w:rPr>
        <w:t>调查人员和法官可以保持匿名（《公约》第六条、第七条和第十四条）。</w:t>
      </w:r>
    </w:p>
    <w:p w:rsidR="00A5077D" w:rsidRPr="008E409D" w:rsidRDefault="00A5077D" w:rsidP="00147CF9">
      <w:pPr>
        <w:pStyle w:val="NormalIndent0"/>
        <w:rPr>
          <w:rFonts w:ascii="Time New Roman" w:eastAsia="SimHei" w:hAnsi="Time New Roman" w:hint="eastAsia"/>
          <w:spacing w:val="6"/>
        </w:rPr>
      </w:pPr>
      <w:r w:rsidRPr="008E409D">
        <w:rPr>
          <w:rFonts w:ascii="Time New Roman" w:eastAsia="SimHei" w:hAnsi="Time New Roman" w:hint="eastAsia"/>
          <w:spacing w:val="6"/>
        </w:rPr>
        <w:t>对恐怖主义行为的定义不应当导致《公约》中庄严规定的合法权利所作的诠释方式可以用恐怖主义行为的幌子来加以</w:t>
      </w:r>
      <w:r w:rsidR="008E409D" w:rsidRPr="008E409D">
        <w:rPr>
          <w:rFonts w:ascii="Time New Roman" w:eastAsia="SimHei" w:hAnsi="Time New Roman" w:hint="eastAsia"/>
          <w:spacing w:val="6"/>
        </w:rPr>
        <w:t>侵犯</w:t>
      </w:r>
      <w:r w:rsidRPr="008E409D">
        <w:rPr>
          <w:rFonts w:ascii="Time New Roman" w:eastAsia="SimHei" w:hAnsi="Time New Roman" w:hint="eastAsia"/>
          <w:spacing w:val="6"/>
        </w:rPr>
        <w:t>。缔约国应当确保，制止恐怖主义的措施符合《公约》的条款（第六条、第七条、第十四条）。</w:t>
      </w:r>
    </w:p>
    <w:p w:rsidR="00A5077D" w:rsidRDefault="00A5077D" w:rsidP="00147CF9">
      <w:pPr>
        <w:rPr>
          <w:rFonts w:hint="eastAsia"/>
        </w:rPr>
      </w:pPr>
      <w:r>
        <w:rPr>
          <w:rFonts w:hint="eastAsia"/>
        </w:rPr>
        <w:tab/>
        <w:t>16</w:t>
      </w:r>
      <w:r>
        <w:t>.</w:t>
      </w:r>
      <w:r>
        <w:rPr>
          <w:rFonts w:hint="eastAsia"/>
        </w:rPr>
        <w:t xml:space="preserve">  </w:t>
      </w:r>
      <w:r>
        <w:rPr>
          <w:rFonts w:hint="eastAsia"/>
        </w:rPr>
        <w:t>委员会注意到缔约国代表团已经作出保证，表示该国政府主管当局和国际红十字委员会（红十字会）根据该国政府与红十字会签署的协议规定</w:t>
      </w:r>
      <w:r w:rsidR="008E409D">
        <w:rPr>
          <w:rFonts w:hint="eastAsia"/>
        </w:rPr>
        <w:t>，</w:t>
      </w:r>
      <w:r>
        <w:rPr>
          <w:rFonts w:hint="eastAsia"/>
        </w:rPr>
        <w:t>会对监狱进行经常而不预先通知的检查，但与此同时委员会对许多报告表示关注，因为据说一些监狱内的监禁条件很差（《公约》第十条）。</w:t>
      </w:r>
    </w:p>
    <w:p w:rsidR="00A5077D" w:rsidRPr="008E409D" w:rsidRDefault="00A5077D" w:rsidP="00147CF9">
      <w:pPr>
        <w:pStyle w:val="NormalIndent0"/>
        <w:rPr>
          <w:rFonts w:ascii="Time New Roman" w:eastAsia="SimHei" w:hAnsi="Time New Roman" w:hint="eastAsia"/>
        </w:rPr>
      </w:pPr>
      <w:r w:rsidRPr="008E409D">
        <w:rPr>
          <w:rFonts w:ascii="Time New Roman" w:eastAsia="SimHei" w:hAnsi="Time New Roman" w:hint="eastAsia"/>
        </w:rPr>
        <w:t>缔约国应当确保遵守《公约》第十条的条款。缔约国应当增加在监禁场所内实施的监督和观察，尤其是允许本国非政府组织进入这些场所。</w:t>
      </w:r>
    </w:p>
    <w:p w:rsidR="00A5077D" w:rsidRDefault="00A5077D" w:rsidP="00147CF9">
      <w:pPr>
        <w:rPr>
          <w:rFonts w:hint="eastAsia"/>
        </w:rPr>
      </w:pPr>
      <w:r>
        <w:rPr>
          <w:rFonts w:hint="eastAsia"/>
        </w:rPr>
        <w:tab/>
        <w:t>17</w:t>
      </w:r>
      <w:r>
        <w:t>.</w:t>
      </w:r>
      <w:r>
        <w:rPr>
          <w:rFonts w:hint="eastAsia"/>
        </w:rPr>
        <w:t xml:space="preserve">  </w:t>
      </w:r>
      <w:r>
        <w:rPr>
          <w:rFonts w:hint="eastAsia"/>
        </w:rPr>
        <w:t>委员会对司法机关独立性的问题感到关注。委员会并关注到，尽管该国</w:t>
      </w:r>
      <w:r>
        <w:rPr>
          <w:rFonts w:hint="eastAsia"/>
        </w:rPr>
        <w:t>2005</w:t>
      </w:r>
      <w:r>
        <w:rPr>
          <w:rFonts w:hint="eastAsia"/>
        </w:rPr>
        <w:t>年作了改革，但是行政部门对司法机关高等理事会仍然产生过大的影响（《公约》第十四条）。</w:t>
      </w:r>
    </w:p>
    <w:p w:rsidR="00A5077D" w:rsidRPr="008E409D" w:rsidRDefault="00A5077D" w:rsidP="00147CF9">
      <w:pPr>
        <w:pStyle w:val="NormalIndent0"/>
        <w:rPr>
          <w:rFonts w:ascii="Time New Roman" w:eastAsia="SimHei" w:hAnsi="Time New Roman" w:hint="eastAsia"/>
        </w:rPr>
      </w:pPr>
      <w:r w:rsidRPr="008E409D">
        <w:rPr>
          <w:rFonts w:ascii="Time New Roman" w:eastAsia="SimHei" w:hAnsi="Time New Roman" w:hint="eastAsia"/>
        </w:rPr>
        <w:t>委员会建议采取措施，加强司法机关的独立性，尤其是针对行政部门采取这些措施。</w:t>
      </w:r>
    </w:p>
    <w:p w:rsidR="00A5077D" w:rsidRDefault="00A5077D" w:rsidP="00147CF9">
      <w:pPr>
        <w:rPr>
          <w:rFonts w:hint="eastAsia"/>
        </w:rPr>
      </w:pPr>
      <w:r>
        <w:rPr>
          <w:rFonts w:hint="eastAsia"/>
        </w:rPr>
        <w:tab/>
        <w:t>18</w:t>
      </w:r>
      <w:r>
        <w:t>.</w:t>
      </w:r>
      <w:r>
        <w:rPr>
          <w:rFonts w:hint="eastAsia"/>
        </w:rPr>
        <w:t xml:space="preserve">  </w:t>
      </w:r>
      <w:r>
        <w:rPr>
          <w:rFonts w:hint="eastAsia"/>
        </w:rPr>
        <w:t>委员会</w:t>
      </w:r>
      <w:r w:rsidR="008E409D">
        <w:rPr>
          <w:rFonts w:hint="eastAsia"/>
        </w:rPr>
        <w:t>对于《新闻法》的某些条款及其实际适用方式</w:t>
      </w:r>
      <w:r>
        <w:rPr>
          <w:rFonts w:hint="eastAsia"/>
        </w:rPr>
        <w:t>违反《公约》第十九条感到关注。该项法律第</w:t>
      </w:r>
      <w:r>
        <w:rPr>
          <w:rFonts w:hint="eastAsia"/>
        </w:rPr>
        <w:t>51</w:t>
      </w:r>
      <w:r>
        <w:rPr>
          <w:rFonts w:hint="eastAsia"/>
        </w:rPr>
        <w:t>条含有一项有关诋毁罪的极为宽广的定义，而且还规定了严厉的处罚，其中包括监禁，特别是</w:t>
      </w:r>
      <w:r w:rsidR="008E409D">
        <w:rPr>
          <w:rFonts w:hint="eastAsia"/>
        </w:rPr>
        <w:t>对</w:t>
      </w:r>
      <w:r>
        <w:rPr>
          <w:rFonts w:hint="eastAsia"/>
        </w:rPr>
        <w:t>涉及批评政府机构，军队或行政部门的案例</w:t>
      </w:r>
      <w:r w:rsidR="008E409D">
        <w:rPr>
          <w:rFonts w:hint="eastAsia"/>
        </w:rPr>
        <w:t>规定了严厉处罚</w:t>
      </w:r>
      <w:r>
        <w:rPr>
          <w:rFonts w:hint="eastAsia"/>
        </w:rPr>
        <w:t>（《公约》第十九条）。</w:t>
      </w:r>
    </w:p>
    <w:p w:rsidR="00A5077D" w:rsidRPr="00D22886" w:rsidRDefault="00A5077D" w:rsidP="00147CF9">
      <w:pPr>
        <w:pStyle w:val="NormalIndent0"/>
        <w:rPr>
          <w:rFonts w:ascii="Time New Roman" w:eastAsia="SimHei" w:hAnsi="Time New Roman" w:hint="eastAsia"/>
        </w:rPr>
      </w:pPr>
      <w:r w:rsidRPr="00D22886">
        <w:rPr>
          <w:rFonts w:ascii="Time New Roman" w:eastAsia="SimHei" w:hAnsi="Time New Roman" w:hint="eastAsia"/>
        </w:rPr>
        <w:t>缔约国应当采取步骤，结束对言论自由的直接和间接限制。《新闻法》第</w:t>
      </w:r>
      <w:r w:rsidRPr="00D22886">
        <w:rPr>
          <w:rFonts w:ascii="Time New Roman" w:eastAsia="SimHei" w:hAnsi="Time New Roman" w:hint="eastAsia"/>
          <w:b/>
        </w:rPr>
        <w:t>51</w:t>
      </w:r>
      <w:r w:rsidRPr="00D22886">
        <w:rPr>
          <w:rFonts w:ascii="Time New Roman" w:eastAsia="SimHei" w:hAnsi="Time New Roman" w:hint="eastAsia"/>
        </w:rPr>
        <w:t>条应当修改，使之符合《公约》第十九条，以此确保在保护个人声誉和言论自由两者之间做到公正的平衡。</w:t>
      </w:r>
    </w:p>
    <w:p w:rsidR="00A5077D" w:rsidRDefault="00A5077D" w:rsidP="00147CF9">
      <w:pPr>
        <w:rPr>
          <w:rFonts w:hint="eastAsia"/>
        </w:rPr>
      </w:pPr>
      <w:r>
        <w:rPr>
          <w:rFonts w:hint="eastAsia"/>
        </w:rPr>
        <w:tab/>
        <w:t>19</w:t>
      </w:r>
      <w:r>
        <w:t>.</w:t>
      </w:r>
      <w:r>
        <w:rPr>
          <w:rFonts w:hint="eastAsia"/>
        </w:rPr>
        <w:t xml:space="preserve">  </w:t>
      </w:r>
      <w:r>
        <w:rPr>
          <w:rFonts w:hint="eastAsia"/>
        </w:rPr>
        <w:t>委员会关注到，《选举法》（第</w:t>
      </w:r>
      <w:r>
        <w:rPr>
          <w:rFonts w:hint="eastAsia"/>
        </w:rPr>
        <w:t>62-III</w:t>
      </w:r>
      <w:r>
        <w:rPr>
          <w:rFonts w:hint="eastAsia"/>
        </w:rPr>
        <w:t>条）禁止任何人在选举期间使用私人或外国的电台</w:t>
      </w:r>
      <w:r w:rsidR="008E409D">
        <w:rPr>
          <w:rFonts w:hint="eastAsia"/>
        </w:rPr>
        <w:t>、</w:t>
      </w:r>
      <w:r>
        <w:rPr>
          <w:rFonts w:hint="eastAsia"/>
        </w:rPr>
        <w:t>或电视台或者从外国广播的电台或电视台来鼓励听众对某一候选人或某几位候选人投票或不投票（《公约》第十九条和第二十五条）。</w:t>
      </w:r>
    </w:p>
    <w:p w:rsidR="00A5077D" w:rsidRPr="008E409D" w:rsidRDefault="00A5077D" w:rsidP="00147CF9">
      <w:pPr>
        <w:pStyle w:val="NormalIndent0"/>
        <w:rPr>
          <w:rFonts w:ascii="Time New Roman" w:eastAsia="SimHei" w:hAnsi="Time New Roman" w:hint="eastAsia"/>
        </w:rPr>
      </w:pPr>
      <w:r w:rsidRPr="008E409D">
        <w:rPr>
          <w:rFonts w:ascii="Time New Roman" w:eastAsia="SimHei" w:hAnsi="Time New Roman" w:hint="eastAsia"/>
        </w:rPr>
        <w:t>缔约国应当废除上述限制，以便使《选举法》充分符合《公约》第十九条第二十五条。</w:t>
      </w:r>
    </w:p>
    <w:p w:rsidR="00A5077D" w:rsidRDefault="00A5077D" w:rsidP="00147CF9">
      <w:pPr>
        <w:rPr>
          <w:rFonts w:hint="eastAsia"/>
        </w:rPr>
      </w:pPr>
      <w:r>
        <w:rPr>
          <w:rFonts w:hint="eastAsia"/>
        </w:rPr>
        <w:tab/>
        <w:t>20</w:t>
      </w:r>
      <w:r>
        <w:t>.</w:t>
      </w:r>
      <w:r>
        <w:rPr>
          <w:rFonts w:hint="eastAsia"/>
        </w:rPr>
        <w:t xml:space="preserve">  </w:t>
      </w:r>
      <w:r>
        <w:rPr>
          <w:rFonts w:hint="eastAsia"/>
        </w:rPr>
        <w:t>委员会关注到，人权组织和人权维护者无法自由地开展其活动或行使其和平集会的权利，而且遭受到骚扰和恫吓，有时候甚至被捕（《公约》第九条、第十九条、第二十一条和第二十二条）。</w:t>
      </w:r>
    </w:p>
    <w:p w:rsidR="00A5077D" w:rsidRPr="008E409D" w:rsidRDefault="00A5077D" w:rsidP="00147CF9">
      <w:pPr>
        <w:pStyle w:val="NormalIndent0"/>
        <w:rPr>
          <w:rFonts w:ascii="Time New Roman" w:eastAsia="SimHei" w:hAnsi="Time New Roman" w:hint="eastAsia"/>
        </w:rPr>
      </w:pPr>
      <w:r w:rsidRPr="008E409D">
        <w:rPr>
          <w:rFonts w:ascii="Time New Roman" w:eastAsia="SimHei" w:hAnsi="Time New Roman" w:hint="eastAsia"/>
        </w:rPr>
        <w:t>缔约国应当采取步骤，结束威胁和骚扰行为，尊重并保护人权组织和人权维护者的和平活动。关于恫吓和骚扰行为的报告应当毫不拖延地进行调查。缔约国应当确保对于和平集会和示威权所实行的任何限制都符合《公约》第十九条、第二十一条和第二十二条和条款。</w:t>
      </w:r>
    </w:p>
    <w:p w:rsidR="00A5077D" w:rsidRDefault="00A5077D" w:rsidP="00147CF9">
      <w:pPr>
        <w:rPr>
          <w:rFonts w:hint="eastAsia"/>
        </w:rPr>
      </w:pPr>
      <w:r>
        <w:rPr>
          <w:rFonts w:hint="eastAsia"/>
        </w:rPr>
        <w:tab/>
        <w:t>21</w:t>
      </w:r>
      <w:r>
        <w:t>.</w:t>
      </w:r>
      <w:r>
        <w:rPr>
          <w:rFonts w:hint="eastAsia"/>
        </w:rPr>
        <w:t xml:space="preserve">  </w:t>
      </w:r>
      <w:r>
        <w:rPr>
          <w:rFonts w:hint="eastAsia"/>
        </w:rPr>
        <w:t>委员会关注到，有报告指出，政府部门正式接受注册登记的独立社团数量非常有限，而且在实践中，一些其目标和活动并不违反《公约》的保护人权的团体在申请这类注册登记时遭遇阻碍，（《公约》第二十一条和第二十二条）。</w:t>
      </w:r>
    </w:p>
    <w:p w:rsidR="00A5077D" w:rsidRPr="008C5C9D" w:rsidRDefault="008E409D" w:rsidP="00147CF9">
      <w:pPr>
        <w:pStyle w:val="NormalIndent0"/>
        <w:rPr>
          <w:rFonts w:ascii="Time New Roman" w:eastAsia="SimHei" w:hAnsi="Time New Roman" w:hint="eastAsia"/>
        </w:rPr>
      </w:pPr>
      <w:r w:rsidRPr="008C5C9D">
        <w:rPr>
          <w:rFonts w:ascii="Time New Roman" w:eastAsia="SimHei" w:hAnsi="Time New Roman" w:hint="eastAsia"/>
        </w:rPr>
        <w:t>缔约国应当确保</w:t>
      </w:r>
      <w:r w:rsidR="00A5077D" w:rsidRPr="008C5C9D">
        <w:rPr>
          <w:rFonts w:ascii="Time New Roman" w:eastAsia="SimHei" w:hAnsi="Time New Roman" w:hint="eastAsia"/>
        </w:rPr>
        <w:t>这些组织得到注册登记，而且对于拒绝其申请的任何行为，都应当为这些组织</w:t>
      </w:r>
      <w:r w:rsidRPr="008C5C9D">
        <w:rPr>
          <w:rFonts w:ascii="Time New Roman" w:eastAsia="SimHei" w:hAnsi="Time New Roman" w:hint="eastAsia"/>
        </w:rPr>
        <w:t>提供</w:t>
      </w:r>
      <w:r w:rsidR="00A5077D" w:rsidRPr="008C5C9D">
        <w:rPr>
          <w:rFonts w:ascii="Time New Roman" w:eastAsia="SimHei" w:hAnsi="Time New Roman" w:hint="eastAsia"/>
        </w:rPr>
        <w:t>切实而及时的补救方式。</w:t>
      </w:r>
    </w:p>
    <w:p w:rsidR="00A5077D" w:rsidRDefault="00D22886" w:rsidP="00147CF9">
      <w:pPr>
        <w:rPr>
          <w:rFonts w:hint="eastAsia"/>
        </w:rPr>
      </w:pPr>
      <w:r>
        <w:br w:type="page"/>
      </w:r>
      <w:r w:rsidR="00A5077D">
        <w:rPr>
          <w:rFonts w:hint="eastAsia"/>
        </w:rPr>
        <w:tab/>
        <w:t>22</w:t>
      </w:r>
      <w:r w:rsidR="00A5077D">
        <w:t>.</w:t>
      </w:r>
      <w:r w:rsidR="00A5077D">
        <w:rPr>
          <w:rFonts w:hint="eastAsia"/>
        </w:rPr>
        <w:t xml:space="preserve">  </w:t>
      </w:r>
      <w:r w:rsidR="00A5077D">
        <w:rPr>
          <w:rFonts w:hint="eastAsia"/>
        </w:rPr>
        <w:t>委员会确定突尼斯的下一次定期报告应当于</w:t>
      </w:r>
      <w:r w:rsidR="00A5077D">
        <w:rPr>
          <w:rFonts w:hint="eastAsia"/>
        </w:rPr>
        <w:t>2012</w:t>
      </w:r>
      <w:r w:rsidR="00A5077D">
        <w:rPr>
          <w:rFonts w:hint="eastAsia"/>
        </w:rPr>
        <w:t>年</w:t>
      </w:r>
      <w:r w:rsidR="00A5077D">
        <w:rPr>
          <w:rFonts w:hint="eastAsia"/>
        </w:rPr>
        <w:t>3</w:t>
      </w:r>
      <w:r w:rsidR="00A5077D">
        <w:rPr>
          <w:rFonts w:hint="eastAsia"/>
        </w:rPr>
        <w:t>月</w:t>
      </w:r>
      <w:r w:rsidR="00A5077D">
        <w:rPr>
          <w:rFonts w:hint="eastAsia"/>
        </w:rPr>
        <w:t>31</w:t>
      </w:r>
      <w:r w:rsidR="00A5077D">
        <w:rPr>
          <w:rFonts w:hint="eastAsia"/>
        </w:rPr>
        <w:t>日之前提交。委员会要求该国公布本报告内容及以上结论性意见，并在该国向公众以及该国的司法、立法和行政主管部门广泛传播，同时向在缔约国工作的非政府组织分发第六次定期报告。</w:t>
      </w:r>
    </w:p>
    <w:p w:rsidR="00A5077D" w:rsidRPr="003342ED" w:rsidRDefault="00A5077D" w:rsidP="00147CF9">
      <w:pPr>
        <w:rPr>
          <w:rFonts w:hint="eastAsia"/>
        </w:rPr>
      </w:pPr>
      <w:r>
        <w:rPr>
          <w:rFonts w:hint="eastAsia"/>
        </w:rPr>
        <w:tab/>
        <w:t>23</w:t>
      </w:r>
      <w:r>
        <w:t>.</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款，缔约国应在一年内提供资料，说明对上文第</w:t>
      </w:r>
      <w:r>
        <w:rPr>
          <w:rFonts w:hint="eastAsia"/>
        </w:rPr>
        <w:t>11</w:t>
      </w:r>
      <w:r>
        <w:rPr>
          <w:rFonts w:hint="eastAsia"/>
        </w:rPr>
        <w:t>、</w:t>
      </w:r>
      <w:r>
        <w:rPr>
          <w:rFonts w:hint="eastAsia"/>
        </w:rPr>
        <w:t>14</w:t>
      </w:r>
      <w:r>
        <w:rPr>
          <w:rFonts w:hint="eastAsia"/>
        </w:rPr>
        <w:t>、</w:t>
      </w:r>
      <w:r>
        <w:rPr>
          <w:rFonts w:hint="eastAsia"/>
        </w:rPr>
        <w:t>20</w:t>
      </w:r>
      <w:r>
        <w:rPr>
          <w:rFonts w:hint="eastAsia"/>
        </w:rPr>
        <w:t>和</w:t>
      </w:r>
      <w:r>
        <w:rPr>
          <w:rFonts w:hint="eastAsia"/>
        </w:rPr>
        <w:t>21</w:t>
      </w:r>
      <w:r>
        <w:rPr>
          <w:rFonts w:hint="eastAsia"/>
        </w:rPr>
        <w:t>段中所载委员会建议</w:t>
      </w:r>
      <w:r w:rsidR="008E409D">
        <w:rPr>
          <w:rFonts w:hint="eastAsia"/>
        </w:rPr>
        <w:t>而</w:t>
      </w:r>
      <w:r>
        <w:rPr>
          <w:rFonts w:hint="eastAsia"/>
        </w:rPr>
        <w:t>采取</w:t>
      </w:r>
      <w:r w:rsidR="008E409D">
        <w:rPr>
          <w:rFonts w:hint="eastAsia"/>
        </w:rPr>
        <w:t>的</w:t>
      </w:r>
      <w:r>
        <w:rPr>
          <w:rFonts w:hint="eastAsia"/>
        </w:rPr>
        <w:t>后续行动。委员会请缔约国在其下一次报告中提供资料，说明落实有关其他各项建议以及实施整个《公约》情况。缔约国已承诺尽力向委员会提供</w:t>
      </w:r>
      <w:r w:rsidR="008E409D">
        <w:rPr>
          <w:rFonts w:hint="eastAsia"/>
        </w:rPr>
        <w:t>更详细资料，说明</w:t>
      </w:r>
      <w:r>
        <w:rPr>
          <w:rFonts w:hint="eastAsia"/>
        </w:rPr>
        <w:t>有关取得的具体成果。</w:t>
      </w:r>
    </w:p>
    <w:p w:rsidR="00D22886" w:rsidRDefault="00D22886" w:rsidP="008E409D">
      <w:pPr>
        <w:jc w:val="center"/>
        <w:rPr>
          <w:rFonts w:hint="eastAsia"/>
        </w:rPr>
      </w:pPr>
    </w:p>
    <w:p w:rsidR="00D22886" w:rsidRDefault="00D22886" w:rsidP="008E409D">
      <w:pPr>
        <w:jc w:val="center"/>
        <w:rPr>
          <w:rFonts w:hint="eastAsia"/>
        </w:rPr>
      </w:pPr>
    </w:p>
    <w:p w:rsidR="0080799E" w:rsidRPr="008E409D" w:rsidRDefault="008E409D" w:rsidP="008E409D">
      <w:pPr>
        <w:jc w:val="center"/>
        <w:rPr>
          <w:rFonts w:hint="eastAsia"/>
        </w:rPr>
      </w:pPr>
      <w:r>
        <w:t>--  --  --  --  --</w:t>
      </w:r>
    </w:p>
    <w:sectPr w:rsidR="0080799E" w:rsidRPr="008E409D">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255E" w:rsidRDefault="00DF255E">
      <w:pPr>
        <w:keepNext/>
        <w:spacing w:before="320" w:after="240"/>
        <w:jc w:val="center"/>
      </w:pPr>
      <w:r>
        <w:rPr>
          <w:rFonts w:hint="eastAsia"/>
          <w:u w:val="single"/>
        </w:rPr>
        <w:t>注</w:t>
      </w:r>
    </w:p>
  </w:endnote>
  <w:endnote w:type="continuationSeparator" w:id="0">
    <w:p w:rsidR="00DF255E" w:rsidRDefault="00DF255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786" w:rsidRDefault="00764786">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764786">
      <w:tblPrEx>
        <w:tblCellMar>
          <w:top w:w="0" w:type="dxa"/>
          <w:bottom w:w="0" w:type="dxa"/>
        </w:tblCellMar>
      </w:tblPrEx>
      <w:tc>
        <w:tcPr>
          <w:tcW w:w="2460" w:type="dxa"/>
        </w:tcPr>
        <w:p w:rsidR="00764786" w:rsidRDefault="00764786">
          <w:pPr>
            <w:pStyle w:val="Footer"/>
          </w:pPr>
          <w:r>
            <w:t>GE. 0</w:t>
          </w:r>
          <w:r>
            <w:rPr>
              <w:rFonts w:hint="eastAsia"/>
              <w:lang w:eastAsia="zh-CN"/>
            </w:rPr>
            <w:t>8</w:t>
          </w:r>
          <w:r>
            <w:t>-</w:t>
          </w:r>
          <w:r>
            <w:rPr>
              <w:rFonts w:hint="eastAsia"/>
              <w:lang w:eastAsia="zh-CN"/>
            </w:rPr>
            <w:t>41424</w:t>
          </w:r>
          <w:r>
            <w:t xml:space="preserve"> (C)</w:t>
          </w:r>
        </w:p>
      </w:tc>
      <w:tc>
        <w:tcPr>
          <w:tcW w:w="1050" w:type="dxa"/>
        </w:tcPr>
        <w:p w:rsidR="00764786" w:rsidRDefault="00764786">
          <w:pPr>
            <w:pStyle w:val="Footer"/>
            <w:rPr>
              <w:rFonts w:hint="eastAsia"/>
              <w:lang w:eastAsia="zh-CN"/>
            </w:rPr>
          </w:pPr>
          <w:r>
            <w:rPr>
              <w:rFonts w:hint="eastAsia"/>
              <w:lang w:eastAsia="zh-CN"/>
            </w:rPr>
            <w:t>050608</w:t>
          </w:r>
        </w:p>
      </w:tc>
      <w:tc>
        <w:tcPr>
          <w:tcW w:w="6061" w:type="dxa"/>
        </w:tcPr>
        <w:p w:rsidR="00764786" w:rsidRDefault="00764786">
          <w:pPr>
            <w:pStyle w:val="Footer"/>
            <w:rPr>
              <w:rFonts w:hint="eastAsia"/>
              <w:lang w:eastAsia="zh-CN"/>
            </w:rPr>
          </w:pPr>
          <w:r>
            <w:rPr>
              <w:rFonts w:hint="eastAsia"/>
              <w:lang w:eastAsia="zh-CN"/>
            </w:rPr>
            <w:t>060608</w:t>
          </w:r>
        </w:p>
      </w:tc>
    </w:tr>
  </w:tbl>
  <w:p w:rsidR="00764786" w:rsidRDefault="00764786">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255E" w:rsidRDefault="00DF255E">
      <w:r>
        <w:separator/>
      </w:r>
    </w:p>
  </w:footnote>
  <w:footnote w:type="continuationSeparator" w:id="0">
    <w:p w:rsidR="00DF255E" w:rsidRDefault="00DF25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786" w:rsidRDefault="00764786" w:rsidP="00A5077D">
    <w:pPr>
      <w:pStyle w:val="Header"/>
      <w:rPr>
        <w:rFonts w:hint="eastAsia"/>
        <w:lang w:eastAsia="zh-CN"/>
      </w:rPr>
    </w:pPr>
    <w:r>
      <w:t>CCPR/</w:t>
    </w:r>
    <w:r>
      <w:rPr>
        <w:rFonts w:hint="eastAsia"/>
        <w:lang w:eastAsia="zh-CN"/>
      </w:rPr>
      <w:t>C/TUN/CO/5</w:t>
    </w:r>
  </w:p>
  <w:p w:rsidR="00764786" w:rsidRDefault="00764786" w:rsidP="000A01AF">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sidR="00490786">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786" w:rsidRDefault="00764786" w:rsidP="00A5077D">
    <w:pPr>
      <w:pStyle w:val="Header"/>
      <w:rPr>
        <w:rFonts w:hint="eastAsia"/>
        <w:lang w:eastAsia="zh-CN"/>
      </w:rPr>
    </w:pPr>
    <w:r>
      <w:tab/>
    </w:r>
    <w:r>
      <w:tab/>
    </w:r>
    <w:r>
      <w:tab/>
    </w:r>
    <w:r>
      <w:tab/>
      <w:t>CCPR/</w:t>
    </w:r>
    <w:r>
      <w:rPr>
        <w:rFonts w:hint="eastAsia"/>
        <w:lang w:eastAsia="zh-CN"/>
      </w:rPr>
      <w:t>C/TUN/CO/5</w:t>
    </w:r>
  </w:p>
  <w:p w:rsidR="00764786" w:rsidRDefault="00764786" w:rsidP="000A01AF">
    <w:pPr>
      <w:pStyle w:val="Header"/>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490786">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786" w:rsidRDefault="00764786">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18"/>
      <w:gridCol w:w="3221"/>
    </w:tblGrid>
    <w:tr w:rsidR="00764786">
      <w:tblPrEx>
        <w:tblCellMar>
          <w:top w:w="0" w:type="dxa"/>
          <w:bottom w:w="0" w:type="dxa"/>
        </w:tblCellMar>
      </w:tblPrEx>
      <w:tc>
        <w:tcPr>
          <w:tcW w:w="1625" w:type="dxa"/>
          <w:tcBorders>
            <w:top w:val="nil"/>
            <w:left w:val="nil"/>
            <w:bottom w:val="single" w:sz="4" w:space="0" w:color="auto"/>
            <w:right w:val="nil"/>
          </w:tcBorders>
          <w:vAlign w:val="center"/>
        </w:tcPr>
        <w:p w:rsidR="00764786" w:rsidRDefault="00764786">
          <w:pPr>
            <w:pStyle w:val="1L"/>
            <w:framePr w:w="0" w:hRule="auto" w:hSpace="0" w:wrap="auto" w:vAnchor="margin" w:hAnchor="text" w:xAlign="left" w:yAlign="inline"/>
            <w:ind w:left="193"/>
            <w:rPr>
              <w:rFonts w:ascii="Time New Roman" w:hAnsi="Time New Roman"/>
              <w:b/>
            </w:rPr>
          </w:pPr>
          <w:r>
            <w:rPr>
              <w:rFonts w:hint="eastAsia"/>
            </w:rPr>
            <w:t>联合国</w:t>
          </w:r>
        </w:p>
      </w:tc>
      <w:tc>
        <w:tcPr>
          <w:tcW w:w="4618" w:type="dxa"/>
          <w:tcBorders>
            <w:top w:val="nil"/>
            <w:left w:val="nil"/>
            <w:bottom w:val="single" w:sz="4" w:space="0" w:color="auto"/>
            <w:right w:val="nil"/>
          </w:tcBorders>
        </w:tcPr>
        <w:p w:rsidR="00764786" w:rsidRDefault="00764786">
          <w:pPr>
            <w:pStyle w:val="1L"/>
            <w:framePr w:w="0" w:hRule="auto" w:hSpace="0" w:wrap="auto" w:vAnchor="margin" w:hAnchor="text" w:xAlign="left" w:yAlign="inline"/>
          </w:pPr>
        </w:p>
      </w:tc>
      <w:tc>
        <w:tcPr>
          <w:tcW w:w="3221" w:type="dxa"/>
          <w:tcBorders>
            <w:top w:val="nil"/>
            <w:left w:val="nil"/>
            <w:bottom w:val="single" w:sz="4" w:space="0" w:color="auto"/>
            <w:right w:val="nil"/>
          </w:tcBorders>
          <w:vAlign w:val="bottom"/>
        </w:tcPr>
        <w:p w:rsidR="00764786" w:rsidRDefault="00764786">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74271369"/>
    <w:bookmarkEnd w:id="0"/>
    <w:bookmarkEnd w:id="1"/>
    <w:bookmarkEnd w:id="2"/>
    <w:bookmarkEnd w:id="3"/>
    <w:bookmarkEnd w:id="4"/>
    <w:bookmarkEnd w:id="5"/>
    <w:bookmarkEnd w:id="6"/>
    <w:bookmarkEnd w:id="7"/>
    <w:bookmarkEnd w:id="8"/>
    <w:tr w:rsidR="00764786">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764786" w:rsidRDefault="00764786">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52353" r:id="rId2"/>
            </w:object>
          </w:r>
        </w:p>
      </w:tc>
      <w:tc>
        <w:tcPr>
          <w:tcW w:w="4618" w:type="dxa"/>
          <w:tcBorders>
            <w:top w:val="single" w:sz="4" w:space="0" w:color="auto"/>
            <w:left w:val="nil"/>
            <w:bottom w:val="single" w:sz="36" w:space="0" w:color="auto"/>
            <w:right w:val="nil"/>
          </w:tcBorders>
        </w:tcPr>
        <w:p w:rsidR="00764786" w:rsidRDefault="00764786">
          <w:pPr>
            <w:pStyle w:val="1m1"/>
            <w:rPr>
              <w:spacing w:val="30"/>
              <w:sz w:val="20"/>
            </w:rPr>
          </w:pPr>
        </w:p>
        <w:p w:rsidR="00764786" w:rsidRDefault="00764786">
          <w:pPr>
            <w:pStyle w:val="1m1"/>
            <w:spacing w:line="240" w:lineRule="auto"/>
            <w:rPr>
              <w:spacing w:val="4"/>
            </w:rPr>
          </w:pPr>
          <w:r>
            <w:rPr>
              <w:rFonts w:hint="eastAsia"/>
              <w:spacing w:val="4"/>
            </w:rPr>
            <w:t>公民权利和政治权利</w:t>
          </w:r>
        </w:p>
        <w:p w:rsidR="00764786" w:rsidRDefault="00764786">
          <w:pPr>
            <w:pStyle w:val="1m1"/>
            <w:spacing w:line="240" w:lineRule="auto"/>
            <w:rPr>
              <w:spacing w:val="4"/>
            </w:rPr>
          </w:pPr>
          <w:r>
            <w:rPr>
              <w:rFonts w:hint="eastAsia"/>
              <w:spacing w:val="4"/>
            </w:rPr>
            <w:t>国际公约</w:t>
          </w:r>
        </w:p>
        <w:p w:rsidR="00764786" w:rsidRDefault="00764786">
          <w:pPr>
            <w:pStyle w:val="1m1"/>
            <w:spacing w:before="360"/>
            <w:rPr>
              <w:spacing w:val="20"/>
            </w:rPr>
          </w:pPr>
        </w:p>
      </w:tc>
      <w:tc>
        <w:tcPr>
          <w:tcW w:w="3221" w:type="dxa"/>
          <w:tcBorders>
            <w:top w:val="single" w:sz="4" w:space="0" w:color="auto"/>
            <w:left w:val="nil"/>
            <w:bottom w:val="single" w:sz="36" w:space="0" w:color="auto"/>
            <w:right w:val="nil"/>
          </w:tcBorders>
        </w:tcPr>
        <w:p w:rsidR="00764786" w:rsidRDefault="00764786">
          <w:pPr>
            <w:pStyle w:val="Header"/>
            <w:rPr>
              <w:sz w:val="28"/>
              <w:lang w:eastAsia="zh-CN"/>
            </w:rPr>
          </w:pPr>
        </w:p>
        <w:p w:rsidR="00764786" w:rsidRDefault="00764786">
          <w:pPr>
            <w:pStyle w:val="Header"/>
          </w:pPr>
          <w:r>
            <w:t>Distr.</w:t>
          </w:r>
        </w:p>
        <w:p w:rsidR="00764786" w:rsidRDefault="00764786">
          <w:pPr>
            <w:pStyle w:val="Header"/>
          </w:pPr>
          <w:r>
            <w:rPr>
              <w:lang w:eastAsia="zh-CN"/>
            </w:rPr>
            <w:t>GENERAL</w:t>
          </w:r>
        </w:p>
        <w:p w:rsidR="00764786" w:rsidRDefault="00764786">
          <w:pPr>
            <w:pStyle w:val="Header"/>
            <w:rPr>
              <w:sz w:val="12"/>
            </w:rPr>
          </w:pPr>
        </w:p>
        <w:p w:rsidR="00764786" w:rsidRDefault="00764786">
          <w:pPr>
            <w:pStyle w:val="Header"/>
            <w:rPr>
              <w:rFonts w:hint="eastAsia"/>
              <w:lang w:eastAsia="zh-CN"/>
            </w:rPr>
          </w:pPr>
          <w:r>
            <w:t>CCPR/</w:t>
          </w:r>
          <w:r>
            <w:rPr>
              <w:rFonts w:hint="eastAsia"/>
              <w:lang w:eastAsia="zh-CN"/>
            </w:rPr>
            <w:t>C/TUN/CO/5</w:t>
          </w:r>
        </w:p>
        <w:p w:rsidR="00764786" w:rsidRDefault="00764786">
          <w:pPr>
            <w:pStyle w:val="Header"/>
          </w:pPr>
          <w:r>
            <w:rPr>
              <w:rFonts w:hint="eastAsia"/>
              <w:lang w:eastAsia="zh-CN"/>
            </w:rPr>
            <w:t xml:space="preserve">23 </w:t>
          </w:r>
          <w:r>
            <w:rPr>
              <w:lang w:eastAsia="zh-CN"/>
            </w:rPr>
            <w:t>April</w:t>
          </w:r>
          <w:r>
            <w:t xml:space="preserve"> 200</w:t>
          </w:r>
          <w:r>
            <w:rPr>
              <w:rFonts w:hint="eastAsia"/>
              <w:lang w:eastAsia="zh-CN"/>
            </w:rPr>
            <w:t>8</w:t>
          </w:r>
        </w:p>
        <w:p w:rsidR="00764786" w:rsidRDefault="00764786">
          <w:pPr>
            <w:pStyle w:val="Header"/>
            <w:rPr>
              <w:sz w:val="12"/>
            </w:rPr>
          </w:pPr>
        </w:p>
        <w:p w:rsidR="00764786" w:rsidRDefault="00764786">
          <w:pPr>
            <w:pStyle w:val="Header"/>
          </w:pPr>
          <w:r>
            <w:t>CHINESE</w:t>
          </w:r>
        </w:p>
        <w:p w:rsidR="00764786" w:rsidRDefault="00764786">
          <w:pPr>
            <w:pStyle w:val="Header"/>
            <w:tabs>
              <w:tab w:val="clear" w:pos="992"/>
              <w:tab w:val="left" w:pos="993"/>
            </w:tabs>
            <w:rPr>
              <w:rFonts w:hint="eastAsia"/>
              <w:lang w:eastAsia="zh-CN"/>
            </w:rPr>
          </w:pPr>
          <w:r>
            <w:t>Original:</w:t>
          </w:r>
          <w:r>
            <w:tab/>
          </w:r>
          <w:r>
            <w:rPr>
              <w:lang w:eastAsia="zh-CN"/>
            </w:rPr>
            <w:t>FRENCH</w:t>
          </w:r>
        </w:p>
        <w:p w:rsidR="00764786" w:rsidRDefault="00764786">
          <w:pPr>
            <w:pStyle w:val="Header"/>
            <w:tabs>
              <w:tab w:val="clear" w:pos="992"/>
              <w:tab w:val="left" w:pos="993"/>
            </w:tabs>
          </w:pPr>
        </w:p>
        <w:p w:rsidR="00764786" w:rsidRDefault="00764786">
          <w:pPr>
            <w:pStyle w:val="Header"/>
          </w:pPr>
        </w:p>
      </w:tc>
    </w:tr>
    <w:tr w:rsidR="00764786">
      <w:tblPrEx>
        <w:tblCellMar>
          <w:top w:w="0" w:type="dxa"/>
          <w:bottom w:w="0" w:type="dxa"/>
        </w:tblCellMar>
      </w:tblPrEx>
      <w:trPr>
        <w:trHeight w:val="264"/>
      </w:trPr>
      <w:tc>
        <w:tcPr>
          <w:tcW w:w="1625" w:type="dxa"/>
          <w:tcBorders>
            <w:top w:val="single" w:sz="36" w:space="0" w:color="auto"/>
            <w:left w:val="nil"/>
            <w:bottom w:val="nil"/>
            <w:right w:val="nil"/>
          </w:tcBorders>
          <w:noWrap/>
        </w:tcPr>
        <w:p w:rsidR="00764786" w:rsidRDefault="00764786">
          <w:pPr>
            <w:rPr>
              <w:sz w:val="16"/>
            </w:rPr>
          </w:pPr>
        </w:p>
      </w:tc>
      <w:tc>
        <w:tcPr>
          <w:tcW w:w="4618" w:type="dxa"/>
          <w:tcBorders>
            <w:top w:val="single" w:sz="36" w:space="0" w:color="auto"/>
            <w:left w:val="nil"/>
            <w:bottom w:val="nil"/>
            <w:right w:val="nil"/>
          </w:tcBorders>
          <w:noWrap/>
        </w:tcPr>
        <w:p w:rsidR="00764786" w:rsidRDefault="00764786">
          <w:pPr>
            <w:pStyle w:val="1m1"/>
            <w:spacing w:line="240" w:lineRule="auto"/>
            <w:rPr>
              <w:rFonts w:hint="eastAsia"/>
              <w:sz w:val="16"/>
            </w:rPr>
          </w:pPr>
        </w:p>
      </w:tc>
      <w:tc>
        <w:tcPr>
          <w:tcW w:w="3221" w:type="dxa"/>
          <w:tcBorders>
            <w:top w:val="single" w:sz="36" w:space="0" w:color="auto"/>
            <w:left w:val="nil"/>
            <w:bottom w:val="nil"/>
            <w:right w:val="nil"/>
          </w:tcBorders>
          <w:noWrap/>
        </w:tcPr>
        <w:p w:rsidR="00764786" w:rsidRDefault="00764786">
          <w:pPr>
            <w:rPr>
              <w:sz w:val="16"/>
            </w:rPr>
          </w:pPr>
        </w:p>
      </w:tc>
    </w:tr>
  </w:tbl>
  <w:p w:rsidR="00764786" w:rsidRDefault="00764786">
    <w:pPr>
      <w:pStyle w:val="a1"/>
    </w:pPr>
  </w:p>
  <w:p w:rsidR="00764786" w:rsidRDefault="00764786">
    <w:pPr>
      <w:pStyle w:val="a1"/>
    </w:pPr>
  </w:p>
  <w:p w:rsidR="00764786" w:rsidRDefault="00764786">
    <w:pPr>
      <w:pStyle w:val="a1"/>
    </w:pPr>
  </w:p>
  <w:p w:rsidR="00764786" w:rsidRDefault="00764786">
    <w:pPr>
      <w:pStyle w:val="a1"/>
    </w:pPr>
  </w:p>
  <w:p w:rsidR="00764786" w:rsidRDefault="00764786">
    <w:pPr>
      <w:pStyle w:val="a1"/>
    </w:pPr>
  </w:p>
  <w:p w:rsidR="00764786" w:rsidRDefault="00764786">
    <w:pPr>
      <w:pStyle w:val="a1"/>
    </w:pPr>
  </w:p>
  <w:p w:rsidR="00764786" w:rsidRDefault="00764786">
    <w:pPr>
      <w:pStyle w:val="a1"/>
    </w:pPr>
  </w:p>
  <w:p w:rsidR="00764786" w:rsidRDefault="00764786">
    <w:pPr>
      <w:pStyle w:val="a1"/>
    </w:pPr>
    <w:r>
      <w:fldChar w:fldCharType="begin"/>
    </w:r>
    <w:r>
      <w:instrText>ADVANCE \Y 252.30</w:instrText>
    </w:r>
    <w:r>
      <w:fldChar w:fldCharType="end"/>
    </w:r>
  </w:p>
  <w:p w:rsidR="00764786" w:rsidRDefault="00764786">
    <w:pPr>
      <w:pStyle w:val="a1"/>
    </w:pPr>
  </w:p>
  <w:p w:rsidR="00764786" w:rsidRDefault="00764786">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4F88585A"/>
    <w:multiLevelType w:val="hybridMultilevel"/>
    <w:tmpl w:val="3906030A"/>
    <w:lvl w:ilvl="0" w:tplc="5B8EACD8">
      <w:start w:val="1"/>
      <w:numFmt w:val="lowerLetter"/>
      <w:lvlRestart w:val="0"/>
      <w:lvlText w:val="(%1)"/>
      <w:lvlJc w:val="right"/>
      <w:pPr>
        <w:tabs>
          <w:tab w:val="num" w:pos="2041"/>
        </w:tabs>
        <w:ind w:left="2041" w:hanging="170"/>
      </w:pPr>
      <w:rPr>
        <w:rFonts w:hint="eastAsia"/>
      </w:rPr>
    </w:lvl>
    <w:lvl w:ilvl="1" w:tplc="5B8EACD8">
      <w:start w:val="1"/>
      <w:numFmt w:val="lowerLetter"/>
      <w:lvlRestart w:val="0"/>
      <w:lvlText w:val="(%2)"/>
      <w:lvlJc w:val="right"/>
      <w:pPr>
        <w:tabs>
          <w:tab w:val="num" w:pos="1100"/>
        </w:tabs>
        <w:ind w:left="1100" w:hanging="170"/>
      </w:pPr>
      <w:rPr>
        <w:rFonts w:hint="eastAsia"/>
      </w:r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6">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7">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6"/>
  </w:num>
  <w:num w:numId="3">
    <w:abstractNumId w:val="4"/>
  </w:num>
  <w:num w:numId="4">
    <w:abstractNumId w:val="2"/>
  </w:num>
  <w:num w:numId="5">
    <w:abstractNumId w:val="3"/>
  </w:num>
  <w:num w:numId="6">
    <w:abstractNumId w:val="6"/>
  </w:num>
  <w:num w:numId="7">
    <w:abstractNumId w:val="4"/>
  </w:num>
  <w:num w:numId="8">
    <w:abstractNumId w:val="2"/>
  </w:num>
  <w:num w:numId="9">
    <w:abstractNumId w:val="3"/>
  </w:num>
  <w:num w:numId="10">
    <w:abstractNumId w:val="6"/>
  </w:num>
  <w:num w:numId="11">
    <w:abstractNumId w:val="4"/>
  </w:num>
  <w:num w:numId="12">
    <w:abstractNumId w:val="2"/>
  </w:num>
  <w:num w:numId="13">
    <w:abstractNumId w:val="3"/>
  </w:num>
  <w:num w:numId="14">
    <w:abstractNumId w:val="6"/>
  </w:num>
  <w:num w:numId="15">
    <w:abstractNumId w:val="4"/>
  </w:num>
  <w:num w:numId="16">
    <w:abstractNumId w:val="2"/>
  </w:num>
  <w:num w:numId="17">
    <w:abstractNumId w:val="3"/>
  </w:num>
  <w:num w:numId="18">
    <w:abstractNumId w:val="6"/>
  </w:num>
  <w:num w:numId="19">
    <w:abstractNumId w:val="4"/>
  </w:num>
  <w:num w:numId="20">
    <w:abstractNumId w:val="0"/>
  </w:num>
  <w:num w:numId="21">
    <w:abstractNumId w:val="6"/>
  </w:num>
  <w:num w:numId="22">
    <w:abstractNumId w:val="4"/>
  </w:num>
  <w:num w:numId="23">
    <w:abstractNumId w:val="7"/>
  </w:num>
  <w:num w:numId="24">
    <w:abstractNumId w:val="1"/>
  </w:num>
  <w:num w:numId="25">
    <w:abstractNumId w:val="1"/>
  </w:num>
  <w:num w:numId="26">
    <w:abstractNumId w:val="1"/>
  </w:num>
  <w:num w:numId="27">
    <w:abstractNumId w:val="6"/>
  </w:num>
  <w:num w:numId="28">
    <w:abstractNumId w:val="4"/>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77D"/>
    <w:rsid w:val="000A01AF"/>
    <w:rsid w:val="00147CF9"/>
    <w:rsid w:val="0021662B"/>
    <w:rsid w:val="00243369"/>
    <w:rsid w:val="002B1519"/>
    <w:rsid w:val="002C3D7F"/>
    <w:rsid w:val="003B2A1D"/>
    <w:rsid w:val="00490786"/>
    <w:rsid w:val="0068071D"/>
    <w:rsid w:val="006D79EB"/>
    <w:rsid w:val="00764786"/>
    <w:rsid w:val="0080799E"/>
    <w:rsid w:val="008C5C9D"/>
    <w:rsid w:val="008E409D"/>
    <w:rsid w:val="00A5077D"/>
    <w:rsid w:val="00AE1903"/>
    <w:rsid w:val="00CE3DBA"/>
    <w:rsid w:val="00D179F7"/>
    <w:rsid w:val="00D22886"/>
    <w:rsid w:val="00D31DDD"/>
    <w:rsid w:val="00DE6F54"/>
    <w:rsid w:val="00DF255E"/>
    <w:rsid w:val="00E36581"/>
    <w:rsid w:val="00EB7F19"/>
    <w:rsid w:val="00FB5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alloonText">
    <w:name w:val="Balloon Text"/>
    <w:basedOn w:val="Normal"/>
    <w:semiHidden/>
    <w:rsid w:val="00AE190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594</Words>
  <Characters>3388</Characters>
  <Application>Microsoft Office Word</Application>
  <DocSecurity>4</DocSecurity>
  <Lines>28</Lines>
  <Paragraphs>7</Paragraphs>
  <ScaleCrop>false</ScaleCrop>
  <Company>Chinese Unit - GE</Company>
  <LinksUpToDate>false</LinksUpToDate>
  <CharactersWithSpaces>3975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DING</dc:creator>
  <cp:keywords/>
  <dc:description>公民权利和政治权利国际公约</dc:description>
  <cp:lastModifiedBy>TIAN</cp:lastModifiedBy>
  <cp:revision>3</cp:revision>
  <cp:lastPrinted>2008-06-06T14:31:00Z</cp:lastPrinted>
  <dcterms:created xsi:type="dcterms:W3CDTF">2008-06-06T14:31:00Z</dcterms:created>
  <dcterms:modified xsi:type="dcterms:W3CDTF">2008-06-06T14:31:00Z</dcterms:modified>
  <cp:category>CCPR意见.dot</cp:category>
</cp:coreProperties>
</file>