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23287" w:rsidP="00523287">
            <w:pPr>
              <w:jc w:val="right"/>
            </w:pPr>
            <w:r w:rsidRPr="00523287">
              <w:rPr>
                <w:sz w:val="40"/>
              </w:rPr>
              <w:t>CRPD</w:t>
            </w:r>
            <w:r>
              <w:t>/C/10/3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523287" w:rsidRDefault="00523287" w:rsidP="00A56EA8">
            <w:pPr>
              <w:spacing w:before="240"/>
            </w:pPr>
            <w:proofErr w:type="spellStart"/>
            <w:r>
              <w:t>Distr</w:t>
            </w:r>
            <w:proofErr w:type="spellEnd"/>
            <w:r>
              <w:t>. générale</w:t>
            </w:r>
          </w:p>
          <w:p w:rsidR="00523287" w:rsidRDefault="00523287" w:rsidP="00523287">
            <w:pPr>
              <w:spacing w:line="240" w:lineRule="exact"/>
            </w:pPr>
            <w:r>
              <w:t>7 novembre 2013</w:t>
            </w:r>
          </w:p>
          <w:p w:rsidR="00523287" w:rsidRDefault="00523287" w:rsidP="00523287">
            <w:pPr>
              <w:spacing w:line="240" w:lineRule="exact"/>
            </w:pPr>
            <w:r>
              <w:t>Français</w:t>
            </w:r>
          </w:p>
          <w:p w:rsidR="00297B00" w:rsidRPr="00DB58B5" w:rsidRDefault="00523287" w:rsidP="00523287">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523287" w:rsidRDefault="00523287" w:rsidP="00523287">
      <w:pPr>
        <w:pStyle w:val="HChG"/>
      </w:pPr>
      <w:r>
        <w:tab/>
      </w:r>
      <w:r>
        <w:tab/>
        <w:t xml:space="preserve">Rapport intérimaire de suivi </w:t>
      </w:r>
      <w:r w:rsidR="008D4D1E">
        <w:t xml:space="preserve">soumis </w:t>
      </w:r>
      <w:r>
        <w:t>au titre de l’article 5</w:t>
      </w:r>
      <w:r w:rsidR="008D4D1E">
        <w:br/>
      </w:r>
      <w:r>
        <w:t>du Protocole facultatif se rapportant à la Convention relative aux droits des personnes handicapées, adopté par le Comité des droits des personnes handicapées à sa dixième session (2</w:t>
      </w:r>
      <w:r w:rsidR="008D4D1E">
        <w:noBreakHyphen/>
      </w:r>
      <w:r>
        <w:t>13 septembre 2013)</w:t>
      </w:r>
    </w:p>
    <w:p w:rsidR="00523287" w:rsidRDefault="00523287" w:rsidP="00523287">
      <w:pPr>
        <w:pStyle w:val="H1G"/>
      </w:pPr>
      <w:r>
        <w:tab/>
        <w:t>A.</w:t>
      </w:r>
      <w:r>
        <w:tab/>
        <w:t>Introduction</w:t>
      </w:r>
    </w:p>
    <w:p w:rsidR="00523287" w:rsidRDefault="00523287" w:rsidP="00523287">
      <w:pPr>
        <w:pStyle w:val="ParNoG"/>
      </w:pPr>
      <w:r>
        <w:t xml:space="preserve">Le présent rapport est soumis </w:t>
      </w:r>
      <w:r w:rsidR="008D4D1E">
        <w:t xml:space="preserve">en application de </w:t>
      </w:r>
      <w:r>
        <w:t xml:space="preserve">l’article 5 du Protocole facultatif </w:t>
      </w:r>
      <w:r w:rsidR="008D4D1E">
        <w:t xml:space="preserve">se </w:t>
      </w:r>
      <w:r>
        <w:t xml:space="preserve">rapportant à la </w:t>
      </w:r>
      <w:r w:rsidR="008D4D1E">
        <w:t>C</w:t>
      </w:r>
      <w:r>
        <w:t xml:space="preserve">onvention relative aux droits des personnes handicapées et </w:t>
      </w:r>
      <w:r w:rsidR="008D4D1E">
        <w:t>d</w:t>
      </w:r>
      <w:r>
        <w:t xml:space="preserve">u paragraphe 7 de l’article 75 du </w:t>
      </w:r>
      <w:r w:rsidR="008D4D1E">
        <w:t>R</w:t>
      </w:r>
      <w:r>
        <w:t xml:space="preserve">èglement intérieur du </w:t>
      </w:r>
      <w:r w:rsidR="008D4D1E">
        <w:t xml:space="preserve">Comité des </w:t>
      </w:r>
      <w:r>
        <w:t>droit</w:t>
      </w:r>
      <w:r w:rsidR="008D4D1E">
        <w:t>s</w:t>
      </w:r>
      <w:r>
        <w:t xml:space="preserve"> des personnes handicapées. L’article 5 du Protocole facultatif se lit comm</w:t>
      </w:r>
      <w:r w:rsidR="005617E8">
        <w:t>e suit:</w:t>
      </w:r>
      <w:r w:rsidR="004278B7">
        <w:t xml:space="preserve"> </w:t>
      </w:r>
      <w:r w:rsidR="005617E8">
        <w:t>«Le Comité examine à huis</w:t>
      </w:r>
      <w:r>
        <w:t xml:space="preserve"> clos les communications qui lui sont adressées en vertu du présent Protocole. Après avoir examiné une communication, le Comité transmet ses suggestions et recommandations éventuelles </w:t>
      </w:r>
      <w:r w:rsidR="005617E8">
        <w:t>à l’État Partie intéressé et au pétitionnaire</w:t>
      </w:r>
      <w:r w:rsidR="004278B7">
        <w:t>.</w:t>
      </w:r>
      <w:r>
        <w:t xml:space="preserve">». Le paragraphe 7 de l’article 75 du </w:t>
      </w:r>
      <w:r w:rsidR="001D160C">
        <w:t>R</w:t>
      </w:r>
      <w:r>
        <w:t>èglement intérieur du Comité se lit comme suit: «Le Rapporteur spécial ou le groupe de travail fait périodiquement rapport au Comité sur ses activit</w:t>
      </w:r>
      <w:r w:rsidR="005616B0">
        <w:t>és de suivi</w:t>
      </w:r>
      <w:r w:rsidR="004278B7">
        <w:t>.</w:t>
      </w:r>
      <w:r w:rsidR="005616B0">
        <w:t>».</w:t>
      </w:r>
    </w:p>
    <w:p w:rsidR="00523287" w:rsidRDefault="00523287" w:rsidP="00523287">
      <w:pPr>
        <w:pStyle w:val="ParNoG"/>
      </w:pPr>
      <w:r>
        <w:t xml:space="preserve">Le présent rapport rend compte des renseignements reçus par le Rapporteur spécial chargé du suivi des constatations du Comité entre la neuvième et la dixième session conformément au </w:t>
      </w:r>
      <w:r w:rsidR="005616B0">
        <w:t>R</w:t>
      </w:r>
      <w:r>
        <w:t>èglement intérieur du Comité ainsi que des analyses et décisions adoptées par le Comité au cours de sa dixième session. Les critères d’évaluation ont été les suivants: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34"/>
        <w:gridCol w:w="6237"/>
      </w:tblGrid>
      <w:tr w:rsidR="00523287" w:rsidRPr="00AD50CB" w:rsidTr="00EF074F">
        <w:trPr>
          <w:cantSplit/>
          <w:tblHeader/>
        </w:trPr>
        <w:tc>
          <w:tcPr>
            <w:tcW w:w="1134" w:type="dxa"/>
            <w:tcBorders>
              <w:top w:val="single" w:sz="4" w:space="0" w:color="auto"/>
              <w:bottom w:val="single" w:sz="12" w:space="0" w:color="auto"/>
            </w:tcBorders>
            <w:shd w:val="clear" w:color="auto" w:fill="auto"/>
            <w:vAlign w:val="bottom"/>
          </w:tcPr>
          <w:p w:rsidR="00523287" w:rsidRPr="00AD50CB" w:rsidRDefault="00523287" w:rsidP="00436976">
            <w:pPr>
              <w:spacing w:before="80" w:after="80" w:line="200" w:lineRule="exact"/>
              <w:ind w:right="113"/>
              <w:rPr>
                <w:i/>
                <w:sz w:val="16"/>
              </w:rPr>
            </w:pPr>
          </w:p>
        </w:tc>
        <w:tc>
          <w:tcPr>
            <w:tcW w:w="6237" w:type="dxa"/>
            <w:tcBorders>
              <w:top w:val="single" w:sz="4" w:space="0" w:color="auto"/>
              <w:bottom w:val="single" w:sz="12" w:space="0" w:color="auto"/>
            </w:tcBorders>
            <w:shd w:val="clear" w:color="auto" w:fill="auto"/>
            <w:vAlign w:val="bottom"/>
          </w:tcPr>
          <w:p w:rsidR="00523287" w:rsidRPr="00AD50CB" w:rsidRDefault="00523287" w:rsidP="009A5E51">
            <w:pPr>
              <w:spacing w:before="80" w:after="80" w:line="200" w:lineRule="exact"/>
              <w:rPr>
                <w:i/>
                <w:sz w:val="16"/>
              </w:rPr>
            </w:pPr>
            <w:r>
              <w:rPr>
                <w:i/>
                <w:sz w:val="16"/>
              </w:rPr>
              <w:t>Critères d’évaluation</w:t>
            </w:r>
          </w:p>
        </w:tc>
      </w:tr>
      <w:tr w:rsidR="00523287" w:rsidRPr="00AD50CB" w:rsidTr="00EF074F">
        <w:trPr>
          <w:cantSplit/>
          <w:trHeight w:hRule="exact" w:val="113"/>
          <w:tblHeader/>
        </w:trPr>
        <w:tc>
          <w:tcPr>
            <w:tcW w:w="1134" w:type="dxa"/>
            <w:tcBorders>
              <w:top w:val="single" w:sz="12" w:space="0" w:color="auto"/>
            </w:tcBorders>
            <w:shd w:val="clear" w:color="auto" w:fill="auto"/>
            <w:vAlign w:val="bottom"/>
          </w:tcPr>
          <w:p w:rsidR="00523287" w:rsidRPr="00AD50CB" w:rsidRDefault="00523287" w:rsidP="00436976">
            <w:pPr>
              <w:spacing w:before="80" w:after="80" w:line="200" w:lineRule="exact"/>
              <w:ind w:right="113"/>
              <w:rPr>
                <w:i/>
                <w:sz w:val="16"/>
              </w:rPr>
            </w:pPr>
          </w:p>
        </w:tc>
        <w:tc>
          <w:tcPr>
            <w:tcW w:w="6237" w:type="dxa"/>
            <w:tcBorders>
              <w:top w:val="single" w:sz="12" w:space="0" w:color="auto"/>
            </w:tcBorders>
            <w:shd w:val="clear" w:color="auto" w:fill="auto"/>
            <w:vAlign w:val="bottom"/>
          </w:tcPr>
          <w:p w:rsidR="00523287" w:rsidRPr="00AD50CB" w:rsidRDefault="00523287" w:rsidP="00436976">
            <w:pPr>
              <w:spacing w:before="80" w:after="80" w:line="200" w:lineRule="exact"/>
              <w:ind w:right="113"/>
              <w:rPr>
                <w:i/>
                <w:sz w:val="16"/>
              </w:rPr>
            </w:pPr>
          </w:p>
        </w:tc>
      </w:tr>
      <w:tr w:rsidR="00523287" w:rsidRPr="00AD50CB" w:rsidTr="00436976">
        <w:tc>
          <w:tcPr>
            <w:tcW w:w="7371" w:type="dxa"/>
            <w:gridSpan w:val="2"/>
            <w:shd w:val="clear" w:color="auto" w:fill="auto"/>
          </w:tcPr>
          <w:p w:rsidR="00523287" w:rsidRPr="0007466E" w:rsidRDefault="005616B0" w:rsidP="009A5E51">
            <w:pPr>
              <w:keepNext/>
              <w:spacing w:before="40" w:after="120"/>
              <w:rPr>
                <w:b/>
              </w:rPr>
            </w:pPr>
            <w:r>
              <w:rPr>
                <w:b/>
              </w:rPr>
              <w:t>Réponse ou mesure satisfaisante</w:t>
            </w:r>
          </w:p>
        </w:tc>
      </w:tr>
      <w:tr w:rsidR="00523287" w:rsidRPr="00AD50CB" w:rsidTr="00436976">
        <w:tc>
          <w:tcPr>
            <w:tcW w:w="1134" w:type="dxa"/>
            <w:shd w:val="clear" w:color="auto" w:fill="auto"/>
          </w:tcPr>
          <w:p w:rsidR="00523287" w:rsidRPr="00AD50CB" w:rsidRDefault="00523287" w:rsidP="00436976">
            <w:pPr>
              <w:spacing w:before="40" w:after="120"/>
              <w:ind w:right="113"/>
            </w:pPr>
            <w:r>
              <w:t>A</w:t>
            </w:r>
          </w:p>
        </w:tc>
        <w:tc>
          <w:tcPr>
            <w:tcW w:w="6237" w:type="dxa"/>
            <w:shd w:val="clear" w:color="auto" w:fill="auto"/>
          </w:tcPr>
          <w:p w:rsidR="00523287" w:rsidRPr="00AD50CB" w:rsidRDefault="00523287" w:rsidP="009A5E51">
            <w:pPr>
              <w:spacing w:before="40" w:after="120"/>
            </w:pPr>
            <w:r>
              <w:t>Réponse</w:t>
            </w:r>
            <w:r w:rsidR="005616B0">
              <w:t xml:space="preserve"> satisfaisante</w:t>
            </w:r>
            <w:r>
              <w:t xml:space="preserve"> dans l’ensemble</w:t>
            </w:r>
          </w:p>
        </w:tc>
      </w:tr>
      <w:tr w:rsidR="00523287" w:rsidRPr="00AD50CB" w:rsidTr="00436976">
        <w:tc>
          <w:tcPr>
            <w:tcW w:w="7371" w:type="dxa"/>
            <w:gridSpan w:val="2"/>
            <w:shd w:val="clear" w:color="auto" w:fill="auto"/>
          </w:tcPr>
          <w:p w:rsidR="00523287" w:rsidRPr="0007466E" w:rsidRDefault="005616B0" w:rsidP="009A5E51">
            <w:pPr>
              <w:keepNext/>
              <w:spacing w:before="40" w:after="120"/>
              <w:rPr>
                <w:b/>
              </w:rPr>
            </w:pPr>
            <w:r>
              <w:rPr>
                <w:b/>
              </w:rPr>
              <w:t>Réponse ou mesure</w:t>
            </w:r>
            <w:r w:rsidR="00C870FF">
              <w:rPr>
                <w:b/>
              </w:rPr>
              <w:t xml:space="preserve"> partiellement satisfaisante</w:t>
            </w:r>
          </w:p>
        </w:tc>
      </w:tr>
      <w:tr w:rsidR="00523287" w:rsidRPr="00AD50CB" w:rsidTr="00436976">
        <w:tc>
          <w:tcPr>
            <w:tcW w:w="1134" w:type="dxa"/>
            <w:shd w:val="clear" w:color="auto" w:fill="auto"/>
          </w:tcPr>
          <w:p w:rsidR="00523287" w:rsidRPr="00AD50CB" w:rsidRDefault="00523287" w:rsidP="00436976">
            <w:pPr>
              <w:spacing w:before="40" w:after="120"/>
              <w:ind w:right="113"/>
            </w:pPr>
            <w:r>
              <w:t>B1</w:t>
            </w:r>
          </w:p>
        </w:tc>
        <w:tc>
          <w:tcPr>
            <w:tcW w:w="6237" w:type="dxa"/>
            <w:shd w:val="clear" w:color="auto" w:fill="auto"/>
          </w:tcPr>
          <w:p w:rsidR="00523287" w:rsidRPr="00CF2265" w:rsidRDefault="00523287" w:rsidP="00CF2265">
            <w:pPr>
              <w:spacing w:before="40" w:after="120"/>
            </w:pPr>
            <w:r w:rsidRPr="00CF2265">
              <w:t>De</w:t>
            </w:r>
            <w:r w:rsidR="003A3929" w:rsidRPr="00CF2265">
              <w:t>s</w:t>
            </w:r>
            <w:r w:rsidRPr="00CF2265">
              <w:t xml:space="preserve"> mesures concrètes ont été prises, mais des renseignements supplémentaires sont nécessaires</w:t>
            </w:r>
          </w:p>
        </w:tc>
      </w:tr>
      <w:tr w:rsidR="00523287" w:rsidRPr="00AD50CB" w:rsidTr="00436976">
        <w:tc>
          <w:tcPr>
            <w:tcW w:w="1134" w:type="dxa"/>
            <w:shd w:val="clear" w:color="auto" w:fill="auto"/>
          </w:tcPr>
          <w:p w:rsidR="00523287" w:rsidRPr="00AD50CB" w:rsidRDefault="00523287" w:rsidP="00436976">
            <w:pPr>
              <w:spacing w:before="40" w:after="120"/>
              <w:ind w:right="113"/>
            </w:pPr>
            <w:r>
              <w:t>B2</w:t>
            </w:r>
          </w:p>
        </w:tc>
        <w:tc>
          <w:tcPr>
            <w:tcW w:w="6237" w:type="dxa"/>
            <w:shd w:val="clear" w:color="auto" w:fill="auto"/>
          </w:tcPr>
          <w:p w:rsidR="00523287" w:rsidRPr="00CF2265" w:rsidRDefault="00523287" w:rsidP="00CF2265">
            <w:pPr>
              <w:spacing w:before="40" w:after="120"/>
            </w:pPr>
            <w:r w:rsidRPr="00CF2265">
              <w:t>Des mesures initiales ont été prises, mais des renseignements supplémentaires sont nécessaires</w:t>
            </w:r>
          </w:p>
        </w:tc>
      </w:tr>
      <w:tr w:rsidR="00523287" w:rsidRPr="00AD50CB" w:rsidTr="00436976">
        <w:tc>
          <w:tcPr>
            <w:tcW w:w="7371" w:type="dxa"/>
            <w:gridSpan w:val="2"/>
            <w:shd w:val="clear" w:color="auto" w:fill="auto"/>
          </w:tcPr>
          <w:p w:rsidR="00523287" w:rsidRPr="0007466E" w:rsidRDefault="0011779B" w:rsidP="009A5E51">
            <w:pPr>
              <w:keepNext/>
              <w:spacing w:before="40" w:after="120"/>
              <w:rPr>
                <w:b/>
              </w:rPr>
            </w:pPr>
            <w:r>
              <w:rPr>
                <w:b/>
              </w:rPr>
              <w:t>Réponse ou mesure</w:t>
            </w:r>
            <w:r w:rsidR="00523287" w:rsidRPr="0007466E">
              <w:rPr>
                <w:b/>
              </w:rPr>
              <w:t xml:space="preserve"> insatisfaisante</w:t>
            </w:r>
          </w:p>
        </w:tc>
      </w:tr>
      <w:tr w:rsidR="00523287" w:rsidRPr="00AD50CB" w:rsidTr="00436976">
        <w:tc>
          <w:tcPr>
            <w:tcW w:w="1134" w:type="dxa"/>
            <w:shd w:val="clear" w:color="auto" w:fill="auto"/>
          </w:tcPr>
          <w:p w:rsidR="00523287" w:rsidRPr="00AD50CB" w:rsidRDefault="00523287" w:rsidP="00436976">
            <w:pPr>
              <w:spacing w:before="40" w:after="120"/>
              <w:ind w:right="113"/>
            </w:pPr>
            <w:r>
              <w:t>C1</w:t>
            </w:r>
          </w:p>
        </w:tc>
        <w:tc>
          <w:tcPr>
            <w:tcW w:w="6237" w:type="dxa"/>
            <w:shd w:val="clear" w:color="auto" w:fill="auto"/>
          </w:tcPr>
          <w:p w:rsidR="00523287" w:rsidRPr="00AD50CB" w:rsidRDefault="00523287" w:rsidP="009A5E51">
            <w:pPr>
              <w:spacing w:before="40" w:after="120"/>
            </w:pPr>
            <w:r>
              <w:t xml:space="preserve">Une réponse a </w:t>
            </w:r>
            <w:r w:rsidR="0011779B">
              <w:t>é</w:t>
            </w:r>
            <w:r>
              <w:t>té reçue, mais les mesures prises ne permettent pas</w:t>
            </w:r>
            <w:r w:rsidR="00CF2265">
              <w:t xml:space="preserve"> </w:t>
            </w:r>
            <w:r>
              <w:t>de mettre en œuvre les constatations ou recommandations</w:t>
            </w:r>
          </w:p>
        </w:tc>
      </w:tr>
      <w:tr w:rsidR="00523287" w:rsidRPr="00AD50CB" w:rsidTr="00436976">
        <w:tc>
          <w:tcPr>
            <w:tcW w:w="1134" w:type="dxa"/>
            <w:shd w:val="clear" w:color="auto" w:fill="auto"/>
          </w:tcPr>
          <w:p w:rsidR="00523287" w:rsidRPr="00AD50CB" w:rsidRDefault="00523287" w:rsidP="00436976">
            <w:pPr>
              <w:spacing w:before="40" w:after="120"/>
              <w:ind w:right="113"/>
            </w:pPr>
            <w:r>
              <w:t>C2</w:t>
            </w:r>
          </w:p>
        </w:tc>
        <w:tc>
          <w:tcPr>
            <w:tcW w:w="6237" w:type="dxa"/>
            <w:shd w:val="clear" w:color="auto" w:fill="auto"/>
          </w:tcPr>
          <w:p w:rsidR="00523287" w:rsidRPr="00AD50CB" w:rsidRDefault="00523287" w:rsidP="009A5E51">
            <w:pPr>
              <w:spacing w:before="40" w:after="120"/>
            </w:pPr>
            <w:r>
              <w:t>Une réponse a été reçue, mais elle est sans rapport avec les constatations</w:t>
            </w:r>
            <w:r w:rsidR="00BC4234">
              <w:br/>
            </w:r>
            <w:r>
              <w:t>ou recommandations</w:t>
            </w:r>
          </w:p>
        </w:tc>
      </w:tr>
      <w:tr w:rsidR="00523287" w:rsidRPr="0007466E" w:rsidTr="00436976">
        <w:tc>
          <w:tcPr>
            <w:tcW w:w="7371" w:type="dxa"/>
            <w:gridSpan w:val="2"/>
            <w:shd w:val="clear" w:color="auto" w:fill="auto"/>
          </w:tcPr>
          <w:p w:rsidR="00523287" w:rsidRPr="0007466E" w:rsidRDefault="00523287" w:rsidP="00CF2265">
            <w:pPr>
              <w:keepNext/>
              <w:spacing w:before="40" w:after="120"/>
              <w:rPr>
                <w:b/>
              </w:rPr>
            </w:pPr>
            <w:r w:rsidRPr="0007466E">
              <w:rPr>
                <w:b/>
              </w:rPr>
              <w:t>Absence de coopération avec le Comité</w:t>
            </w:r>
          </w:p>
        </w:tc>
      </w:tr>
      <w:tr w:rsidR="00523287" w:rsidRPr="00AD50CB" w:rsidTr="00436976">
        <w:tc>
          <w:tcPr>
            <w:tcW w:w="1134" w:type="dxa"/>
            <w:shd w:val="clear" w:color="auto" w:fill="auto"/>
          </w:tcPr>
          <w:p w:rsidR="00523287" w:rsidRPr="00AD50CB" w:rsidRDefault="00523287" w:rsidP="00436976">
            <w:pPr>
              <w:spacing w:before="40" w:after="120"/>
              <w:ind w:right="113"/>
            </w:pPr>
            <w:r>
              <w:t>D1</w:t>
            </w:r>
          </w:p>
        </w:tc>
        <w:tc>
          <w:tcPr>
            <w:tcW w:w="6237" w:type="dxa"/>
            <w:shd w:val="clear" w:color="auto" w:fill="auto"/>
          </w:tcPr>
          <w:p w:rsidR="00523287" w:rsidRPr="00AD50CB" w:rsidRDefault="00523287" w:rsidP="00CF2265">
            <w:pPr>
              <w:spacing w:before="40" w:after="120"/>
            </w:pPr>
            <w:r>
              <w:t>Aucune réponse n’a été reçue à une ou plusieurs recommandations</w:t>
            </w:r>
            <w:r w:rsidR="009A5E51">
              <w:br/>
            </w:r>
            <w:r>
              <w:t>ou à une partie d’une recommandation</w:t>
            </w:r>
          </w:p>
        </w:tc>
      </w:tr>
      <w:tr w:rsidR="00523287" w:rsidRPr="00AD50CB" w:rsidTr="00436976">
        <w:tc>
          <w:tcPr>
            <w:tcW w:w="1134" w:type="dxa"/>
            <w:shd w:val="clear" w:color="auto" w:fill="auto"/>
          </w:tcPr>
          <w:p w:rsidR="00523287" w:rsidRPr="00AD50CB" w:rsidRDefault="00523287" w:rsidP="00436976">
            <w:pPr>
              <w:spacing w:before="40" w:after="120"/>
              <w:ind w:right="113"/>
            </w:pPr>
            <w:r>
              <w:t>D2</w:t>
            </w:r>
          </w:p>
        </w:tc>
        <w:tc>
          <w:tcPr>
            <w:tcW w:w="6237" w:type="dxa"/>
            <w:shd w:val="clear" w:color="auto" w:fill="auto"/>
          </w:tcPr>
          <w:p w:rsidR="00523287" w:rsidRPr="00AD50CB" w:rsidRDefault="00523287" w:rsidP="00CF2265">
            <w:pPr>
              <w:spacing w:before="40" w:after="120"/>
            </w:pPr>
            <w:r>
              <w:t>Aucune réponse reçue après un ou plusieurs rappels</w:t>
            </w:r>
          </w:p>
        </w:tc>
      </w:tr>
      <w:tr w:rsidR="00523287" w:rsidRPr="00AD50CB" w:rsidTr="00436976">
        <w:tc>
          <w:tcPr>
            <w:tcW w:w="7371" w:type="dxa"/>
            <w:gridSpan w:val="2"/>
            <w:shd w:val="clear" w:color="auto" w:fill="auto"/>
          </w:tcPr>
          <w:p w:rsidR="00523287" w:rsidRPr="00037BED" w:rsidRDefault="00523287" w:rsidP="00CF2265">
            <w:pPr>
              <w:spacing w:before="40" w:after="120"/>
              <w:rPr>
                <w:b/>
              </w:rPr>
            </w:pPr>
            <w:r w:rsidRPr="00037BED">
              <w:rPr>
                <w:b/>
              </w:rPr>
              <w:t>Les mesures prises vont à l</w:t>
            </w:r>
            <w:r>
              <w:rPr>
                <w:b/>
              </w:rPr>
              <w:t>’</w:t>
            </w:r>
            <w:r w:rsidRPr="00037BED">
              <w:rPr>
                <w:b/>
              </w:rPr>
              <w:t>encontre des recommandations du Comité</w:t>
            </w:r>
          </w:p>
        </w:tc>
      </w:tr>
      <w:tr w:rsidR="00523287" w:rsidRPr="00AD50CB" w:rsidTr="00436976">
        <w:tc>
          <w:tcPr>
            <w:tcW w:w="1134" w:type="dxa"/>
            <w:tcBorders>
              <w:bottom w:val="single" w:sz="12" w:space="0" w:color="auto"/>
            </w:tcBorders>
            <w:shd w:val="clear" w:color="auto" w:fill="auto"/>
          </w:tcPr>
          <w:p w:rsidR="00523287" w:rsidRPr="00AD50CB" w:rsidRDefault="00523287" w:rsidP="00436976">
            <w:pPr>
              <w:spacing w:before="40" w:after="120"/>
              <w:ind w:right="113"/>
            </w:pPr>
            <w:r>
              <w:t>E</w:t>
            </w:r>
          </w:p>
        </w:tc>
        <w:tc>
          <w:tcPr>
            <w:tcW w:w="6237" w:type="dxa"/>
            <w:tcBorders>
              <w:bottom w:val="single" w:sz="12" w:space="0" w:color="auto"/>
            </w:tcBorders>
            <w:shd w:val="clear" w:color="auto" w:fill="auto"/>
          </w:tcPr>
          <w:p w:rsidR="00523287" w:rsidRPr="00AD50CB" w:rsidRDefault="00523287" w:rsidP="00CF2265">
            <w:pPr>
              <w:spacing w:before="40" w:after="120"/>
            </w:pPr>
            <w:r>
              <w:t>La réponse indique que les mesures prises vont à l’encontre des constatations ou recommandations du Comité</w:t>
            </w:r>
          </w:p>
        </w:tc>
      </w:tr>
    </w:tbl>
    <w:p w:rsidR="00523287" w:rsidRDefault="00523287" w:rsidP="00523287">
      <w:pPr>
        <w:pStyle w:val="H1G"/>
      </w:pPr>
      <w:r>
        <w:tab/>
        <w:t>B.</w:t>
      </w:r>
      <w:r>
        <w:tab/>
        <w:t>Communications</w:t>
      </w:r>
    </w:p>
    <w:p w:rsidR="00523287" w:rsidRDefault="00523287" w:rsidP="00523287">
      <w:pPr>
        <w:pStyle w:val="H23G"/>
        <w:rPr>
          <w:i/>
        </w:rPr>
      </w:pPr>
      <w:r>
        <w:tab/>
      </w:r>
      <w:r>
        <w:tab/>
        <w:t xml:space="preserve">Communication </w:t>
      </w:r>
      <w:r w:rsidR="00D657B6">
        <w:rPr>
          <w:rFonts w:eastAsia="MS Mincho"/>
        </w:rPr>
        <w:t>n</w:t>
      </w:r>
      <w:r w:rsidR="00D657B6">
        <w:rPr>
          <w:rFonts w:eastAsia="MS Mincho"/>
          <w:vertAlign w:val="superscript"/>
        </w:rPr>
        <w:t>o</w:t>
      </w:r>
      <w:r w:rsidR="00D657B6">
        <w:t> </w:t>
      </w:r>
      <w:r>
        <w:t>3/2011</w:t>
      </w:r>
      <w:r w:rsidR="00117E39">
        <w:t>,</w:t>
      </w:r>
      <w:r>
        <w:t xml:space="preserve"> </w:t>
      </w:r>
      <w:r w:rsidRPr="0016415A">
        <w:rPr>
          <w:i/>
        </w:rPr>
        <w:t>H.</w:t>
      </w:r>
      <w:r w:rsidR="00D657B6">
        <w:rPr>
          <w:i/>
        </w:rPr>
        <w:t> </w:t>
      </w:r>
      <w:r w:rsidRPr="0016415A">
        <w:rPr>
          <w:i/>
        </w:rPr>
        <w:t>M</w:t>
      </w:r>
      <w:r>
        <w:t>.</w:t>
      </w:r>
      <w:r w:rsidR="00D657B6">
        <w:t xml:space="preserve"> </w:t>
      </w:r>
      <w:r>
        <w:t>c.</w:t>
      </w:r>
      <w:r w:rsidR="00D657B6">
        <w:t> </w:t>
      </w:r>
      <w:r w:rsidRPr="0016415A">
        <w:rPr>
          <w:i/>
        </w:rPr>
        <w:t>Suède</w:t>
      </w:r>
    </w:p>
    <w:p w:rsidR="00523287" w:rsidRDefault="00523287" w:rsidP="00523287">
      <w:pPr>
        <w:pStyle w:val="ParNoG"/>
      </w:pPr>
      <w:r>
        <w:t xml:space="preserve">Les constatations du Comité ont été adoptées le 19 avril 2012 et </w:t>
      </w:r>
      <w:r w:rsidR="00117E39">
        <w:t>la réponse</w:t>
      </w:r>
      <w:r>
        <w:t xml:space="preserve"> que l’État Partie a fourni</w:t>
      </w:r>
      <w:r w:rsidR="00117E39">
        <w:t>e</w:t>
      </w:r>
      <w:r>
        <w:t xml:space="preserve">, au titre du suivi, sur les mesures qu’il a prises pour donner suite aux constatations et aux recommandations du Comité, </w:t>
      </w:r>
      <w:r w:rsidR="00117E39">
        <w:t>a été reçue</w:t>
      </w:r>
      <w:r>
        <w:t xml:space="preserve"> le 26</w:t>
      </w:r>
      <w:r w:rsidR="00117E39">
        <w:t> </w:t>
      </w:r>
      <w:r>
        <w:t>octobre 2012. Les</w:t>
      </w:r>
      <w:r w:rsidR="00117E39">
        <w:t> </w:t>
      </w:r>
      <w:r>
        <w:t>commentaires du conseil de l’auteur</w:t>
      </w:r>
      <w:r w:rsidR="00117E39">
        <w:t>e</w:t>
      </w:r>
      <w:r>
        <w:t xml:space="preserve"> au sujet de la réponse que l’État partie a fourni</w:t>
      </w:r>
      <w:r w:rsidR="00117E39">
        <w:t>e</w:t>
      </w:r>
      <w:r>
        <w:t xml:space="preserve"> au titre du suivi ont été reçus le 1</w:t>
      </w:r>
      <w:r w:rsidRPr="0016415A">
        <w:rPr>
          <w:vertAlign w:val="superscript"/>
        </w:rPr>
        <w:t>er</w:t>
      </w:r>
      <w:r>
        <w:t xml:space="preserve"> février 2013.</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2"/>
        <w:gridCol w:w="3969"/>
      </w:tblGrid>
      <w:tr w:rsidR="00523287" w:rsidRPr="00C72AD7" w:rsidTr="00752745">
        <w:trPr>
          <w:cantSplit/>
        </w:trPr>
        <w:tc>
          <w:tcPr>
            <w:tcW w:w="3402" w:type="dxa"/>
            <w:tcBorders>
              <w:top w:val="single" w:sz="4" w:space="0" w:color="auto"/>
              <w:bottom w:val="single" w:sz="12" w:space="0" w:color="auto"/>
            </w:tcBorders>
            <w:shd w:val="clear" w:color="auto" w:fill="auto"/>
            <w:vAlign w:val="bottom"/>
          </w:tcPr>
          <w:p w:rsidR="00523287" w:rsidRPr="00C72AD7" w:rsidRDefault="00523287" w:rsidP="00AC4942">
            <w:pPr>
              <w:spacing w:before="40" w:after="120"/>
              <w:ind w:right="113"/>
              <w:rPr>
                <w:b/>
                <w:i/>
                <w:lang w:val="fr-FR"/>
              </w:rPr>
            </w:pPr>
            <w:r w:rsidRPr="00C72AD7">
              <w:rPr>
                <w:b/>
                <w:i/>
                <w:lang w:val="fr-FR"/>
              </w:rPr>
              <w:t>H.</w:t>
            </w:r>
            <w:r w:rsidR="00DB21F8">
              <w:rPr>
                <w:b/>
                <w:i/>
                <w:lang w:val="fr-FR"/>
              </w:rPr>
              <w:t> </w:t>
            </w:r>
            <w:r w:rsidRPr="00C72AD7">
              <w:rPr>
                <w:b/>
                <w:i/>
                <w:lang w:val="fr-FR"/>
              </w:rPr>
              <w:t xml:space="preserve">M. </w:t>
            </w:r>
            <w:r w:rsidRPr="00C72AD7">
              <w:rPr>
                <w:b/>
                <w:lang w:val="fr-FR"/>
              </w:rPr>
              <w:t>c. </w:t>
            </w:r>
            <w:r w:rsidRPr="00C72AD7">
              <w:rPr>
                <w:b/>
                <w:i/>
                <w:lang w:val="fr-FR"/>
              </w:rPr>
              <w:t>Suède</w:t>
            </w:r>
          </w:p>
        </w:tc>
        <w:tc>
          <w:tcPr>
            <w:tcW w:w="3969" w:type="dxa"/>
            <w:tcBorders>
              <w:top w:val="single" w:sz="4" w:space="0" w:color="auto"/>
              <w:bottom w:val="single" w:sz="12" w:space="0" w:color="auto"/>
            </w:tcBorders>
            <w:shd w:val="clear" w:color="auto" w:fill="auto"/>
            <w:vAlign w:val="bottom"/>
          </w:tcPr>
          <w:p w:rsidR="00523287" w:rsidRPr="00C72AD7" w:rsidRDefault="00523287" w:rsidP="00AC4942">
            <w:pPr>
              <w:spacing w:before="40" w:after="120"/>
              <w:rPr>
                <w:b/>
                <w:i/>
                <w:lang w:val="fr-FR"/>
              </w:rPr>
            </w:pPr>
            <w:r w:rsidRPr="00C72AD7">
              <w:rPr>
                <w:b/>
                <w:i/>
                <w:lang w:val="fr-FR"/>
              </w:rPr>
              <w:t>N</w:t>
            </w:r>
            <w:r w:rsidRPr="00C72AD7">
              <w:rPr>
                <w:b/>
                <w:i/>
                <w:vertAlign w:val="superscript"/>
                <w:lang w:val="fr-FR"/>
              </w:rPr>
              <w:t>o</w:t>
            </w:r>
            <w:r w:rsidRPr="00C72AD7">
              <w:rPr>
                <w:b/>
                <w:i/>
                <w:lang w:val="fr-FR"/>
              </w:rPr>
              <w:t> 3/2011</w:t>
            </w:r>
          </w:p>
        </w:tc>
      </w:tr>
      <w:tr w:rsidR="00523287" w:rsidRPr="0048158F" w:rsidTr="00752745">
        <w:trPr>
          <w:cantSplit/>
          <w:trHeight w:hRule="exact" w:val="113"/>
        </w:trPr>
        <w:tc>
          <w:tcPr>
            <w:tcW w:w="3402" w:type="dxa"/>
            <w:tcBorders>
              <w:top w:val="single" w:sz="12" w:space="0" w:color="auto"/>
            </w:tcBorders>
            <w:shd w:val="clear" w:color="auto" w:fill="auto"/>
          </w:tcPr>
          <w:p w:rsidR="00523287" w:rsidRPr="0048158F" w:rsidRDefault="00523287" w:rsidP="00AC4942">
            <w:pPr>
              <w:spacing w:before="40" w:after="120"/>
              <w:ind w:right="113"/>
              <w:rPr>
                <w:lang w:val="fr-FR"/>
              </w:rPr>
            </w:pPr>
          </w:p>
        </w:tc>
        <w:tc>
          <w:tcPr>
            <w:tcW w:w="3969" w:type="dxa"/>
            <w:tcBorders>
              <w:top w:val="single" w:sz="12" w:space="0" w:color="auto"/>
            </w:tcBorders>
            <w:shd w:val="clear" w:color="auto" w:fill="auto"/>
          </w:tcPr>
          <w:p w:rsidR="00523287" w:rsidRPr="0048158F" w:rsidRDefault="00523287" w:rsidP="00AC4942">
            <w:pPr>
              <w:spacing w:before="40" w:after="120"/>
              <w:rPr>
                <w:lang w:val="fr-FR"/>
              </w:rPr>
            </w:pPr>
          </w:p>
        </w:tc>
      </w:tr>
      <w:tr w:rsidR="00523287" w:rsidRPr="0048158F" w:rsidTr="00C72AD7">
        <w:trPr>
          <w:cantSplit/>
        </w:trPr>
        <w:tc>
          <w:tcPr>
            <w:tcW w:w="3402" w:type="dxa"/>
            <w:shd w:val="clear" w:color="auto" w:fill="auto"/>
          </w:tcPr>
          <w:p w:rsidR="00523287" w:rsidRPr="0048158F" w:rsidRDefault="008077F2" w:rsidP="00AC4942">
            <w:pPr>
              <w:spacing w:before="40" w:after="120"/>
              <w:ind w:right="113"/>
              <w:rPr>
                <w:b/>
                <w:lang w:val="fr-FR"/>
              </w:rPr>
            </w:pPr>
            <w:r>
              <w:rPr>
                <w:b/>
                <w:lang w:val="fr-FR"/>
              </w:rPr>
              <w:t>Constatations</w:t>
            </w:r>
          </w:p>
        </w:tc>
        <w:tc>
          <w:tcPr>
            <w:tcW w:w="3969" w:type="dxa"/>
            <w:shd w:val="clear" w:color="auto" w:fill="auto"/>
          </w:tcPr>
          <w:p w:rsidR="00523287" w:rsidRPr="0048158F" w:rsidRDefault="00523287" w:rsidP="00AC4942">
            <w:pPr>
              <w:spacing w:before="40" w:after="120"/>
              <w:rPr>
                <w:lang w:val="fr-FR"/>
              </w:rPr>
            </w:pPr>
            <w:r w:rsidRPr="0048158F">
              <w:rPr>
                <w:lang w:val="fr-FR"/>
              </w:rPr>
              <w:t>19 avril</w:t>
            </w:r>
            <w:r>
              <w:rPr>
                <w:lang w:val="fr-FR"/>
              </w:rPr>
              <w:t xml:space="preserve"> </w:t>
            </w:r>
            <w:r w:rsidRPr="0048158F">
              <w:rPr>
                <w:lang w:val="fr-FR"/>
              </w:rPr>
              <w:t>2012</w:t>
            </w:r>
          </w:p>
        </w:tc>
      </w:tr>
      <w:tr w:rsidR="00523287" w:rsidRPr="0048158F" w:rsidTr="00C72AD7">
        <w:trPr>
          <w:cantSplit/>
        </w:trPr>
        <w:tc>
          <w:tcPr>
            <w:tcW w:w="3402" w:type="dxa"/>
            <w:shd w:val="clear" w:color="auto" w:fill="auto"/>
          </w:tcPr>
          <w:p w:rsidR="00523287" w:rsidRPr="0048158F" w:rsidRDefault="00523287" w:rsidP="00AC4942">
            <w:pPr>
              <w:spacing w:before="40" w:after="120"/>
              <w:ind w:right="113"/>
              <w:rPr>
                <w:b/>
                <w:lang w:val="fr-FR"/>
              </w:rPr>
            </w:pPr>
            <w:r w:rsidRPr="0048158F">
              <w:rPr>
                <w:b/>
                <w:lang w:val="fr-FR"/>
              </w:rPr>
              <w:t>Première réponse</w:t>
            </w:r>
            <w:r w:rsidR="00C72AD7">
              <w:rPr>
                <w:b/>
                <w:lang w:val="fr-FR"/>
              </w:rPr>
              <w:t xml:space="preserve"> </w:t>
            </w:r>
            <w:r w:rsidRPr="0048158F">
              <w:rPr>
                <w:b/>
                <w:lang w:val="fr-FR"/>
              </w:rPr>
              <w:t>de l</w:t>
            </w:r>
            <w:r>
              <w:rPr>
                <w:b/>
                <w:lang w:val="fr-FR"/>
              </w:rPr>
              <w:t>’</w:t>
            </w:r>
            <w:r w:rsidRPr="0048158F">
              <w:rPr>
                <w:b/>
                <w:lang w:val="fr-FR"/>
              </w:rPr>
              <w:t xml:space="preserve">État </w:t>
            </w:r>
            <w:r>
              <w:rPr>
                <w:b/>
                <w:lang w:val="fr-FR"/>
              </w:rPr>
              <w:t>partie</w:t>
            </w:r>
          </w:p>
        </w:tc>
        <w:tc>
          <w:tcPr>
            <w:tcW w:w="3969" w:type="dxa"/>
            <w:shd w:val="clear" w:color="auto" w:fill="auto"/>
          </w:tcPr>
          <w:p w:rsidR="00523287" w:rsidRPr="0048158F" w:rsidRDefault="00523287" w:rsidP="00AC4942">
            <w:pPr>
              <w:spacing w:before="40" w:after="120"/>
              <w:rPr>
                <w:lang w:val="fr-FR"/>
              </w:rPr>
            </w:pPr>
            <w:r w:rsidRPr="0048158F">
              <w:rPr>
                <w:lang w:val="fr-FR"/>
              </w:rPr>
              <w:t>Attendue le 19 avril</w:t>
            </w:r>
            <w:r>
              <w:rPr>
                <w:lang w:val="fr-FR"/>
              </w:rPr>
              <w:t xml:space="preserve"> </w:t>
            </w:r>
            <w:r w:rsidR="00144BD9">
              <w:rPr>
                <w:lang w:val="fr-FR"/>
              </w:rPr>
              <w:t>2013</w:t>
            </w:r>
            <w:r w:rsidRPr="0048158F">
              <w:rPr>
                <w:lang w:val="fr-FR"/>
              </w:rPr>
              <w:t xml:space="preserve"> </w:t>
            </w:r>
            <w:r w:rsidR="005319D2">
              <w:rPr>
                <w:lang w:val="fr-FR"/>
              </w:rPr>
              <w:t>−</w:t>
            </w:r>
            <w:r w:rsidRPr="0048158F">
              <w:rPr>
                <w:lang w:val="fr-FR"/>
              </w:rPr>
              <w:t xml:space="preserve"> reçue le 26 octobre</w:t>
            </w:r>
            <w:r>
              <w:rPr>
                <w:lang w:val="fr-FR"/>
              </w:rPr>
              <w:t xml:space="preserve"> </w:t>
            </w:r>
            <w:r w:rsidRPr="0048158F">
              <w:rPr>
                <w:lang w:val="fr-FR"/>
              </w:rPr>
              <w:t>2012</w:t>
            </w:r>
          </w:p>
        </w:tc>
      </w:tr>
      <w:tr w:rsidR="00523287" w:rsidRPr="0048158F" w:rsidTr="00C72AD7">
        <w:trPr>
          <w:cantSplit/>
        </w:trPr>
        <w:tc>
          <w:tcPr>
            <w:tcW w:w="3402" w:type="dxa"/>
            <w:shd w:val="clear" w:color="auto" w:fill="auto"/>
          </w:tcPr>
          <w:p w:rsidR="00523287" w:rsidRPr="0048158F" w:rsidRDefault="00523287" w:rsidP="00AC4942">
            <w:pPr>
              <w:spacing w:before="40" w:after="120"/>
              <w:ind w:right="113"/>
              <w:rPr>
                <w:b/>
                <w:lang w:val="fr-FR"/>
              </w:rPr>
            </w:pPr>
            <w:r w:rsidRPr="0048158F">
              <w:rPr>
                <w:b/>
                <w:lang w:val="fr-FR"/>
              </w:rPr>
              <w:t>Commentaires du conseil de</w:t>
            </w:r>
            <w:r>
              <w:rPr>
                <w:b/>
                <w:lang w:val="fr-FR"/>
              </w:rPr>
              <w:t> </w:t>
            </w:r>
            <w:r w:rsidRPr="0048158F">
              <w:rPr>
                <w:b/>
                <w:lang w:val="fr-FR"/>
              </w:rPr>
              <w:t>l</w:t>
            </w:r>
            <w:r>
              <w:rPr>
                <w:b/>
                <w:lang w:val="fr-FR"/>
              </w:rPr>
              <w:t>’</w:t>
            </w:r>
            <w:r w:rsidR="008077F2">
              <w:rPr>
                <w:b/>
                <w:lang w:val="fr-FR"/>
              </w:rPr>
              <w:t>auteur</w:t>
            </w:r>
          </w:p>
        </w:tc>
        <w:tc>
          <w:tcPr>
            <w:tcW w:w="3969" w:type="dxa"/>
            <w:shd w:val="clear" w:color="auto" w:fill="auto"/>
          </w:tcPr>
          <w:p w:rsidR="00523287" w:rsidRPr="0048158F" w:rsidRDefault="00523287" w:rsidP="00AC4942">
            <w:pPr>
              <w:spacing w:before="40" w:after="120"/>
              <w:rPr>
                <w:lang w:val="fr-FR"/>
              </w:rPr>
            </w:pPr>
            <w:r w:rsidRPr="0048158F">
              <w:rPr>
                <w:lang w:val="fr-FR"/>
              </w:rPr>
              <w:t>1</w:t>
            </w:r>
            <w:r w:rsidRPr="0048158F">
              <w:rPr>
                <w:vertAlign w:val="superscript"/>
                <w:lang w:val="fr-FR"/>
              </w:rPr>
              <w:t>er</w:t>
            </w:r>
            <w:r>
              <w:rPr>
                <w:lang w:val="fr-FR"/>
              </w:rPr>
              <w:t> </w:t>
            </w:r>
            <w:r w:rsidRPr="0048158F">
              <w:rPr>
                <w:lang w:val="fr-FR"/>
              </w:rPr>
              <w:t>février</w:t>
            </w:r>
            <w:r>
              <w:rPr>
                <w:lang w:val="fr-FR"/>
              </w:rPr>
              <w:t xml:space="preserve"> </w:t>
            </w:r>
            <w:r w:rsidRPr="0048158F">
              <w:rPr>
                <w:lang w:val="fr-FR"/>
              </w:rPr>
              <w:t>2013</w:t>
            </w:r>
          </w:p>
        </w:tc>
      </w:tr>
      <w:tr w:rsidR="00523287" w:rsidRPr="0007045F" w:rsidTr="00C72AD7">
        <w:trPr>
          <w:cantSplit/>
        </w:trPr>
        <w:tc>
          <w:tcPr>
            <w:tcW w:w="7371" w:type="dxa"/>
            <w:gridSpan w:val="2"/>
            <w:shd w:val="clear" w:color="auto" w:fill="auto"/>
          </w:tcPr>
          <w:p w:rsidR="00523287" w:rsidRPr="005319D2" w:rsidRDefault="00523287" w:rsidP="00AC4942">
            <w:pPr>
              <w:keepNext/>
              <w:keepLines/>
              <w:spacing w:before="40" w:after="120"/>
              <w:rPr>
                <w:b/>
                <w:lang w:val="fr-FR"/>
              </w:rPr>
            </w:pPr>
            <w:r w:rsidRPr="005319D2">
              <w:rPr>
                <w:b/>
              </w:rPr>
              <w:t>Paragraphe 9 1)</w:t>
            </w:r>
          </w:p>
        </w:tc>
      </w:tr>
      <w:tr w:rsidR="00523287" w:rsidRPr="0048158F" w:rsidTr="00C72AD7">
        <w:trPr>
          <w:cantSplit/>
        </w:trPr>
        <w:tc>
          <w:tcPr>
            <w:tcW w:w="7371" w:type="dxa"/>
            <w:gridSpan w:val="2"/>
            <w:shd w:val="clear" w:color="auto" w:fill="auto"/>
          </w:tcPr>
          <w:p w:rsidR="00523287" w:rsidRPr="004278B7" w:rsidRDefault="00AD6905" w:rsidP="00AE5D6B">
            <w:pPr>
              <w:spacing w:before="40" w:after="120"/>
              <w:jc w:val="both"/>
              <w:rPr>
                <w:b/>
                <w:lang w:val="fr-FR"/>
              </w:rPr>
            </w:pPr>
            <w:r w:rsidRPr="004278B7">
              <w:rPr>
                <w:b/>
              </w:rPr>
              <w:t>L</w:t>
            </w:r>
            <w:r w:rsidR="00523287" w:rsidRPr="004278B7">
              <w:rPr>
                <w:b/>
              </w:rPr>
              <w:t>’État partie est tenu d’assurer à l’auteure une réparation pour la violation des droits qu’elle tient</w:t>
            </w:r>
            <w:r w:rsidR="004079C2" w:rsidRPr="004278B7">
              <w:rPr>
                <w:b/>
              </w:rPr>
              <w:t xml:space="preserve"> </w:t>
            </w:r>
            <w:r w:rsidR="00523287" w:rsidRPr="004278B7">
              <w:rPr>
                <w:b/>
              </w:rPr>
              <w:t>de la Convention consistant à faire en sorte que sa demande de permis</w:t>
            </w:r>
            <w:r w:rsidR="00AE5D6B">
              <w:rPr>
                <w:b/>
              </w:rPr>
              <w:t xml:space="preserve"> </w:t>
            </w:r>
            <w:r w:rsidR="00523287" w:rsidRPr="004278B7">
              <w:rPr>
                <w:b/>
              </w:rPr>
              <w:t>de construire pour une piscine d’hydrothérapie soit réexaminée en tenant compte des constatations du Comité. L’État</w:t>
            </w:r>
            <w:r w:rsidRPr="004278B7">
              <w:rPr>
                <w:b/>
              </w:rPr>
              <w:t> </w:t>
            </w:r>
            <w:r w:rsidR="00523287" w:rsidRPr="004278B7">
              <w:rPr>
                <w:b/>
              </w:rPr>
              <w:t>partie devrait également offrir à l’auteure une indemnisation appropriée pour les dépenses engagées pour soumettre</w:t>
            </w:r>
            <w:r w:rsidR="004079C2" w:rsidRPr="004278B7">
              <w:rPr>
                <w:b/>
              </w:rPr>
              <w:t xml:space="preserve"> </w:t>
            </w:r>
            <w:r w:rsidR="00523287" w:rsidRPr="004278B7">
              <w:rPr>
                <w:b/>
              </w:rPr>
              <w:t>la présente communication.</w:t>
            </w:r>
          </w:p>
        </w:tc>
      </w:tr>
      <w:tr w:rsidR="00523287" w:rsidRPr="0007045F" w:rsidTr="00C72AD7">
        <w:trPr>
          <w:cantSplit/>
        </w:trPr>
        <w:tc>
          <w:tcPr>
            <w:tcW w:w="7371" w:type="dxa"/>
            <w:gridSpan w:val="2"/>
            <w:shd w:val="clear" w:color="auto" w:fill="auto"/>
          </w:tcPr>
          <w:p w:rsidR="00523287" w:rsidRPr="0007045F" w:rsidRDefault="00523287" w:rsidP="00AC4942">
            <w:pPr>
              <w:keepNext/>
              <w:spacing w:before="40" w:after="120"/>
              <w:rPr>
                <w:b/>
                <w:lang w:val="fr-FR"/>
              </w:rPr>
            </w:pPr>
            <w:r w:rsidRPr="0007045F">
              <w:rPr>
                <w:b/>
              </w:rPr>
              <w:t>Résumé de la réponse de l</w:t>
            </w:r>
            <w:r>
              <w:rPr>
                <w:b/>
              </w:rPr>
              <w:t>’</w:t>
            </w:r>
            <w:r w:rsidRPr="0007045F">
              <w:rPr>
                <w:b/>
              </w:rPr>
              <w:t>État partie</w:t>
            </w:r>
          </w:p>
        </w:tc>
      </w:tr>
      <w:tr w:rsidR="00523287" w:rsidRPr="0048158F" w:rsidTr="00C72AD7">
        <w:trPr>
          <w:cantSplit/>
        </w:trPr>
        <w:tc>
          <w:tcPr>
            <w:tcW w:w="7371" w:type="dxa"/>
            <w:gridSpan w:val="2"/>
            <w:shd w:val="clear" w:color="auto" w:fill="auto"/>
          </w:tcPr>
          <w:p w:rsidR="00523287" w:rsidRPr="0048158F" w:rsidRDefault="00523287" w:rsidP="00834F78">
            <w:pPr>
              <w:spacing w:before="40" w:after="120"/>
              <w:jc w:val="both"/>
              <w:rPr>
                <w:lang w:val="fr-FR"/>
              </w:rPr>
            </w:pPr>
            <w:r>
              <w:t>En 2011, le Gouvernement a adopté une stratégie nationale définissant sa politique</w:t>
            </w:r>
            <w:r w:rsidR="00834F78">
              <w:t xml:space="preserve"> </w:t>
            </w:r>
            <w:r>
              <w:t>en faveur des handicapés, en vue de mettre en œuvre la Convention. La Suède a soumis</w:t>
            </w:r>
            <w:r w:rsidR="00834F78">
              <w:t xml:space="preserve"> </w:t>
            </w:r>
            <w:r w:rsidR="00B437EE">
              <w:t xml:space="preserve">son </w:t>
            </w:r>
            <w:r>
              <w:t xml:space="preserve">rapport </w:t>
            </w:r>
            <w:r w:rsidR="00B437EE">
              <w:t xml:space="preserve">initial </w:t>
            </w:r>
            <w:r>
              <w:t>au Comité en</w:t>
            </w:r>
            <w:r w:rsidR="005334A5">
              <w:t> </w:t>
            </w:r>
            <w:r>
              <w:t>2011.</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rsidRPr="005B5CB8">
              <w:rPr>
                <w:spacing w:val="-2"/>
              </w:rPr>
              <w:t xml:space="preserve">Selon la Constitution de la Suède, les questions locales et régionales d’intérêt public sont du ressort des autorités locales, en vertu du principe d’autonomie des collectivités locales (chap. 14, art. 2). Les tribunaux suédois sont indépendants à l’égard du </w:t>
            </w:r>
            <w:proofErr w:type="spellStart"/>
            <w:r w:rsidRPr="005B5CB8">
              <w:rPr>
                <w:spacing w:val="-2"/>
              </w:rPr>
              <w:t>Riksdag</w:t>
            </w:r>
            <w:proofErr w:type="spellEnd"/>
            <w:r w:rsidRPr="005B5CB8">
              <w:rPr>
                <w:spacing w:val="-2"/>
              </w:rPr>
              <w:t xml:space="preserve"> (le</w:t>
            </w:r>
            <w:r w:rsidR="00D47BD4" w:rsidRPr="005B5CB8">
              <w:rPr>
                <w:spacing w:val="-2"/>
              </w:rPr>
              <w:t> </w:t>
            </w:r>
            <w:r w:rsidRPr="005B5CB8">
              <w:rPr>
                <w:spacing w:val="-2"/>
              </w:rPr>
              <w:t>Parlement suédois), du</w:t>
            </w:r>
            <w:r w:rsidR="00F10073" w:rsidRPr="005B5CB8">
              <w:rPr>
                <w:spacing w:val="-2"/>
              </w:rPr>
              <w:t> </w:t>
            </w:r>
            <w:r w:rsidRPr="005B5CB8">
              <w:rPr>
                <w:spacing w:val="-2"/>
              </w:rPr>
              <w:t xml:space="preserve">Gouvernement et des autres autorités. Ni le </w:t>
            </w:r>
            <w:proofErr w:type="spellStart"/>
            <w:r w:rsidRPr="005B5CB8">
              <w:rPr>
                <w:spacing w:val="-2"/>
              </w:rPr>
              <w:t>Riksdag</w:t>
            </w:r>
            <w:proofErr w:type="spellEnd"/>
            <w:r w:rsidRPr="005B5CB8">
              <w:rPr>
                <w:spacing w:val="-2"/>
              </w:rPr>
              <w:t xml:space="preserve"> ni les autorités publiques (ni le Gouvernement, par conséquent) ne peuvent influer sur la décision d’un tribunal dans un cas d’espèce. Le</w:t>
            </w:r>
            <w:r w:rsidR="00F10073" w:rsidRPr="005B5CB8">
              <w:rPr>
                <w:spacing w:val="-2"/>
              </w:rPr>
              <w:t> </w:t>
            </w:r>
            <w:r w:rsidRPr="005B5CB8">
              <w:rPr>
                <w:spacing w:val="-2"/>
              </w:rPr>
              <w:t>Gouvernement ne peut donc pas intervenir dans la prise de décisions concernant des cas particuliers d’octroi de permis</w:t>
            </w:r>
            <w:r w:rsidR="00562AB7" w:rsidRPr="005B5CB8">
              <w:rPr>
                <w:spacing w:val="-2"/>
              </w:rPr>
              <w:t xml:space="preserve"> </w:t>
            </w:r>
            <w:r w:rsidRPr="005B5CB8">
              <w:rPr>
                <w:spacing w:val="-2"/>
              </w:rPr>
              <w:t>de construire</w:t>
            </w:r>
            <w:r>
              <w:t>.</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t>H. M. peut soumettre une nouvelle demande de permis de construire ou demander</w:t>
            </w:r>
            <w:r w:rsidR="005B5CB8">
              <w:t xml:space="preserve"> </w:t>
            </w:r>
            <w:r>
              <w:t>à la municipalité une notification des plans visant à modifier le plan de développement détaillé, qui serait examinée conformément à la loi sur la planification e</w:t>
            </w:r>
            <w:r w:rsidR="005B5CB8">
              <w:t>t la construction (2010:900) de </w:t>
            </w:r>
            <w:r>
              <w:t>mai</w:t>
            </w:r>
            <w:r w:rsidR="005B5CB8">
              <w:t> </w:t>
            </w:r>
            <w:r>
              <w:t>2011. Le principe de proportionnalité suppose de mettre en balance les avantages d’une décision donnée et les conséquences que cette décision peut</w:t>
            </w:r>
            <w:r w:rsidR="00AD0CD3">
              <w:t xml:space="preserve"> avoir pour des intérêts privés </w:t>
            </w:r>
            <w:r>
              <w:t>contraires.</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t>D’après la loi sur les autorisations d’adaptation des logements, il est possible d’obtenir l’autorisation de procéder à des travaux onéreux en cas d’achat d’un logement ou de déménagement, mais pour des motifs spécifiques. Ces motifs peuvent être la nécessité pour une personne handicapée de vivre à proximité d’un établissement de soins auquel elle doit avoir accès, ou l’impossibilité de trouver un autre logement adapté à ses besoins.</w:t>
            </w:r>
          </w:p>
        </w:tc>
      </w:tr>
      <w:tr w:rsidR="00523287" w:rsidRPr="0048158F" w:rsidTr="00C72AD7">
        <w:trPr>
          <w:cantSplit/>
        </w:trPr>
        <w:tc>
          <w:tcPr>
            <w:tcW w:w="7371" w:type="dxa"/>
            <w:gridSpan w:val="2"/>
            <w:shd w:val="clear" w:color="auto" w:fill="auto"/>
          </w:tcPr>
          <w:p w:rsidR="00523287" w:rsidRDefault="00523287" w:rsidP="00AE5D6B">
            <w:pPr>
              <w:spacing w:before="40" w:after="120"/>
              <w:jc w:val="both"/>
            </w:pPr>
            <w:r>
              <w:t xml:space="preserve">Quant à la recommandation du Comité invitant le Gouvernement à offrir à l’auteure </w:t>
            </w:r>
            <w:r w:rsidRPr="002E72AD">
              <w:t>une</w:t>
            </w:r>
            <w:r>
              <w:t> </w:t>
            </w:r>
            <w:r w:rsidRPr="002E72AD">
              <w:t xml:space="preserve">indemnisation appropriée </w:t>
            </w:r>
            <w:r>
              <w:t xml:space="preserve">au titre </w:t>
            </w:r>
            <w:r w:rsidR="00884E22">
              <w:t xml:space="preserve">des </w:t>
            </w:r>
            <w:r w:rsidRPr="002E72AD">
              <w:t xml:space="preserve">dépenses </w:t>
            </w:r>
            <w:r>
              <w:t xml:space="preserve">encourues </w:t>
            </w:r>
            <w:r w:rsidRPr="002E72AD">
              <w:t>pour soumettre la présente communication</w:t>
            </w:r>
            <w:r>
              <w:t>, aucun engagement international ne contraint l’État partie à indemniser l’auteure pour les coûts induits par la procédure de plainte.</w:t>
            </w:r>
          </w:p>
        </w:tc>
      </w:tr>
      <w:tr w:rsidR="00523287" w:rsidRPr="005177ED" w:rsidTr="00C72AD7">
        <w:trPr>
          <w:cantSplit/>
        </w:trPr>
        <w:tc>
          <w:tcPr>
            <w:tcW w:w="7371" w:type="dxa"/>
            <w:gridSpan w:val="2"/>
            <w:shd w:val="clear" w:color="auto" w:fill="auto"/>
          </w:tcPr>
          <w:p w:rsidR="00523287" w:rsidRPr="005177ED" w:rsidRDefault="00523287" w:rsidP="00AC4942">
            <w:pPr>
              <w:keepNext/>
              <w:spacing w:before="40" w:after="120"/>
              <w:ind w:right="113"/>
              <w:rPr>
                <w:b/>
                <w:lang w:val="fr-FR"/>
              </w:rPr>
            </w:pPr>
            <w:r w:rsidRPr="005177ED">
              <w:rPr>
                <w:b/>
              </w:rPr>
              <w:t>Résumé des commentaires du conseil de l</w:t>
            </w:r>
            <w:r>
              <w:rPr>
                <w:b/>
              </w:rPr>
              <w:t>’</w:t>
            </w:r>
            <w:r w:rsidRPr="005177ED">
              <w:rPr>
                <w:b/>
              </w:rPr>
              <w:t>auteur</w:t>
            </w:r>
          </w:p>
        </w:tc>
      </w:tr>
      <w:tr w:rsidR="00523287" w:rsidRPr="0048158F" w:rsidTr="00C72AD7">
        <w:trPr>
          <w:cantSplit/>
        </w:trPr>
        <w:tc>
          <w:tcPr>
            <w:tcW w:w="7371" w:type="dxa"/>
            <w:gridSpan w:val="2"/>
            <w:shd w:val="clear" w:color="auto" w:fill="auto"/>
          </w:tcPr>
          <w:p w:rsidR="00523287" w:rsidRPr="008E1204" w:rsidRDefault="00523287" w:rsidP="00AE5D6B">
            <w:pPr>
              <w:spacing w:before="40" w:after="120"/>
              <w:jc w:val="both"/>
              <w:rPr>
                <w:spacing w:val="1"/>
                <w:lang w:val="fr-FR"/>
              </w:rPr>
            </w:pPr>
            <w:r w:rsidRPr="008E1204">
              <w:rPr>
                <w:spacing w:val="1"/>
              </w:rPr>
              <w:t>En invoquant la stratégie nationale en faveur des personnes handicapées et</w:t>
            </w:r>
            <w:r w:rsidR="00D26911" w:rsidRPr="008E1204">
              <w:rPr>
                <w:spacing w:val="1"/>
              </w:rPr>
              <w:t xml:space="preserve"> </w:t>
            </w:r>
            <w:r w:rsidRPr="008E1204">
              <w:rPr>
                <w:spacing w:val="1"/>
              </w:rPr>
              <w:t>en faisant</w:t>
            </w:r>
            <w:r w:rsidR="00D26911" w:rsidRPr="008E1204">
              <w:rPr>
                <w:spacing w:val="1"/>
              </w:rPr>
              <w:t xml:space="preserve"> </w:t>
            </w:r>
            <w:r w:rsidRPr="008E1204">
              <w:rPr>
                <w:spacing w:val="1"/>
              </w:rPr>
              <w:t>valoir que la Constitution lui interdit d’intervenir contre une décision de justice, le Gouvernement laisse H. M. démunie de tout soutien pour faire appliquer la décision</w:t>
            </w:r>
            <w:r w:rsidR="008E1204">
              <w:rPr>
                <w:spacing w:val="1"/>
              </w:rPr>
              <w:br/>
            </w:r>
            <w:r w:rsidRPr="008E1204">
              <w:rPr>
                <w:spacing w:val="1"/>
              </w:rPr>
              <w:t>du Comité. Le</w:t>
            </w:r>
            <w:r w:rsidR="00B43CA9" w:rsidRPr="008E1204">
              <w:rPr>
                <w:spacing w:val="1"/>
              </w:rPr>
              <w:t> </w:t>
            </w:r>
            <w:r w:rsidRPr="008E1204">
              <w:rPr>
                <w:spacing w:val="1"/>
              </w:rPr>
              <w:t xml:space="preserve">Gouvernement suédois doit trancher en dernier ressort, </w:t>
            </w:r>
            <w:r w:rsidR="00CE6718" w:rsidRPr="008E1204">
              <w:rPr>
                <w:spacing w:val="1"/>
              </w:rPr>
              <w:t xml:space="preserve">et </w:t>
            </w:r>
            <w:r w:rsidRPr="008E1204">
              <w:rPr>
                <w:spacing w:val="1"/>
              </w:rPr>
              <w:t>intervenir quand</w:t>
            </w:r>
            <w:r w:rsidR="00D26911" w:rsidRPr="008E1204">
              <w:rPr>
                <w:spacing w:val="1"/>
              </w:rPr>
              <w:t xml:space="preserve"> </w:t>
            </w:r>
            <w:r w:rsidRPr="008E1204">
              <w:rPr>
                <w:spacing w:val="1"/>
              </w:rPr>
              <w:t>il </w:t>
            </w:r>
            <w:r w:rsidR="00B43CA9" w:rsidRPr="008E1204">
              <w:rPr>
                <w:spacing w:val="1"/>
              </w:rPr>
              <w:t>e</w:t>
            </w:r>
            <w:r w:rsidRPr="008E1204">
              <w:rPr>
                <w:spacing w:val="1"/>
              </w:rPr>
              <w:t>st démontré qu’une personne handicapée ne peut pas faire respecter les droits que lui reconnaît la loi.</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t>Le Gouvernement invite H. M. à déposer une nouvelle demande de permis de construire, alors que le président du comité local chargé de la délivrance des per</w:t>
            </w:r>
            <w:r w:rsidR="00FB0F59">
              <w:t xml:space="preserve">mis de construire a précisé que </w:t>
            </w:r>
            <w:r>
              <w:t>le comité ne pouvait pas approuver une demande fondée sur le handicap de</w:t>
            </w:r>
            <w:r w:rsidR="00D26911">
              <w:t xml:space="preserve"> </w:t>
            </w:r>
            <w:r>
              <w:t xml:space="preserve">son auteur. Le comité </w:t>
            </w:r>
            <w:r w:rsidR="00FB0F59">
              <w:t xml:space="preserve">considéré </w:t>
            </w:r>
            <w:r>
              <w:t xml:space="preserve">ne peut pas prendre </w:t>
            </w:r>
            <w:r w:rsidR="00FB0F59">
              <w:t xml:space="preserve">de </w:t>
            </w:r>
            <w:r>
              <w:t>décision objective tenant compte des intérêts de la personne handicapée au regard du droit d’obtenir un permis de construire, alors qu’il existe un plan détaillé.</w:t>
            </w:r>
          </w:p>
        </w:tc>
      </w:tr>
      <w:tr w:rsidR="00523287" w:rsidRPr="0048158F" w:rsidTr="00C72AD7">
        <w:trPr>
          <w:cantSplit/>
        </w:trPr>
        <w:tc>
          <w:tcPr>
            <w:tcW w:w="7371" w:type="dxa"/>
            <w:gridSpan w:val="2"/>
            <w:shd w:val="clear" w:color="auto" w:fill="auto"/>
          </w:tcPr>
          <w:p w:rsidR="00523287" w:rsidRPr="00122C7A" w:rsidRDefault="00523287" w:rsidP="00AE5D6B">
            <w:pPr>
              <w:spacing w:before="40" w:after="120"/>
              <w:jc w:val="both"/>
              <w:rPr>
                <w:lang w:val="fr-FR"/>
              </w:rPr>
            </w:pPr>
            <w:r w:rsidRPr="00122C7A">
              <w:t>Quant au projet de modification du plan détaillé, le responsable local a expliqué personnellement que les besoins d’une personne handicapée ne pouvaient pas justifier l’introduction de modifications dans un plan de cette nature. En outre, l’élaboration et la modification d’un plan détaillé est un processus complexe et très long, qui fait intervenir plusieurs parties, et il n’est pas du tout certain que la question serait tranchée en faveur de H. M.</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t>Le Gouvernement et les autorités nationales ont refusé de se saisir de l’affaire et ont donc fait preuve de discrimination à l’égard de la personne handicapée</w:t>
            </w:r>
            <w:r w:rsidR="007B6E21">
              <w:t>.</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t>Au moment de s’installer, il y a plusieurs années, H. M. avait obtenu de la municipalité l’autorisation de modifier le logement. Depuis, sa santé s’est fortement détériorée et elle ne peut recevoir de soins et suivre un traitement de rééducation qu’à domicile pour éviter que son état s’aggrave. Le Gouvernement dit que H. M. pourrait</w:t>
            </w:r>
            <w:r w:rsidR="00E15C42">
              <w:t xml:space="preserve"> </w:t>
            </w:r>
            <w:r>
              <w:t>faire une nouvelle demande</w:t>
            </w:r>
            <w:r w:rsidR="00122C7A">
              <w:t xml:space="preserve"> </w:t>
            </w:r>
            <w:r>
              <w:t>de permis de construire si elle déménage pour des «motifs spécifiques</w:t>
            </w:r>
            <w:r>
              <w:rPr>
                <w:rFonts w:cs="Aharoni" w:hint="cs"/>
              </w:rPr>
              <w:t>»</w:t>
            </w:r>
            <w:r>
              <w:rPr>
                <w:rFonts w:cs="Aharoni"/>
              </w:rPr>
              <w:t>, comme la nécessité d’habiter à proximité d’un centre de soins. Mais une nouvelle modification du bâtiment n’aurait aucun intérêt pour l’auteure, sauf à s’accompagner de l’autorisation de construire</w:t>
            </w:r>
            <w:r w:rsidR="00D26911">
              <w:rPr>
                <w:rFonts w:cs="Aharoni"/>
              </w:rPr>
              <w:t xml:space="preserve"> </w:t>
            </w:r>
            <w:r>
              <w:rPr>
                <w:rFonts w:cs="Aharoni"/>
              </w:rPr>
              <w:t>la piscine qui est nécessaire pour son traitement. Si rien n’est fait, H. M. n’aura d’autre choix que d’intégrer un établissement médicalisé. Elle ne devrait pas être contrainte de quitter sa maison à cause de l’incapacité des autorités à prendre des mesures adaptées en</w:t>
            </w:r>
            <w:r w:rsidR="00807C26">
              <w:rPr>
                <w:rFonts w:cs="Aharoni"/>
              </w:rPr>
              <w:t> </w:t>
            </w:r>
            <w:r>
              <w:rPr>
                <w:rFonts w:cs="Aharoni"/>
              </w:rPr>
              <w:t>faveur des personnes handicapées.</w:t>
            </w:r>
          </w:p>
        </w:tc>
      </w:tr>
      <w:tr w:rsidR="00523287" w:rsidRPr="0048158F" w:rsidTr="00C72AD7">
        <w:trPr>
          <w:cantSplit/>
        </w:trPr>
        <w:tc>
          <w:tcPr>
            <w:tcW w:w="7371" w:type="dxa"/>
            <w:gridSpan w:val="2"/>
            <w:shd w:val="clear" w:color="auto" w:fill="auto"/>
          </w:tcPr>
          <w:p w:rsidR="00523287" w:rsidRPr="005135C8" w:rsidRDefault="00523287" w:rsidP="00AE5D6B">
            <w:pPr>
              <w:spacing w:before="40" w:after="120"/>
              <w:jc w:val="both"/>
              <w:rPr>
                <w:lang w:val="fr-FR"/>
              </w:rPr>
            </w:pPr>
            <w:r w:rsidRPr="005135C8">
              <w:rPr>
                <w:rFonts w:cs="Aharoni"/>
                <w:spacing w:val="-1"/>
              </w:rPr>
              <w:t>Les coûts induits par les procédures engagées s’élèvent à 35 000 couronnes suédoise</w:t>
            </w:r>
            <w:r w:rsidR="00302253" w:rsidRPr="005135C8">
              <w:rPr>
                <w:rFonts w:cs="Aharoni"/>
                <w:spacing w:val="-1"/>
              </w:rPr>
              <w:t>s</w:t>
            </w:r>
            <w:r w:rsidR="00302253" w:rsidRPr="005135C8">
              <w:rPr>
                <w:rFonts w:cs="Aharoni"/>
              </w:rPr>
              <w:t xml:space="preserve"> (environ 4 035 euros)</w:t>
            </w:r>
            <w:r w:rsidRPr="005135C8">
              <w:rPr>
                <w:rFonts w:cs="Aharoni"/>
              </w:rPr>
              <w:t>. Le refus du Gouvernement d’offrir à l’auteure une indemnisation adéquate à ce titre constitue une nouvelle violation des droits de H. M., alors</w:t>
            </w:r>
            <w:r w:rsidR="00D944D9" w:rsidRPr="005135C8">
              <w:rPr>
                <w:rFonts w:cs="Aharoni"/>
              </w:rPr>
              <w:t xml:space="preserve"> </w:t>
            </w:r>
            <w:r w:rsidRPr="005135C8">
              <w:rPr>
                <w:rFonts w:cs="Aharoni"/>
              </w:rPr>
              <w:t>même qu’elle doit assumer le coût de ses soins médicaux et de l’adaptation de sa maison à</w:t>
            </w:r>
            <w:r w:rsidR="00D5216B" w:rsidRPr="005135C8">
              <w:rPr>
                <w:rFonts w:cs="Aharoni"/>
              </w:rPr>
              <w:t> </w:t>
            </w:r>
            <w:r w:rsidRPr="005135C8">
              <w:rPr>
                <w:rFonts w:cs="Aharoni"/>
              </w:rPr>
              <w:t>ses besoins. En</w:t>
            </w:r>
            <w:r w:rsidR="00D944D9" w:rsidRPr="005135C8">
              <w:rPr>
                <w:rFonts w:cs="Aharoni"/>
              </w:rPr>
              <w:t> </w:t>
            </w:r>
            <w:r w:rsidRPr="005135C8">
              <w:rPr>
                <w:rFonts w:cs="Aharoni"/>
              </w:rPr>
              <w:t xml:space="preserve">outre, elle devrait aussi faire face à des dépenses supplémentaires si elle faisait une nouvelle </w:t>
            </w:r>
            <w:r w:rsidRPr="005135C8">
              <w:t>demande</w:t>
            </w:r>
            <w:r w:rsidRPr="005135C8">
              <w:rPr>
                <w:rFonts w:cs="Aharoni"/>
              </w:rPr>
              <w:t xml:space="preserve"> de permis de construire, car les coûts correspondants ont beaucoup augmenté depuis sa première demande. Une personne handicapée ne devrait pas être pénalisée financièrement parce que les autorités ont pris des décisions déraisonnables.</w:t>
            </w:r>
          </w:p>
        </w:tc>
      </w:tr>
      <w:tr w:rsidR="00523287" w:rsidRPr="0048158F" w:rsidTr="00C72AD7">
        <w:trPr>
          <w:cantSplit/>
        </w:trPr>
        <w:tc>
          <w:tcPr>
            <w:tcW w:w="7371" w:type="dxa"/>
            <w:gridSpan w:val="2"/>
            <w:shd w:val="clear" w:color="auto" w:fill="auto"/>
          </w:tcPr>
          <w:p w:rsidR="00523287" w:rsidRPr="0048158F" w:rsidRDefault="00523287" w:rsidP="00AE5D6B">
            <w:pPr>
              <w:spacing w:before="40" w:after="120"/>
              <w:jc w:val="both"/>
              <w:rPr>
                <w:lang w:val="fr-FR"/>
              </w:rPr>
            </w:pPr>
            <w:r>
              <w:rPr>
                <w:rFonts w:cs="Aharoni"/>
              </w:rPr>
              <w:t xml:space="preserve">Le Gouvernement n’a pas cherché à régler le problème rapidement, alors que la nature de l’affaire et les besoins particuliers de l’auteure de la communication appelaient une prompte réponse. Malheureusement, la </w:t>
            </w:r>
            <w:r w:rsidRPr="005177ED">
              <w:t>stratégie</w:t>
            </w:r>
            <w:r>
              <w:rPr>
                <w:rFonts w:cs="Aharoni"/>
              </w:rPr>
              <w:t xml:space="preserve"> nationale en faveur des personnes handicapées ne prend pas en compte les personnes handicapées qui ont besoin d’aide et</w:t>
            </w:r>
            <w:r w:rsidR="002D1580">
              <w:rPr>
                <w:rFonts w:cs="Aharoni"/>
              </w:rPr>
              <w:t xml:space="preserve"> </w:t>
            </w:r>
            <w:r>
              <w:rPr>
                <w:rFonts w:cs="Aharoni"/>
              </w:rPr>
              <w:t>de soutien. L’État</w:t>
            </w:r>
            <w:r w:rsidR="002D1580">
              <w:rPr>
                <w:rFonts w:cs="Aharoni"/>
              </w:rPr>
              <w:t> </w:t>
            </w:r>
            <w:r>
              <w:rPr>
                <w:rFonts w:cs="Aharoni"/>
              </w:rPr>
              <w:t>partie continue de violer la Convention.</w:t>
            </w:r>
          </w:p>
        </w:tc>
      </w:tr>
      <w:tr w:rsidR="00523287" w:rsidRPr="00575255" w:rsidTr="00C72AD7">
        <w:trPr>
          <w:cantSplit/>
        </w:trPr>
        <w:tc>
          <w:tcPr>
            <w:tcW w:w="7371" w:type="dxa"/>
            <w:gridSpan w:val="2"/>
            <w:shd w:val="clear" w:color="auto" w:fill="auto"/>
          </w:tcPr>
          <w:p w:rsidR="00523287" w:rsidRPr="00575255" w:rsidRDefault="00523287" w:rsidP="00AC4942">
            <w:pPr>
              <w:keepNext/>
              <w:spacing w:before="40" w:after="120"/>
              <w:ind w:right="113"/>
              <w:rPr>
                <w:b/>
                <w:lang w:val="fr-FR"/>
              </w:rPr>
            </w:pPr>
            <w:r w:rsidRPr="00575255">
              <w:rPr>
                <w:b/>
              </w:rPr>
              <w:t>Appréciation du Comité</w:t>
            </w:r>
          </w:p>
        </w:tc>
      </w:tr>
      <w:tr w:rsidR="00523287" w:rsidRPr="00575255" w:rsidTr="00C72AD7">
        <w:trPr>
          <w:cantSplit/>
        </w:trPr>
        <w:tc>
          <w:tcPr>
            <w:tcW w:w="7371" w:type="dxa"/>
            <w:gridSpan w:val="2"/>
            <w:shd w:val="clear" w:color="auto" w:fill="auto"/>
          </w:tcPr>
          <w:p w:rsidR="00523287" w:rsidRPr="00575255" w:rsidRDefault="00523287" w:rsidP="00AC4942">
            <w:pPr>
              <w:spacing w:before="40" w:after="120"/>
              <w:ind w:right="113"/>
              <w:rPr>
                <w:b/>
              </w:rPr>
            </w:pPr>
            <w:r w:rsidRPr="00575255">
              <w:rPr>
                <w:b/>
              </w:rPr>
              <w:t>[C1]: Les mesures prises n</w:t>
            </w:r>
            <w:r>
              <w:rPr>
                <w:b/>
              </w:rPr>
              <w:t>’</w:t>
            </w:r>
            <w:r w:rsidRPr="00575255">
              <w:rPr>
                <w:b/>
              </w:rPr>
              <w:t>ont pas permis de remédier à la situation.</w:t>
            </w:r>
          </w:p>
        </w:tc>
      </w:tr>
      <w:tr w:rsidR="00523287" w:rsidRPr="0048158F" w:rsidTr="00C72AD7">
        <w:trPr>
          <w:cantSplit/>
        </w:trPr>
        <w:tc>
          <w:tcPr>
            <w:tcW w:w="7371" w:type="dxa"/>
            <w:gridSpan w:val="2"/>
            <w:shd w:val="clear" w:color="auto" w:fill="auto"/>
          </w:tcPr>
          <w:p w:rsidR="00523287" w:rsidRPr="0048158F" w:rsidRDefault="00523287" w:rsidP="00EA68A0">
            <w:pPr>
              <w:spacing w:before="40" w:after="120"/>
              <w:jc w:val="both"/>
              <w:rPr>
                <w:lang w:val="fr-FR"/>
              </w:rPr>
            </w:pPr>
            <w:r>
              <w:t xml:space="preserve">Le Comité </w:t>
            </w:r>
            <w:r w:rsidR="00134ABA">
              <w:t xml:space="preserve">va </w:t>
            </w:r>
            <w:r>
              <w:t>demander à rencontrer un membre de la Mission permanente</w:t>
            </w:r>
            <w:r w:rsidR="00D26911">
              <w:t xml:space="preserve"> </w:t>
            </w:r>
            <w:r>
              <w:t xml:space="preserve">de l’État partie pour obtenir des précisions sur la position de la Suède au sujet des constatations du Comité, en faisant ressortir que la réponse qui a été apportée n’est pas satisfaisante. </w:t>
            </w:r>
            <w:r w:rsidR="00134ABA">
              <w:t>Une</w:t>
            </w:r>
            <w:r w:rsidR="00B8595D">
              <w:t> </w:t>
            </w:r>
            <w:r>
              <w:t>lettre réitérant</w:t>
            </w:r>
            <w:r w:rsidR="00134ABA">
              <w:t xml:space="preserve"> </w:t>
            </w:r>
            <w:r>
              <w:t>la demande d’information</w:t>
            </w:r>
            <w:r w:rsidR="00F463AF">
              <w:t>s</w:t>
            </w:r>
            <w:r>
              <w:t xml:space="preserve"> concernant les mesures prises pour mettre en œuvre</w:t>
            </w:r>
            <w:r w:rsidR="00AE5D6B">
              <w:t xml:space="preserve"> </w:t>
            </w:r>
            <w:r>
              <w:t>les recommandations du Comité</w:t>
            </w:r>
            <w:r w:rsidR="00134ABA">
              <w:t xml:space="preserve"> va être adressée à cette fin à l’État partie.</w:t>
            </w:r>
          </w:p>
        </w:tc>
      </w:tr>
      <w:tr w:rsidR="00523287" w:rsidRPr="00575255" w:rsidTr="00350F3D">
        <w:trPr>
          <w:cantSplit/>
        </w:trPr>
        <w:tc>
          <w:tcPr>
            <w:tcW w:w="7371" w:type="dxa"/>
            <w:gridSpan w:val="2"/>
            <w:shd w:val="clear" w:color="auto" w:fill="auto"/>
          </w:tcPr>
          <w:p w:rsidR="00523287" w:rsidRPr="00E30B8F" w:rsidRDefault="00523287" w:rsidP="00350F3D">
            <w:pPr>
              <w:keepNext/>
              <w:spacing w:before="40" w:after="120"/>
              <w:rPr>
                <w:b/>
              </w:rPr>
            </w:pPr>
            <w:r w:rsidRPr="00E30B8F">
              <w:rPr>
                <w:b/>
              </w:rPr>
              <w:t>Paragraphe 9 2)</w:t>
            </w:r>
          </w:p>
        </w:tc>
      </w:tr>
      <w:tr w:rsidR="00523287" w:rsidRPr="00575255" w:rsidTr="00C72AD7">
        <w:trPr>
          <w:cantSplit/>
        </w:trPr>
        <w:tc>
          <w:tcPr>
            <w:tcW w:w="7371" w:type="dxa"/>
            <w:gridSpan w:val="2"/>
            <w:shd w:val="clear" w:color="auto" w:fill="auto"/>
          </w:tcPr>
          <w:p w:rsidR="00523287" w:rsidRPr="00D26911" w:rsidRDefault="00CA2ABA" w:rsidP="00EA68A0">
            <w:pPr>
              <w:spacing w:before="40" w:after="120"/>
              <w:jc w:val="both"/>
              <w:rPr>
                <w:b/>
              </w:rPr>
            </w:pPr>
            <w:r w:rsidRPr="00D26911">
              <w:rPr>
                <w:b/>
              </w:rPr>
              <w:t>L</w:t>
            </w:r>
            <w:r w:rsidR="00523287" w:rsidRPr="00D26911">
              <w:rPr>
                <w:b/>
              </w:rPr>
              <w:t>’État partie est tenu de veiller à ce que des violations analogues ne se reproduisent pas à l’avenir, en faisant notamment le nécessaire pour que la législation</w:t>
            </w:r>
            <w:r w:rsidR="00D944D9" w:rsidRPr="00D26911">
              <w:rPr>
                <w:b/>
              </w:rPr>
              <w:t xml:space="preserve"> </w:t>
            </w:r>
            <w:r w:rsidR="00523287" w:rsidRPr="00D26911">
              <w:rPr>
                <w:b/>
              </w:rPr>
              <w:t xml:space="preserve">et la façon dont elle est appliquée par les juridictions nationales soient conformes aux obligations de l’État partie, qui lui imposent de veiller à ce que la législation n’ait pas pour objet ou pour effet </w:t>
            </w:r>
            <w:r w:rsidR="00D944D9" w:rsidRPr="00D26911">
              <w:rPr>
                <w:b/>
              </w:rPr>
              <w:t>d</w:t>
            </w:r>
            <w:r w:rsidR="00523287" w:rsidRPr="00D26911">
              <w:rPr>
                <w:b/>
              </w:rPr>
              <w:t>e compromettre ou réduire à néant la reconnaissance, la</w:t>
            </w:r>
            <w:r w:rsidR="002667E3" w:rsidRPr="00D26911">
              <w:rPr>
                <w:b/>
              </w:rPr>
              <w:t> </w:t>
            </w:r>
            <w:r w:rsidR="00523287" w:rsidRPr="00D26911">
              <w:rPr>
                <w:b/>
              </w:rPr>
              <w:t>jouissance ou l’exercice, sur la base de l’égalité avec les autres, des droits des personnes handicapées.</w:t>
            </w:r>
          </w:p>
        </w:tc>
      </w:tr>
      <w:tr w:rsidR="00523287" w:rsidRPr="00575255" w:rsidTr="00C72AD7">
        <w:trPr>
          <w:cantSplit/>
        </w:trPr>
        <w:tc>
          <w:tcPr>
            <w:tcW w:w="7371" w:type="dxa"/>
            <w:gridSpan w:val="2"/>
            <w:shd w:val="clear" w:color="auto" w:fill="auto"/>
          </w:tcPr>
          <w:p w:rsidR="00E24BCD" w:rsidRPr="00575255" w:rsidRDefault="00523287" w:rsidP="00350F3D">
            <w:pPr>
              <w:keepNext/>
              <w:spacing w:before="40" w:after="120"/>
              <w:rPr>
                <w:b/>
              </w:rPr>
            </w:pPr>
            <w:r w:rsidRPr="00575255">
              <w:rPr>
                <w:b/>
              </w:rPr>
              <w:t>Résumé de la réponse de l</w:t>
            </w:r>
            <w:r>
              <w:rPr>
                <w:b/>
              </w:rPr>
              <w:t>’</w:t>
            </w:r>
            <w:r w:rsidR="007A4C3F">
              <w:rPr>
                <w:b/>
              </w:rPr>
              <w:t>État partie</w:t>
            </w:r>
          </w:p>
        </w:tc>
      </w:tr>
      <w:tr w:rsidR="00523287" w:rsidRPr="0048158F" w:rsidTr="00C72AD7">
        <w:trPr>
          <w:cantSplit/>
        </w:trPr>
        <w:tc>
          <w:tcPr>
            <w:tcW w:w="7371" w:type="dxa"/>
            <w:gridSpan w:val="2"/>
            <w:shd w:val="clear" w:color="auto" w:fill="auto"/>
          </w:tcPr>
          <w:p w:rsidR="00523287" w:rsidRPr="0048158F" w:rsidRDefault="00523287" w:rsidP="00EA68A0">
            <w:pPr>
              <w:spacing w:before="40" w:after="120"/>
              <w:jc w:val="both"/>
              <w:rPr>
                <w:lang w:val="fr-FR"/>
              </w:rPr>
            </w:pPr>
            <w:r>
              <w:t xml:space="preserve">L’examen des plaintes au titre du Protocole facultatif de la Convention devrait </w:t>
            </w:r>
            <w:r w:rsidRPr="003300CF">
              <w:rPr>
                <w:rFonts w:cs="Aharoni"/>
              </w:rPr>
              <w:t>notamment</w:t>
            </w:r>
            <w:r>
              <w:t xml:space="preserve"> reposer sur le principe qu’en cas d’allégation de violation la charge de la preuve incombe, au moins au début, à l’auteur. Les constatations du Comité n’abordent pas la question, qui a été soulevée par l’État partie dans ses observations.</w:t>
            </w:r>
          </w:p>
        </w:tc>
      </w:tr>
      <w:tr w:rsidR="00523287" w:rsidRPr="0048158F" w:rsidTr="00C72AD7">
        <w:trPr>
          <w:cantSplit/>
        </w:trPr>
        <w:tc>
          <w:tcPr>
            <w:tcW w:w="7371" w:type="dxa"/>
            <w:gridSpan w:val="2"/>
            <w:shd w:val="clear" w:color="auto" w:fill="auto"/>
          </w:tcPr>
          <w:p w:rsidR="00523287" w:rsidRPr="0048158F" w:rsidRDefault="00523287" w:rsidP="00EA68A0">
            <w:pPr>
              <w:spacing w:before="40" w:after="120"/>
              <w:jc w:val="both"/>
              <w:rPr>
                <w:lang w:val="fr-FR"/>
              </w:rPr>
            </w:pPr>
            <w:r>
              <w:t xml:space="preserve">L’auteure de la communication n’a pas pu apporter de preuve des circonstances factuelles sur lesquelles sa plainte est fondée. Elle n’a pas démontré que son droit à des soins médicaux et de réadaptation n’avait pas été respecté par le </w:t>
            </w:r>
            <w:r w:rsidRPr="00617D83">
              <w:t>conseil de comté.</w:t>
            </w:r>
          </w:p>
        </w:tc>
      </w:tr>
      <w:tr w:rsidR="00523287" w:rsidRPr="0048158F" w:rsidTr="00C72AD7">
        <w:trPr>
          <w:cantSplit/>
        </w:trPr>
        <w:tc>
          <w:tcPr>
            <w:tcW w:w="7371" w:type="dxa"/>
            <w:gridSpan w:val="2"/>
            <w:shd w:val="clear" w:color="auto" w:fill="auto"/>
          </w:tcPr>
          <w:p w:rsidR="00523287" w:rsidRPr="00122C7A" w:rsidRDefault="00523287" w:rsidP="00EA68A0">
            <w:pPr>
              <w:spacing w:before="40" w:after="120"/>
              <w:jc w:val="both"/>
              <w:rPr>
                <w:spacing w:val="-1"/>
              </w:rPr>
            </w:pPr>
            <w:r w:rsidRPr="00122C7A">
              <w:rPr>
                <w:spacing w:val="-1"/>
              </w:rPr>
              <w:t>La législation suédoise est conforme aux articles de la Convention invoqués</w:t>
            </w:r>
            <w:r w:rsidR="00D944D9" w:rsidRPr="00122C7A">
              <w:rPr>
                <w:spacing w:val="-1"/>
              </w:rPr>
              <w:t xml:space="preserve"> </w:t>
            </w:r>
            <w:r w:rsidRPr="00122C7A">
              <w:rPr>
                <w:spacing w:val="-1"/>
              </w:rPr>
              <w:t>par l’auteure</w:t>
            </w:r>
            <w:r w:rsidR="00EA68A0">
              <w:rPr>
                <w:spacing w:val="-1"/>
              </w:rPr>
              <w:t xml:space="preserve"> </w:t>
            </w:r>
            <w:r w:rsidRPr="00122C7A">
              <w:rPr>
                <w:spacing w:val="-1"/>
              </w:rPr>
              <w:t>de la communication. La compatibilité de la législation de la Suède avec</w:t>
            </w:r>
            <w:r w:rsidR="00D944D9" w:rsidRPr="00122C7A">
              <w:rPr>
                <w:spacing w:val="-1"/>
              </w:rPr>
              <w:t xml:space="preserve"> </w:t>
            </w:r>
            <w:r w:rsidRPr="00122C7A">
              <w:rPr>
                <w:spacing w:val="-1"/>
              </w:rPr>
              <w:t>les articles de la</w:t>
            </w:r>
            <w:r w:rsidR="00122C7A">
              <w:rPr>
                <w:spacing w:val="-1"/>
              </w:rPr>
              <w:t xml:space="preserve"> </w:t>
            </w:r>
            <w:r w:rsidRPr="00122C7A">
              <w:rPr>
                <w:spacing w:val="-1"/>
              </w:rPr>
              <w:t>Convention ne peut pas être appréciée au regard de la seule loi sur la planification et la</w:t>
            </w:r>
            <w:r w:rsidR="00122C7A">
              <w:rPr>
                <w:spacing w:val="-1"/>
              </w:rPr>
              <w:t xml:space="preserve"> </w:t>
            </w:r>
            <w:r w:rsidRPr="00122C7A">
              <w:rPr>
                <w:spacing w:val="-1"/>
              </w:rPr>
              <w:t>construction, qui n’a pas pour objet de faire respecter les droits des personnes handicapées. D’autres lois plus pertinentes doivent être prises en compte,</w:t>
            </w:r>
            <w:r w:rsidR="00AF4E27" w:rsidRPr="00122C7A">
              <w:rPr>
                <w:spacing w:val="-1"/>
              </w:rPr>
              <w:t xml:space="preserve"> </w:t>
            </w:r>
            <w:r w:rsidR="000E1CF5" w:rsidRPr="00122C7A">
              <w:rPr>
                <w:spacing w:val="-1"/>
              </w:rPr>
              <w:t>c</w:t>
            </w:r>
            <w:r w:rsidRPr="00122C7A">
              <w:rPr>
                <w:spacing w:val="-1"/>
              </w:rPr>
              <w:t>omme la loi sur les soins de santé et les services médicaux. La législation suédoise</w:t>
            </w:r>
            <w:r w:rsidR="00AF4E27" w:rsidRPr="00122C7A">
              <w:rPr>
                <w:spacing w:val="-1"/>
              </w:rPr>
              <w:t xml:space="preserve"> </w:t>
            </w:r>
            <w:r w:rsidR="00D944D9" w:rsidRPr="00122C7A">
              <w:rPr>
                <w:spacing w:val="-1"/>
              </w:rPr>
              <w:t>d</w:t>
            </w:r>
            <w:r w:rsidRPr="00122C7A">
              <w:rPr>
                <w:spacing w:val="-1"/>
              </w:rPr>
              <w:t>ans son ensemble est compatible avec les articles invoqués par l’auteure de la plainte. Les</w:t>
            </w:r>
            <w:r w:rsidR="00125D6C" w:rsidRPr="00122C7A">
              <w:rPr>
                <w:spacing w:val="-1"/>
              </w:rPr>
              <w:t> </w:t>
            </w:r>
            <w:r w:rsidRPr="00122C7A">
              <w:rPr>
                <w:spacing w:val="-1"/>
              </w:rPr>
              <w:t>constatations du Comité ne donnent pas matière à modifier la législation suédoise.</w:t>
            </w:r>
          </w:p>
        </w:tc>
      </w:tr>
      <w:tr w:rsidR="00523287" w:rsidRPr="0048158F" w:rsidTr="00C72AD7">
        <w:trPr>
          <w:cantSplit/>
        </w:trPr>
        <w:tc>
          <w:tcPr>
            <w:tcW w:w="7371" w:type="dxa"/>
            <w:gridSpan w:val="2"/>
            <w:shd w:val="clear" w:color="auto" w:fill="auto"/>
          </w:tcPr>
          <w:p w:rsidR="00523287" w:rsidRPr="0048158F" w:rsidRDefault="00523287" w:rsidP="00EA68A0">
            <w:pPr>
              <w:spacing w:before="40" w:after="120"/>
              <w:jc w:val="both"/>
              <w:rPr>
                <w:lang w:val="fr-FR"/>
              </w:rPr>
            </w:pPr>
            <w:r>
              <w:t>La Constitution de la Suède ne permet pas au Gouvernement d’influer sur les décisions prises dans des cas particuliers de demande de permis de construire.</w:t>
            </w:r>
          </w:p>
        </w:tc>
      </w:tr>
      <w:tr w:rsidR="00523287" w:rsidRPr="00575255" w:rsidTr="00C72AD7">
        <w:trPr>
          <w:cantSplit/>
        </w:trPr>
        <w:tc>
          <w:tcPr>
            <w:tcW w:w="7371" w:type="dxa"/>
            <w:gridSpan w:val="2"/>
            <w:shd w:val="clear" w:color="auto" w:fill="auto"/>
          </w:tcPr>
          <w:p w:rsidR="00523287" w:rsidRPr="00575255" w:rsidRDefault="00523287" w:rsidP="00350F3D">
            <w:pPr>
              <w:keepNext/>
              <w:spacing w:before="40" w:after="120"/>
              <w:rPr>
                <w:b/>
              </w:rPr>
            </w:pPr>
            <w:r w:rsidRPr="00575255">
              <w:rPr>
                <w:b/>
              </w:rPr>
              <w:t>Résumé des commentaires du conseil de l</w:t>
            </w:r>
            <w:r>
              <w:rPr>
                <w:b/>
              </w:rPr>
              <w:t>’</w:t>
            </w:r>
            <w:r w:rsidR="00A565CD">
              <w:rPr>
                <w:b/>
              </w:rPr>
              <w:t>auteur</w:t>
            </w:r>
          </w:p>
        </w:tc>
      </w:tr>
      <w:tr w:rsidR="00523287" w:rsidRPr="003300CF" w:rsidTr="00C72AD7">
        <w:trPr>
          <w:cantSplit/>
        </w:trPr>
        <w:tc>
          <w:tcPr>
            <w:tcW w:w="7371" w:type="dxa"/>
            <w:gridSpan w:val="2"/>
            <w:shd w:val="clear" w:color="auto" w:fill="auto"/>
          </w:tcPr>
          <w:p w:rsidR="00523287" w:rsidRPr="003300CF" w:rsidRDefault="00523287" w:rsidP="00950CB0">
            <w:pPr>
              <w:spacing w:before="40" w:after="120"/>
              <w:rPr>
                <w:lang w:val="fr-FR"/>
              </w:rPr>
            </w:pPr>
            <w:r w:rsidRPr="003300CF">
              <w:t>Pas de commentaire.</w:t>
            </w:r>
          </w:p>
        </w:tc>
      </w:tr>
      <w:tr w:rsidR="00523287" w:rsidRPr="00575255" w:rsidTr="00C72AD7">
        <w:trPr>
          <w:cantSplit/>
        </w:trPr>
        <w:tc>
          <w:tcPr>
            <w:tcW w:w="7371" w:type="dxa"/>
            <w:gridSpan w:val="2"/>
            <w:shd w:val="clear" w:color="auto" w:fill="auto"/>
          </w:tcPr>
          <w:p w:rsidR="00523287" w:rsidRPr="00575255" w:rsidRDefault="00523287" w:rsidP="00350F3D">
            <w:pPr>
              <w:keepNext/>
              <w:spacing w:before="40" w:after="120"/>
              <w:rPr>
                <w:b/>
              </w:rPr>
            </w:pPr>
            <w:r>
              <w:rPr>
                <w:b/>
              </w:rPr>
              <w:t>Appréciation</w:t>
            </w:r>
            <w:r w:rsidR="0037496E">
              <w:rPr>
                <w:b/>
              </w:rPr>
              <w:t xml:space="preserve"> du Comité</w:t>
            </w:r>
          </w:p>
        </w:tc>
      </w:tr>
      <w:tr w:rsidR="00523287" w:rsidRPr="003300CF" w:rsidTr="00C72AD7">
        <w:trPr>
          <w:cantSplit/>
        </w:trPr>
        <w:tc>
          <w:tcPr>
            <w:tcW w:w="7371" w:type="dxa"/>
            <w:gridSpan w:val="2"/>
            <w:shd w:val="clear" w:color="auto" w:fill="auto"/>
          </w:tcPr>
          <w:p w:rsidR="00523287" w:rsidRPr="003300CF" w:rsidRDefault="00523287" w:rsidP="00350F3D">
            <w:pPr>
              <w:spacing w:before="40" w:after="120"/>
              <w:rPr>
                <w:b/>
              </w:rPr>
            </w:pPr>
            <w:r w:rsidRPr="003300CF">
              <w:rPr>
                <w:b/>
              </w:rPr>
              <w:t>[C1</w:t>
            </w:r>
            <w:r w:rsidRPr="00644BC9">
              <w:rPr>
                <w:b/>
                <w:spacing w:val="-2"/>
              </w:rPr>
              <w:t>]: Les renseignements communiqués ne permettent pas de remédier à la situation</w:t>
            </w:r>
            <w:r w:rsidRPr="003300CF">
              <w:rPr>
                <w:b/>
              </w:rPr>
              <w:t>.</w:t>
            </w:r>
          </w:p>
        </w:tc>
      </w:tr>
      <w:tr w:rsidR="00523287" w:rsidRPr="0048158F" w:rsidTr="00C72AD7">
        <w:trPr>
          <w:cantSplit/>
        </w:trPr>
        <w:tc>
          <w:tcPr>
            <w:tcW w:w="7371" w:type="dxa"/>
            <w:gridSpan w:val="2"/>
            <w:shd w:val="clear" w:color="auto" w:fill="auto"/>
          </w:tcPr>
          <w:p w:rsidR="00523287" w:rsidRPr="004E0679" w:rsidRDefault="00523287" w:rsidP="00EA68A0">
            <w:pPr>
              <w:spacing w:before="40" w:after="120"/>
              <w:jc w:val="both"/>
              <w:rPr>
                <w:spacing w:val="-1"/>
                <w:lang w:val="fr-FR"/>
              </w:rPr>
            </w:pPr>
            <w:r w:rsidRPr="004E0679">
              <w:rPr>
                <w:spacing w:val="-1"/>
              </w:rPr>
              <w:t xml:space="preserve">Le Comité </w:t>
            </w:r>
            <w:r w:rsidR="004B21FB" w:rsidRPr="004E0679">
              <w:rPr>
                <w:spacing w:val="-1"/>
              </w:rPr>
              <w:t xml:space="preserve">rappelle </w:t>
            </w:r>
            <w:r w:rsidRPr="004E0679">
              <w:rPr>
                <w:spacing w:val="-1"/>
              </w:rPr>
              <w:t>à l’État partie que les dispositions de la Convention ont force obligatoire pour chaque État partie pris dans sa globalité. Tous les organes du pouvoir (exécutif, législatif et judiciaire), de même que les autres autorités publiques ou gouvernementales, à</w:t>
            </w:r>
            <w:r w:rsidR="004E0679">
              <w:rPr>
                <w:spacing w:val="-1"/>
              </w:rPr>
              <w:t> </w:t>
            </w:r>
            <w:r w:rsidRPr="004E0679">
              <w:rPr>
                <w:spacing w:val="-1"/>
              </w:rPr>
              <w:t xml:space="preserve">tous les niveaux </w:t>
            </w:r>
            <w:r w:rsidR="00D20359" w:rsidRPr="004E0679">
              <w:rPr>
                <w:spacing w:val="-1"/>
              </w:rPr>
              <w:t>−</w:t>
            </w:r>
            <w:r w:rsidRPr="004E0679">
              <w:rPr>
                <w:spacing w:val="-1"/>
              </w:rPr>
              <w:t> national, régional ou local </w:t>
            </w:r>
            <w:r w:rsidR="00D20359" w:rsidRPr="004E0679">
              <w:rPr>
                <w:spacing w:val="-1"/>
              </w:rPr>
              <w:t>−</w:t>
            </w:r>
            <w:r w:rsidRPr="004E0679">
              <w:rPr>
                <w:spacing w:val="-1"/>
              </w:rPr>
              <w:t xml:space="preserve"> peuvent engager la responsabilité de l’État partie. L’organe exécutif, qui représente généralement l’État partie</w:t>
            </w:r>
            <w:r w:rsidR="004E0679" w:rsidRPr="004E0679">
              <w:rPr>
                <w:spacing w:val="-1"/>
              </w:rPr>
              <w:t xml:space="preserve"> </w:t>
            </w:r>
            <w:r w:rsidRPr="004E0679">
              <w:rPr>
                <w:spacing w:val="-1"/>
              </w:rPr>
              <w:t>à l’échelon international, y</w:t>
            </w:r>
            <w:r w:rsidR="004E0679" w:rsidRPr="004E0679">
              <w:rPr>
                <w:spacing w:val="-1"/>
              </w:rPr>
              <w:t> </w:t>
            </w:r>
            <w:r w:rsidRPr="004E0679">
              <w:rPr>
                <w:spacing w:val="-1"/>
              </w:rPr>
              <w:t>compris devant le Comité, ne peut pas prendre argument du fait qu’une décision incompatible avec les dispositions de la Convention a été prise par</w:t>
            </w:r>
            <w:r w:rsidR="003E4D35" w:rsidRPr="004E0679">
              <w:rPr>
                <w:spacing w:val="-1"/>
              </w:rPr>
              <w:t xml:space="preserve"> </w:t>
            </w:r>
            <w:r w:rsidRPr="004E0679">
              <w:rPr>
                <w:spacing w:val="-1"/>
              </w:rPr>
              <w:t>un autre organe du Gouvernement pour soutenir que l’État partie n’est pas responsable</w:t>
            </w:r>
            <w:r w:rsidR="003E4D35" w:rsidRPr="004E0679">
              <w:rPr>
                <w:spacing w:val="-1"/>
              </w:rPr>
              <w:t xml:space="preserve"> </w:t>
            </w:r>
            <w:r w:rsidRPr="004E0679">
              <w:rPr>
                <w:spacing w:val="-1"/>
              </w:rPr>
              <w:t>de ladite décision et de l’incompatibilité qui en découle. Cette interprétation procède directement</w:t>
            </w:r>
            <w:r w:rsidR="004E0679" w:rsidRPr="004E0679">
              <w:rPr>
                <w:spacing w:val="-1"/>
              </w:rPr>
              <w:t xml:space="preserve"> </w:t>
            </w:r>
            <w:r w:rsidRPr="004E0679">
              <w:rPr>
                <w:spacing w:val="-1"/>
              </w:rPr>
              <w:t xml:space="preserve">du principe énoncé à l’article 27 de la Convention de Vienne sur le droit des traités, selon lequel un État partie </w:t>
            </w:r>
            <w:r w:rsidRPr="004E0679">
              <w:rPr>
                <w:rFonts w:hint="cs"/>
                <w:spacing w:val="-1"/>
              </w:rPr>
              <w:t>«</w:t>
            </w:r>
            <w:r w:rsidRPr="004E0679">
              <w:rPr>
                <w:spacing w:val="-1"/>
              </w:rPr>
              <w:t>ne peut invoquer les dispositions de son droit interne comme justifiant la </w:t>
            </w:r>
            <w:proofErr w:type="spellStart"/>
            <w:r w:rsidRPr="004E0679">
              <w:rPr>
                <w:spacing w:val="-1"/>
              </w:rPr>
              <w:t>non</w:t>
            </w:r>
            <w:r w:rsidRPr="004E0679">
              <w:rPr>
                <w:spacing w:val="-1"/>
              </w:rPr>
              <w:noBreakHyphen/>
              <w:t>exécution</w:t>
            </w:r>
            <w:proofErr w:type="spellEnd"/>
            <w:r w:rsidRPr="004E0679">
              <w:rPr>
                <w:spacing w:val="-1"/>
              </w:rPr>
              <w:t xml:space="preserve"> d’un</w:t>
            </w:r>
            <w:r w:rsidR="004E0679" w:rsidRPr="004E0679">
              <w:rPr>
                <w:spacing w:val="-1"/>
              </w:rPr>
              <w:t> </w:t>
            </w:r>
            <w:r w:rsidRPr="004E0679">
              <w:rPr>
                <w:spacing w:val="-1"/>
              </w:rPr>
              <w:t>traité</w:t>
            </w:r>
            <w:r w:rsidRPr="004E0679">
              <w:rPr>
                <w:rFonts w:hint="cs"/>
                <w:spacing w:val="-1"/>
              </w:rPr>
              <w:t>»</w:t>
            </w:r>
            <w:r w:rsidRPr="004E0679">
              <w:rPr>
                <w:spacing w:val="-1"/>
              </w:rPr>
              <w:t>.</w:t>
            </w:r>
          </w:p>
        </w:tc>
      </w:tr>
      <w:tr w:rsidR="00523287" w:rsidRPr="0048158F" w:rsidTr="00C72AD7">
        <w:trPr>
          <w:cantSplit/>
        </w:trPr>
        <w:tc>
          <w:tcPr>
            <w:tcW w:w="7371" w:type="dxa"/>
            <w:gridSpan w:val="2"/>
            <w:shd w:val="clear" w:color="auto" w:fill="auto"/>
          </w:tcPr>
          <w:p w:rsidR="00523287" w:rsidRPr="0048158F" w:rsidRDefault="00523287" w:rsidP="0094634F">
            <w:pPr>
              <w:spacing w:before="40" w:after="120"/>
              <w:jc w:val="both"/>
              <w:rPr>
                <w:lang w:val="fr-FR"/>
              </w:rPr>
            </w:pPr>
            <w:r>
              <w:rPr>
                <w:rFonts w:cs="Aharoni"/>
              </w:rPr>
              <w:t xml:space="preserve">S’agissant de la position de l’État partie au sujet de la conformité de la loi </w:t>
            </w:r>
            <w:r>
              <w:t>sur la planification et</w:t>
            </w:r>
            <w:r w:rsidR="00D944D9">
              <w:t xml:space="preserve"> </w:t>
            </w:r>
            <w:r>
              <w:t xml:space="preserve">la construction avec la Convention, le Comité </w:t>
            </w:r>
            <w:r w:rsidR="00350F3D">
              <w:t xml:space="preserve">rappelle </w:t>
            </w:r>
            <w:r>
              <w:t>à l’État partie que tous les textes législatifs, quel qu’en soit l’objet, doivent être appliqués d’une manière compatible avec les normes internationales relatives aux droits de l’homme</w:t>
            </w:r>
            <w:r w:rsidR="00350F3D">
              <w:t>, et que toutes les modifications et tous les ajustements nécessaires et appropriés n’imposant pas à l’État partie de charges disproportionnées ou indues doivent être apportés, en fonction des besoins dans une situation donnée, pour assurer aux personnes handicapées la jouissance ou l’exercice, sur la base de l’égalité avec les autres, de tous les droits de l’homme et de toutes les libertés fondamentales.</w:t>
            </w:r>
          </w:p>
        </w:tc>
      </w:tr>
      <w:tr w:rsidR="00350F3D" w:rsidRPr="0048158F" w:rsidTr="00C72AD7">
        <w:trPr>
          <w:cantSplit/>
        </w:trPr>
        <w:tc>
          <w:tcPr>
            <w:tcW w:w="7371" w:type="dxa"/>
            <w:gridSpan w:val="2"/>
            <w:shd w:val="clear" w:color="auto" w:fill="auto"/>
          </w:tcPr>
          <w:p w:rsidR="00350F3D" w:rsidRPr="00704425" w:rsidRDefault="00350F3D" w:rsidP="0094634F">
            <w:pPr>
              <w:spacing w:before="40" w:after="120"/>
              <w:jc w:val="both"/>
              <w:rPr>
                <w:rFonts w:cs="Aharoni"/>
              </w:rPr>
            </w:pPr>
            <w:r>
              <w:rPr>
                <w:rFonts w:cs="Aharoni"/>
              </w:rPr>
              <w:t xml:space="preserve">Le </w:t>
            </w:r>
            <w:r w:rsidR="00DB21F8">
              <w:rPr>
                <w:rFonts w:cs="Aharoni"/>
              </w:rPr>
              <w:t>Comité prie l’État partie de bien vouloir donner des renseignements complémentaires sur: a) les mesures prises pour donner suite à ses constatations et à sa recommandation</w:t>
            </w:r>
            <w:r w:rsidR="00EA68A0">
              <w:rPr>
                <w:rFonts w:cs="Aharoni"/>
              </w:rPr>
              <w:t xml:space="preserve"> </w:t>
            </w:r>
            <w:r w:rsidR="00274648">
              <w:rPr>
                <w:rFonts w:cs="Aharoni"/>
              </w:rPr>
              <w:t>d</w:t>
            </w:r>
            <w:r w:rsidR="00DB21F8">
              <w:rPr>
                <w:rFonts w:cs="Aharoni"/>
              </w:rPr>
              <w:t xml:space="preserve">ans l’affaire </w:t>
            </w:r>
            <w:r w:rsidR="00704425">
              <w:rPr>
                <w:rFonts w:cs="Aharoni"/>
                <w:i/>
              </w:rPr>
              <w:t>H. M. </w:t>
            </w:r>
            <w:r w:rsidR="00704425">
              <w:rPr>
                <w:rFonts w:cs="Aharoni"/>
              </w:rPr>
              <w:t xml:space="preserve"> c. </w:t>
            </w:r>
            <w:r w:rsidR="00704425">
              <w:rPr>
                <w:rFonts w:cs="Aharoni"/>
                <w:i/>
              </w:rPr>
              <w:t>Suède</w:t>
            </w:r>
            <w:r w:rsidR="00704425">
              <w:rPr>
                <w:rFonts w:cs="Aharoni"/>
              </w:rPr>
              <w:t>; et b) la possibilité, selon la législation nationale et locale applicable, d’accorder un permis de construire à titre exceptionnel en vertu du principe de l’aménagement raisonnable.</w:t>
            </w:r>
          </w:p>
        </w:tc>
      </w:tr>
      <w:tr w:rsidR="00523287" w:rsidRPr="00704425" w:rsidTr="00C72AD7">
        <w:trPr>
          <w:cantSplit/>
        </w:trPr>
        <w:tc>
          <w:tcPr>
            <w:tcW w:w="7371" w:type="dxa"/>
            <w:gridSpan w:val="2"/>
            <w:shd w:val="clear" w:color="auto" w:fill="auto"/>
          </w:tcPr>
          <w:p w:rsidR="00523287" w:rsidRPr="00704425" w:rsidRDefault="00704425" w:rsidP="00673F2C">
            <w:pPr>
              <w:keepNext/>
              <w:spacing w:before="40" w:after="120"/>
              <w:rPr>
                <w:b/>
              </w:rPr>
            </w:pPr>
            <w:r>
              <w:rPr>
                <w:b/>
              </w:rPr>
              <w:t>Paragraphe 10</w:t>
            </w:r>
          </w:p>
        </w:tc>
      </w:tr>
      <w:tr w:rsidR="00523287" w:rsidRPr="00673F2C" w:rsidTr="00C72AD7">
        <w:trPr>
          <w:cantSplit/>
        </w:trPr>
        <w:tc>
          <w:tcPr>
            <w:tcW w:w="7371" w:type="dxa"/>
            <w:gridSpan w:val="2"/>
            <w:shd w:val="clear" w:color="auto" w:fill="auto"/>
          </w:tcPr>
          <w:p w:rsidR="00523287" w:rsidRPr="00A2082C" w:rsidRDefault="00523287" w:rsidP="0094634F">
            <w:pPr>
              <w:spacing w:before="40" w:after="120"/>
              <w:jc w:val="both"/>
              <w:rPr>
                <w:rFonts w:cs="Aharoni"/>
                <w:b/>
                <w:spacing w:val="-2"/>
              </w:rPr>
            </w:pPr>
            <w:r w:rsidRPr="00A2082C">
              <w:rPr>
                <w:rFonts w:cs="Aharoni"/>
                <w:b/>
                <w:spacing w:val="-2"/>
              </w:rPr>
              <w:t>Conformément à l’article 5 du Protocole facultatif et à l’article 75 du Règlement intérieur</w:t>
            </w:r>
            <w:r w:rsidR="00A2082C">
              <w:rPr>
                <w:rFonts w:cs="Aharoni"/>
                <w:b/>
                <w:spacing w:val="-2"/>
              </w:rPr>
              <w:t xml:space="preserve"> </w:t>
            </w:r>
            <w:r w:rsidRPr="00A2082C">
              <w:rPr>
                <w:rFonts w:cs="Aharoni"/>
                <w:b/>
                <w:spacing w:val="-2"/>
              </w:rPr>
              <w:t>du Comité, l’État partie est invité à transmettre au Comité, dans un délai</w:t>
            </w:r>
            <w:r w:rsidR="0094634F">
              <w:rPr>
                <w:rFonts w:cs="Aharoni"/>
                <w:b/>
                <w:spacing w:val="-2"/>
              </w:rPr>
              <w:t xml:space="preserve"> </w:t>
            </w:r>
            <w:r w:rsidRPr="00A2082C">
              <w:rPr>
                <w:rFonts w:cs="Aharoni"/>
                <w:b/>
                <w:spacing w:val="-2"/>
              </w:rPr>
              <w:t>de six mois, une réponse écrite dans laquelle il indiquera toute mesure qu’il aura pu prendre à la lumière</w:t>
            </w:r>
            <w:r w:rsidR="00A2082C">
              <w:rPr>
                <w:rFonts w:cs="Aharoni"/>
                <w:b/>
                <w:spacing w:val="-2"/>
              </w:rPr>
              <w:t xml:space="preserve"> </w:t>
            </w:r>
            <w:r w:rsidRPr="00A2082C">
              <w:rPr>
                <w:rFonts w:cs="Aharoni"/>
                <w:b/>
                <w:spacing w:val="-2"/>
              </w:rPr>
              <w:t>des constatations et recommandations du Comité. L’État partie est invité en outre</w:t>
            </w:r>
            <w:r w:rsidR="004F146D" w:rsidRPr="00A2082C">
              <w:rPr>
                <w:rFonts w:cs="Aharoni"/>
                <w:b/>
                <w:spacing w:val="-2"/>
              </w:rPr>
              <w:t xml:space="preserve"> </w:t>
            </w:r>
            <w:r w:rsidRPr="00A2082C">
              <w:rPr>
                <w:rFonts w:cs="Aharoni"/>
                <w:b/>
                <w:spacing w:val="-2"/>
              </w:rPr>
              <w:t>à rendre publiques les présentes constatations, à les faire traduire dans</w:t>
            </w:r>
            <w:r w:rsidR="00A2082C">
              <w:rPr>
                <w:rFonts w:cs="Aharoni"/>
                <w:b/>
                <w:spacing w:val="-2"/>
              </w:rPr>
              <w:br/>
            </w:r>
            <w:r w:rsidRPr="00A2082C">
              <w:rPr>
                <w:rFonts w:cs="Aharoni"/>
                <w:b/>
                <w:spacing w:val="-2"/>
              </w:rPr>
              <w:t>la langue officielle</w:t>
            </w:r>
            <w:r w:rsidR="004F146D" w:rsidRPr="00A2082C">
              <w:rPr>
                <w:rFonts w:cs="Aharoni"/>
                <w:b/>
                <w:spacing w:val="-2"/>
              </w:rPr>
              <w:t xml:space="preserve"> </w:t>
            </w:r>
            <w:r w:rsidRPr="00A2082C">
              <w:rPr>
                <w:rFonts w:cs="Aharoni"/>
                <w:b/>
                <w:spacing w:val="-2"/>
              </w:rPr>
              <w:t>et à les diffuser largement, sous des formes accessibles, auprès de tous les secteurs de la</w:t>
            </w:r>
            <w:r w:rsidR="00634ABE" w:rsidRPr="00A2082C">
              <w:rPr>
                <w:rFonts w:cs="Aharoni"/>
                <w:b/>
                <w:spacing w:val="-2"/>
              </w:rPr>
              <w:t> </w:t>
            </w:r>
            <w:r w:rsidRPr="00A2082C">
              <w:rPr>
                <w:rFonts w:cs="Aharoni"/>
                <w:b/>
                <w:spacing w:val="-2"/>
              </w:rPr>
              <w:t>population.</w:t>
            </w:r>
          </w:p>
        </w:tc>
      </w:tr>
      <w:tr w:rsidR="00523287" w:rsidRPr="00E31DC7" w:rsidTr="00C72AD7">
        <w:trPr>
          <w:cantSplit/>
        </w:trPr>
        <w:tc>
          <w:tcPr>
            <w:tcW w:w="7371" w:type="dxa"/>
            <w:gridSpan w:val="2"/>
            <w:shd w:val="clear" w:color="auto" w:fill="auto"/>
          </w:tcPr>
          <w:p w:rsidR="00523287" w:rsidRPr="00E31DC7" w:rsidRDefault="00523287" w:rsidP="00436976">
            <w:pPr>
              <w:keepNext/>
              <w:spacing w:before="40" w:after="120"/>
              <w:ind w:right="113"/>
              <w:rPr>
                <w:b/>
              </w:rPr>
            </w:pPr>
            <w:r w:rsidRPr="00E31DC7">
              <w:rPr>
                <w:b/>
              </w:rPr>
              <w:t>Résumé de la réponse de l</w:t>
            </w:r>
            <w:r>
              <w:rPr>
                <w:b/>
              </w:rPr>
              <w:t>’</w:t>
            </w:r>
            <w:r w:rsidR="008723D2">
              <w:rPr>
                <w:b/>
              </w:rPr>
              <w:t>État partie</w:t>
            </w:r>
          </w:p>
        </w:tc>
      </w:tr>
      <w:tr w:rsidR="00523287" w:rsidRPr="0048158F" w:rsidTr="00C72AD7">
        <w:trPr>
          <w:cantSplit/>
        </w:trPr>
        <w:tc>
          <w:tcPr>
            <w:tcW w:w="7371" w:type="dxa"/>
            <w:gridSpan w:val="2"/>
            <w:shd w:val="clear" w:color="auto" w:fill="auto"/>
          </w:tcPr>
          <w:p w:rsidR="00523287" w:rsidRPr="0048158F" w:rsidRDefault="00523287" w:rsidP="0094634F">
            <w:pPr>
              <w:spacing w:before="40" w:after="120"/>
              <w:jc w:val="both"/>
              <w:rPr>
                <w:lang w:val="fr-FR"/>
              </w:rPr>
            </w:pPr>
            <w:r>
              <w:rPr>
                <w:rFonts w:cs="Aharoni"/>
              </w:rPr>
              <w:t>Les recommandations du Comité ont été traduites en suédois et envoyées au représentant</w:t>
            </w:r>
            <w:r w:rsidR="0094634F">
              <w:rPr>
                <w:rFonts w:cs="Aharoni"/>
              </w:rPr>
              <w:t xml:space="preserve"> </w:t>
            </w:r>
            <w:r>
              <w:rPr>
                <w:rFonts w:cs="Aharoni"/>
              </w:rPr>
              <w:t>de l’auteure de la communication et aux représentants des associations de handicapés. Le</w:t>
            </w:r>
            <w:r w:rsidR="00746A88">
              <w:rPr>
                <w:rFonts w:cs="Aharoni"/>
              </w:rPr>
              <w:t> </w:t>
            </w:r>
            <w:r>
              <w:rPr>
                <w:rFonts w:cs="Aharoni"/>
              </w:rPr>
              <w:t>Gouvernement a présenté oralement les constatations du Comité lors d’une réunion</w:t>
            </w:r>
            <w:r w:rsidR="0094634F">
              <w:rPr>
                <w:rFonts w:cs="Aharoni"/>
              </w:rPr>
              <w:t xml:space="preserve"> </w:t>
            </w:r>
            <w:r>
              <w:rPr>
                <w:rFonts w:cs="Aharoni"/>
              </w:rPr>
              <w:t xml:space="preserve">de concertation sur la Convention, le 31 août 2012. Les constatations du Comité (version originale et traduction) sont disponibles en ligne sur le site gouvernemental </w:t>
            </w:r>
            <w:r w:rsidRPr="00E31DC7">
              <w:t>consacré</w:t>
            </w:r>
            <w:r>
              <w:rPr>
                <w:rFonts w:cs="Aharoni"/>
              </w:rPr>
              <w:t xml:space="preserve"> aux droits de l’homme depuis le 10 septembre 2012, et seront prochainement accessibles sous forme de documents au format PDF et Word.</w:t>
            </w:r>
          </w:p>
        </w:tc>
      </w:tr>
      <w:tr w:rsidR="00523287" w:rsidRPr="0048158F" w:rsidTr="00C72AD7">
        <w:trPr>
          <w:cantSplit/>
        </w:trPr>
        <w:tc>
          <w:tcPr>
            <w:tcW w:w="7371" w:type="dxa"/>
            <w:gridSpan w:val="2"/>
            <w:shd w:val="clear" w:color="auto" w:fill="auto"/>
          </w:tcPr>
          <w:p w:rsidR="00523287" w:rsidRPr="0048158F" w:rsidRDefault="00523287" w:rsidP="0094634F">
            <w:pPr>
              <w:spacing w:before="40" w:after="120"/>
              <w:jc w:val="both"/>
              <w:rPr>
                <w:lang w:val="fr-FR"/>
              </w:rPr>
            </w:pPr>
            <w:r>
              <w:rPr>
                <w:rFonts w:cs="Aharoni"/>
              </w:rPr>
              <w:t>La traduction des recommandations en suédois sera aussi retranscrite dans des termes</w:t>
            </w:r>
            <w:r w:rsidR="0094634F">
              <w:rPr>
                <w:rFonts w:cs="Aharoni"/>
              </w:rPr>
              <w:t xml:space="preserve"> </w:t>
            </w:r>
            <w:r>
              <w:rPr>
                <w:rFonts w:cs="Aharoni"/>
              </w:rPr>
              <w:t xml:space="preserve">à la portée de tous. Un résumé des </w:t>
            </w:r>
            <w:r w:rsidRPr="00E31DC7">
              <w:t>constatations</w:t>
            </w:r>
            <w:r>
              <w:rPr>
                <w:rFonts w:cs="Aharoni"/>
              </w:rPr>
              <w:t xml:space="preserve"> du Comité est actuellement en cours d’élaboration au Ministère des affaires étrangères. Il sera lui aussi publié sur le site Internet gouvernemental consacré aux droits de l’homme à des formats accessibles. Les</w:t>
            </w:r>
            <w:r w:rsidR="006A76E5">
              <w:rPr>
                <w:rFonts w:cs="Aharoni"/>
              </w:rPr>
              <w:t> </w:t>
            </w:r>
            <w:r>
              <w:rPr>
                <w:rFonts w:cs="Aharoni"/>
              </w:rPr>
              <w:t>documents peuvent aussi être convertis sur demande à un autre format accessible.</w:t>
            </w:r>
          </w:p>
        </w:tc>
      </w:tr>
      <w:tr w:rsidR="00523287" w:rsidRPr="00575255" w:rsidTr="00C72AD7">
        <w:trPr>
          <w:cantSplit/>
        </w:trPr>
        <w:tc>
          <w:tcPr>
            <w:tcW w:w="7371" w:type="dxa"/>
            <w:gridSpan w:val="2"/>
            <w:shd w:val="clear" w:color="auto" w:fill="auto"/>
          </w:tcPr>
          <w:p w:rsidR="00523287" w:rsidRPr="00575255" w:rsidRDefault="00523287" w:rsidP="00436976">
            <w:pPr>
              <w:keepNext/>
              <w:spacing w:before="40" w:after="120"/>
              <w:ind w:right="113"/>
              <w:rPr>
                <w:b/>
              </w:rPr>
            </w:pPr>
            <w:r w:rsidRPr="00575255">
              <w:rPr>
                <w:b/>
              </w:rPr>
              <w:t>Résumé des commentaires du conseil de l</w:t>
            </w:r>
            <w:r>
              <w:rPr>
                <w:b/>
              </w:rPr>
              <w:t>’</w:t>
            </w:r>
            <w:r w:rsidR="008723D2">
              <w:rPr>
                <w:b/>
              </w:rPr>
              <w:t>auteur</w:t>
            </w:r>
          </w:p>
        </w:tc>
      </w:tr>
      <w:tr w:rsidR="00523287" w:rsidRPr="00E31DC7" w:rsidTr="00C72AD7">
        <w:trPr>
          <w:cantSplit/>
        </w:trPr>
        <w:tc>
          <w:tcPr>
            <w:tcW w:w="7371" w:type="dxa"/>
            <w:gridSpan w:val="2"/>
            <w:shd w:val="clear" w:color="auto" w:fill="auto"/>
          </w:tcPr>
          <w:p w:rsidR="00523287" w:rsidRPr="00E31DC7" w:rsidRDefault="00523287" w:rsidP="00950CB0">
            <w:pPr>
              <w:spacing w:before="40" w:after="120"/>
            </w:pPr>
            <w:r>
              <w:t>Pas de commentaire.</w:t>
            </w:r>
          </w:p>
        </w:tc>
      </w:tr>
      <w:tr w:rsidR="00523287" w:rsidRPr="00575255" w:rsidTr="00C72AD7">
        <w:trPr>
          <w:cantSplit/>
        </w:trPr>
        <w:tc>
          <w:tcPr>
            <w:tcW w:w="7371" w:type="dxa"/>
            <w:gridSpan w:val="2"/>
            <w:shd w:val="clear" w:color="auto" w:fill="auto"/>
          </w:tcPr>
          <w:p w:rsidR="00523287" w:rsidRPr="00575255" w:rsidRDefault="006C3BBC" w:rsidP="00436976">
            <w:pPr>
              <w:keepNext/>
              <w:spacing w:before="40" w:after="120"/>
              <w:ind w:right="113"/>
              <w:rPr>
                <w:b/>
              </w:rPr>
            </w:pPr>
            <w:r>
              <w:rPr>
                <w:b/>
              </w:rPr>
              <w:t>Appréciation du Comité</w:t>
            </w:r>
          </w:p>
        </w:tc>
      </w:tr>
      <w:tr w:rsidR="00523287" w:rsidRPr="00575255" w:rsidTr="00C72AD7">
        <w:trPr>
          <w:cantSplit/>
        </w:trPr>
        <w:tc>
          <w:tcPr>
            <w:tcW w:w="7371" w:type="dxa"/>
            <w:gridSpan w:val="2"/>
            <w:shd w:val="clear" w:color="auto" w:fill="auto"/>
          </w:tcPr>
          <w:p w:rsidR="00523287" w:rsidRPr="00575255" w:rsidRDefault="00523287" w:rsidP="00B729D4">
            <w:pPr>
              <w:spacing w:before="40" w:after="120"/>
              <w:ind w:right="113"/>
              <w:jc w:val="both"/>
              <w:rPr>
                <w:b/>
              </w:rPr>
            </w:pPr>
            <w:r w:rsidRPr="00575255">
              <w:rPr>
                <w:b/>
              </w:rPr>
              <w:t xml:space="preserve">[B2]: Une première série de mesures a été prise, mais des mesures </w:t>
            </w:r>
            <w:r w:rsidRPr="00022CAE">
              <w:rPr>
                <w:b/>
              </w:rPr>
              <w:t>supplémentaires</w:t>
            </w:r>
            <w:r w:rsidR="0094634F">
              <w:rPr>
                <w:b/>
              </w:rPr>
              <w:t xml:space="preserve"> </w:t>
            </w:r>
            <w:r w:rsidR="000D341D">
              <w:rPr>
                <w:b/>
              </w:rPr>
              <w:t xml:space="preserve">et un complément d’information </w:t>
            </w:r>
            <w:r w:rsidRPr="00022CAE">
              <w:rPr>
                <w:b/>
              </w:rPr>
              <w:t>sont nécessaires</w:t>
            </w:r>
            <w:r>
              <w:rPr>
                <w:b/>
              </w:rPr>
              <w:t xml:space="preserve"> </w:t>
            </w:r>
            <w:r w:rsidR="000D341D" w:rsidRPr="007A4C66">
              <w:t>pour garantir la pleine mise en</w:t>
            </w:r>
            <w:r w:rsidR="00AD19AF">
              <w:t> </w:t>
            </w:r>
            <w:r w:rsidR="000D341D" w:rsidRPr="007A4C66">
              <w:t>œuvre des mesures annoncées par l’État partie.</w:t>
            </w:r>
          </w:p>
        </w:tc>
      </w:tr>
      <w:tr w:rsidR="00523287" w:rsidRPr="00575255" w:rsidTr="00C72AD7">
        <w:trPr>
          <w:cantSplit/>
        </w:trPr>
        <w:tc>
          <w:tcPr>
            <w:tcW w:w="7371" w:type="dxa"/>
            <w:gridSpan w:val="2"/>
            <w:shd w:val="clear" w:color="auto" w:fill="auto"/>
          </w:tcPr>
          <w:p w:rsidR="00523287" w:rsidRPr="00575255" w:rsidRDefault="00676B1A" w:rsidP="00436976">
            <w:pPr>
              <w:keepNext/>
              <w:spacing w:before="40" w:after="120"/>
              <w:ind w:right="113"/>
              <w:rPr>
                <w:b/>
              </w:rPr>
            </w:pPr>
            <w:r>
              <w:rPr>
                <w:b/>
              </w:rPr>
              <w:t>Recommandations de suivi</w:t>
            </w:r>
          </w:p>
        </w:tc>
      </w:tr>
      <w:tr w:rsidR="00523287" w:rsidRPr="0048158F" w:rsidTr="00C72AD7">
        <w:trPr>
          <w:cantSplit/>
        </w:trPr>
        <w:tc>
          <w:tcPr>
            <w:tcW w:w="7371" w:type="dxa"/>
            <w:gridSpan w:val="2"/>
            <w:shd w:val="clear" w:color="auto" w:fill="auto"/>
          </w:tcPr>
          <w:p w:rsidR="00523287" w:rsidRPr="0048158F" w:rsidRDefault="00523287" w:rsidP="00B729D4">
            <w:pPr>
              <w:spacing w:before="40" w:after="120"/>
              <w:jc w:val="both"/>
              <w:rPr>
                <w:lang w:val="fr-FR"/>
              </w:rPr>
            </w:pPr>
            <w:r>
              <w:rPr>
                <w:rFonts w:cs="Aharoni"/>
              </w:rPr>
              <w:t xml:space="preserve">Poursuivre le dialogue, compte tenu des constatations C1/C1/B2 (mesures </w:t>
            </w:r>
            <w:r w:rsidR="0021740C">
              <w:rPr>
                <w:rFonts w:cs="Aharoni"/>
              </w:rPr>
              <w:t xml:space="preserve">initiales </w:t>
            </w:r>
            <w:r>
              <w:rPr>
                <w:rFonts w:cs="Aharoni"/>
              </w:rPr>
              <w:t>insatisfaisantes).</w:t>
            </w:r>
          </w:p>
        </w:tc>
      </w:tr>
      <w:tr w:rsidR="00523287" w:rsidRPr="0048158F" w:rsidTr="00C72AD7">
        <w:trPr>
          <w:cantSplit/>
        </w:trPr>
        <w:tc>
          <w:tcPr>
            <w:tcW w:w="7371" w:type="dxa"/>
            <w:gridSpan w:val="2"/>
            <w:tcBorders>
              <w:bottom w:val="single" w:sz="12" w:space="0" w:color="auto"/>
            </w:tcBorders>
            <w:shd w:val="clear" w:color="auto" w:fill="auto"/>
          </w:tcPr>
          <w:p w:rsidR="00523287" w:rsidRPr="00E972AF" w:rsidRDefault="001F2594" w:rsidP="00B729D4">
            <w:pPr>
              <w:spacing w:before="40" w:after="120"/>
              <w:jc w:val="both"/>
              <w:rPr>
                <w:spacing w:val="1"/>
                <w:lang w:val="fr-FR"/>
              </w:rPr>
            </w:pPr>
            <w:r w:rsidRPr="00E972AF">
              <w:rPr>
                <w:rFonts w:cs="Aharoni"/>
                <w:spacing w:val="1"/>
              </w:rPr>
              <w:t xml:space="preserve">Une </w:t>
            </w:r>
            <w:r w:rsidR="00523287" w:rsidRPr="00E972AF">
              <w:rPr>
                <w:rFonts w:cs="Aharoni"/>
                <w:spacing w:val="1"/>
              </w:rPr>
              <w:t>lettre rendant</w:t>
            </w:r>
            <w:r w:rsidRPr="00E972AF">
              <w:rPr>
                <w:rFonts w:cs="Aharoni"/>
                <w:spacing w:val="1"/>
              </w:rPr>
              <w:t xml:space="preserve"> compte de l’analyse du Comité sera adressée à l’État partie pour inviter la Mission permanente à une réunion avec le Rapporteur spécial chargé du suivi des constatations, le Rapporteur spécial sur les  nouvelles communications</w:t>
            </w:r>
            <w:r w:rsidR="00D91B9B" w:rsidRPr="00E972AF">
              <w:rPr>
                <w:rFonts w:cs="Aharoni"/>
                <w:spacing w:val="1"/>
              </w:rPr>
              <w:t xml:space="preserve"> et le Président du C</w:t>
            </w:r>
            <w:r w:rsidRPr="00E972AF">
              <w:rPr>
                <w:rFonts w:cs="Aharoni"/>
                <w:spacing w:val="1"/>
              </w:rPr>
              <w:t>omité.</w:t>
            </w:r>
          </w:p>
        </w:tc>
      </w:tr>
    </w:tbl>
    <w:p w:rsidR="00523287" w:rsidRPr="00787BFE" w:rsidRDefault="00787BFE" w:rsidP="00787BFE">
      <w:pPr>
        <w:pStyle w:val="SingleTxtG"/>
        <w:spacing w:before="240" w:after="0"/>
        <w:jc w:val="center"/>
        <w:rPr>
          <w:u w:val="single"/>
        </w:rPr>
      </w:pPr>
      <w:r>
        <w:rPr>
          <w:u w:val="single"/>
        </w:rPr>
        <w:tab/>
      </w:r>
      <w:r>
        <w:rPr>
          <w:u w:val="single"/>
        </w:rPr>
        <w:tab/>
      </w:r>
      <w:r>
        <w:rPr>
          <w:u w:val="single"/>
        </w:rPr>
        <w:tab/>
      </w:r>
    </w:p>
    <w:p w:rsidR="004407B7" w:rsidRPr="00287E79" w:rsidRDefault="004407B7" w:rsidP="00523287"/>
    <w:sectPr w:rsidR="004407B7" w:rsidRPr="00287E79" w:rsidSect="005232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193" w:rsidRDefault="00C50193"/>
  </w:endnote>
  <w:endnote w:type="continuationSeparator" w:id="0">
    <w:p w:rsidR="00C50193" w:rsidRDefault="00C50193"/>
  </w:endnote>
  <w:endnote w:type="continuationNotice" w:id="1">
    <w:p w:rsidR="00C50193" w:rsidRPr="00766910" w:rsidRDefault="00C50193"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193" w:rsidRPr="00523287" w:rsidRDefault="00C50193" w:rsidP="00523287">
    <w:pPr>
      <w:pStyle w:val="Footer"/>
      <w:tabs>
        <w:tab w:val="right" w:pos="9638"/>
      </w:tabs>
    </w:pPr>
    <w:r w:rsidRPr="00523287">
      <w:rPr>
        <w:b/>
        <w:sz w:val="18"/>
      </w:rPr>
      <w:fldChar w:fldCharType="begin"/>
    </w:r>
    <w:r w:rsidRPr="00523287">
      <w:rPr>
        <w:b/>
        <w:sz w:val="18"/>
      </w:rPr>
      <w:instrText xml:space="preserve"> PAGE  \* MERGEFORMAT </w:instrText>
    </w:r>
    <w:r w:rsidRPr="00523287">
      <w:rPr>
        <w:b/>
        <w:sz w:val="18"/>
      </w:rPr>
      <w:fldChar w:fldCharType="separate"/>
    </w:r>
    <w:r w:rsidR="00950CB0">
      <w:rPr>
        <w:b/>
        <w:noProof/>
        <w:sz w:val="18"/>
      </w:rPr>
      <w:t>6</w:t>
    </w:r>
    <w:r w:rsidRPr="00523287">
      <w:rPr>
        <w:b/>
        <w:sz w:val="18"/>
      </w:rPr>
      <w:fldChar w:fldCharType="end"/>
    </w:r>
    <w:r>
      <w:rPr>
        <w:b/>
        <w:sz w:val="18"/>
      </w:rPr>
      <w:tab/>
    </w:r>
    <w:r>
      <w:t>GE.13-48371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193" w:rsidRPr="00523287" w:rsidRDefault="00C50193" w:rsidP="00523287">
    <w:pPr>
      <w:pStyle w:val="Footer"/>
      <w:tabs>
        <w:tab w:val="right" w:pos="9638"/>
      </w:tabs>
      <w:rPr>
        <w:b/>
        <w:sz w:val="18"/>
      </w:rPr>
    </w:pPr>
    <w:r>
      <w:t>GE.13-48371</w:t>
    </w:r>
    <w:r>
      <w:tab/>
    </w:r>
    <w:r w:rsidRPr="00523287">
      <w:rPr>
        <w:b/>
        <w:sz w:val="18"/>
      </w:rPr>
      <w:fldChar w:fldCharType="begin"/>
    </w:r>
    <w:r w:rsidRPr="00523287">
      <w:rPr>
        <w:b/>
        <w:sz w:val="18"/>
      </w:rPr>
      <w:instrText xml:space="preserve"> PAGE  \* MERGEFORMAT </w:instrText>
    </w:r>
    <w:r w:rsidRPr="00523287">
      <w:rPr>
        <w:b/>
        <w:sz w:val="18"/>
      </w:rPr>
      <w:fldChar w:fldCharType="separate"/>
    </w:r>
    <w:r w:rsidR="00950CB0">
      <w:rPr>
        <w:b/>
        <w:noProof/>
        <w:sz w:val="18"/>
      </w:rPr>
      <w:t>5</w:t>
    </w:r>
    <w:r w:rsidRPr="005232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193" w:rsidRPr="00523287" w:rsidRDefault="00C50193" w:rsidP="0052328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13-48371  (F)    031213    041213</w:t>
    </w:r>
    <w:r>
      <w:rPr>
        <w:sz w:val="20"/>
      </w:rPr>
      <w:br/>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sidRPr="0052328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193" w:rsidRPr="00D27D5E" w:rsidRDefault="00C50193" w:rsidP="00D27D5E">
      <w:pPr>
        <w:tabs>
          <w:tab w:val="right" w:pos="2155"/>
        </w:tabs>
        <w:spacing w:after="80"/>
        <w:ind w:left="680"/>
        <w:rPr>
          <w:u w:val="single"/>
        </w:rPr>
      </w:pPr>
      <w:r>
        <w:rPr>
          <w:u w:val="single"/>
        </w:rPr>
        <w:tab/>
      </w:r>
    </w:p>
  </w:footnote>
  <w:footnote w:type="continuationSeparator" w:id="0">
    <w:p w:rsidR="00C50193" w:rsidRPr="0061073E" w:rsidRDefault="00C50193" w:rsidP="0061073E">
      <w:pPr>
        <w:tabs>
          <w:tab w:val="right" w:pos="2155"/>
        </w:tabs>
        <w:spacing w:after="80"/>
        <w:ind w:left="680"/>
        <w:rPr>
          <w:u w:val="single"/>
        </w:rPr>
      </w:pPr>
      <w:r w:rsidRPr="0061073E">
        <w:rPr>
          <w:u w:val="single"/>
        </w:rPr>
        <w:tab/>
      </w:r>
    </w:p>
  </w:footnote>
  <w:footnote w:type="continuationNotice" w:id="1">
    <w:p w:rsidR="00C50193" w:rsidRPr="00766910" w:rsidRDefault="00C50193"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193" w:rsidRPr="00523287" w:rsidRDefault="00C50193">
    <w:pPr>
      <w:pStyle w:val="Header"/>
    </w:pPr>
    <w:r>
      <w:t>CRPD/C/10/3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193" w:rsidRPr="00523287" w:rsidRDefault="00C50193" w:rsidP="00523287">
    <w:pPr>
      <w:pStyle w:val="Header"/>
      <w:jc w:val="right"/>
    </w:pPr>
    <w:r>
      <w:t>CRPD/C/10/3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5CF4"/>
    <w:rsid w:val="00016AC5"/>
    <w:rsid w:val="00085148"/>
    <w:rsid w:val="000D341D"/>
    <w:rsid w:val="000E1CF5"/>
    <w:rsid w:val="000F2881"/>
    <w:rsid w:val="000F41F2"/>
    <w:rsid w:val="0011779B"/>
    <w:rsid w:val="00117E39"/>
    <w:rsid w:val="00122C7A"/>
    <w:rsid w:val="00125D6C"/>
    <w:rsid w:val="001317AD"/>
    <w:rsid w:val="00134ABA"/>
    <w:rsid w:val="00144BD9"/>
    <w:rsid w:val="00160540"/>
    <w:rsid w:val="00192EEB"/>
    <w:rsid w:val="001A20FB"/>
    <w:rsid w:val="001D160C"/>
    <w:rsid w:val="001D7F8A"/>
    <w:rsid w:val="001E3FEB"/>
    <w:rsid w:val="001E4A02"/>
    <w:rsid w:val="001F2594"/>
    <w:rsid w:val="00205FFA"/>
    <w:rsid w:val="00206C57"/>
    <w:rsid w:val="0021740C"/>
    <w:rsid w:val="00225A8C"/>
    <w:rsid w:val="002659F1"/>
    <w:rsid w:val="002667E3"/>
    <w:rsid w:val="00274648"/>
    <w:rsid w:val="00287E79"/>
    <w:rsid w:val="002928F9"/>
    <w:rsid w:val="00297B00"/>
    <w:rsid w:val="002A0D24"/>
    <w:rsid w:val="002A5D07"/>
    <w:rsid w:val="002D1580"/>
    <w:rsid w:val="002E0C1D"/>
    <w:rsid w:val="003016B7"/>
    <w:rsid w:val="00302253"/>
    <w:rsid w:val="00304D18"/>
    <w:rsid w:val="003069F4"/>
    <w:rsid w:val="00311ADA"/>
    <w:rsid w:val="00315FFF"/>
    <w:rsid w:val="00343B7D"/>
    <w:rsid w:val="00350F3D"/>
    <w:rsid w:val="003515AA"/>
    <w:rsid w:val="00352E69"/>
    <w:rsid w:val="00374106"/>
    <w:rsid w:val="0037496E"/>
    <w:rsid w:val="00383549"/>
    <w:rsid w:val="00391146"/>
    <w:rsid w:val="003949A2"/>
    <w:rsid w:val="003976D5"/>
    <w:rsid w:val="003A3929"/>
    <w:rsid w:val="003B681D"/>
    <w:rsid w:val="003D4E3D"/>
    <w:rsid w:val="003D6C68"/>
    <w:rsid w:val="003E4D35"/>
    <w:rsid w:val="004079C2"/>
    <w:rsid w:val="004159D0"/>
    <w:rsid w:val="004278B7"/>
    <w:rsid w:val="00436976"/>
    <w:rsid w:val="004407B7"/>
    <w:rsid w:val="00455D94"/>
    <w:rsid w:val="004B21FB"/>
    <w:rsid w:val="004B4ED7"/>
    <w:rsid w:val="004E0679"/>
    <w:rsid w:val="004F146D"/>
    <w:rsid w:val="005135C8"/>
    <w:rsid w:val="00523287"/>
    <w:rsid w:val="00525DBB"/>
    <w:rsid w:val="005319D2"/>
    <w:rsid w:val="005334A5"/>
    <w:rsid w:val="00536DC7"/>
    <w:rsid w:val="00543D5E"/>
    <w:rsid w:val="0054509B"/>
    <w:rsid w:val="005610B3"/>
    <w:rsid w:val="005616B0"/>
    <w:rsid w:val="005617E8"/>
    <w:rsid w:val="00562AB7"/>
    <w:rsid w:val="00571F41"/>
    <w:rsid w:val="005B5CB8"/>
    <w:rsid w:val="005D0661"/>
    <w:rsid w:val="005D49FA"/>
    <w:rsid w:val="005E0932"/>
    <w:rsid w:val="005E5D1F"/>
    <w:rsid w:val="0061073E"/>
    <w:rsid w:val="00611D43"/>
    <w:rsid w:val="00612D48"/>
    <w:rsid w:val="00616B45"/>
    <w:rsid w:val="00630D9B"/>
    <w:rsid w:val="00631953"/>
    <w:rsid w:val="00634ABE"/>
    <w:rsid w:val="006439EC"/>
    <w:rsid w:val="00644BC9"/>
    <w:rsid w:val="00657F02"/>
    <w:rsid w:val="006647E0"/>
    <w:rsid w:val="006712FE"/>
    <w:rsid w:val="00673F2C"/>
    <w:rsid w:val="00676B1A"/>
    <w:rsid w:val="006A76E5"/>
    <w:rsid w:val="006B4590"/>
    <w:rsid w:val="006C340C"/>
    <w:rsid w:val="006C3BBC"/>
    <w:rsid w:val="0070347C"/>
    <w:rsid w:val="00704425"/>
    <w:rsid w:val="007176C1"/>
    <w:rsid w:val="00731950"/>
    <w:rsid w:val="00746A88"/>
    <w:rsid w:val="00752745"/>
    <w:rsid w:val="00766910"/>
    <w:rsid w:val="00787BFE"/>
    <w:rsid w:val="00795791"/>
    <w:rsid w:val="007A4C3F"/>
    <w:rsid w:val="007A4C66"/>
    <w:rsid w:val="007B6E21"/>
    <w:rsid w:val="007F55CB"/>
    <w:rsid w:val="008077F2"/>
    <w:rsid w:val="00807C26"/>
    <w:rsid w:val="00834F78"/>
    <w:rsid w:val="00844750"/>
    <w:rsid w:val="008464C8"/>
    <w:rsid w:val="008723D2"/>
    <w:rsid w:val="00872F9E"/>
    <w:rsid w:val="00884E22"/>
    <w:rsid w:val="008B44C4"/>
    <w:rsid w:val="008D23A3"/>
    <w:rsid w:val="008D4D1E"/>
    <w:rsid w:val="008E1204"/>
    <w:rsid w:val="008E675E"/>
    <w:rsid w:val="008E7FAE"/>
    <w:rsid w:val="00911BF7"/>
    <w:rsid w:val="00911E21"/>
    <w:rsid w:val="0094634F"/>
    <w:rsid w:val="00950CB0"/>
    <w:rsid w:val="00977EC8"/>
    <w:rsid w:val="00996CB4"/>
    <w:rsid w:val="009A5E51"/>
    <w:rsid w:val="009B3646"/>
    <w:rsid w:val="009C7153"/>
    <w:rsid w:val="009D3A8C"/>
    <w:rsid w:val="009E7956"/>
    <w:rsid w:val="009F15B9"/>
    <w:rsid w:val="00A2082C"/>
    <w:rsid w:val="00A2492E"/>
    <w:rsid w:val="00A565CD"/>
    <w:rsid w:val="00A56EA8"/>
    <w:rsid w:val="00A6421D"/>
    <w:rsid w:val="00AC4942"/>
    <w:rsid w:val="00AC67A1"/>
    <w:rsid w:val="00AC7977"/>
    <w:rsid w:val="00AD0CD3"/>
    <w:rsid w:val="00AD19AF"/>
    <w:rsid w:val="00AD6905"/>
    <w:rsid w:val="00AE352C"/>
    <w:rsid w:val="00AE5D6B"/>
    <w:rsid w:val="00AF4E27"/>
    <w:rsid w:val="00B17033"/>
    <w:rsid w:val="00B235E4"/>
    <w:rsid w:val="00B32E2D"/>
    <w:rsid w:val="00B33DB8"/>
    <w:rsid w:val="00B437EE"/>
    <w:rsid w:val="00B43CA9"/>
    <w:rsid w:val="00B501F6"/>
    <w:rsid w:val="00B506A0"/>
    <w:rsid w:val="00B61990"/>
    <w:rsid w:val="00B63A55"/>
    <w:rsid w:val="00B729D4"/>
    <w:rsid w:val="00B77C99"/>
    <w:rsid w:val="00B8595D"/>
    <w:rsid w:val="00B92332"/>
    <w:rsid w:val="00BA31B5"/>
    <w:rsid w:val="00BC4234"/>
    <w:rsid w:val="00BF0556"/>
    <w:rsid w:val="00BF6FA7"/>
    <w:rsid w:val="00C005F9"/>
    <w:rsid w:val="00C1562D"/>
    <w:rsid w:val="00C261F8"/>
    <w:rsid w:val="00C33100"/>
    <w:rsid w:val="00C42566"/>
    <w:rsid w:val="00C50193"/>
    <w:rsid w:val="00C65CF4"/>
    <w:rsid w:val="00C72AD7"/>
    <w:rsid w:val="00C870FF"/>
    <w:rsid w:val="00CA2021"/>
    <w:rsid w:val="00CA2ABA"/>
    <w:rsid w:val="00CA30D5"/>
    <w:rsid w:val="00CA7CAA"/>
    <w:rsid w:val="00CD1A71"/>
    <w:rsid w:val="00CD1FBB"/>
    <w:rsid w:val="00CE5558"/>
    <w:rsid w:val="00CE6718"/>
    <w:rsid w:val="00CF1A8B"/>
    <w:rsid w:val="00CF2265"/>
    <w:rsid w:val="00D016B5"/>
    <w:rsid w:val="00D034F1"/>
    <w:rsid w:val="00D20359"/>
    <w:rsid w:val="00D26911"/>
    <w:rsid w:val="00D27D5E"/>
    <w:rsid w:val="00D3549A"/>
    <w:rsid w:val="00D47BD4"/>
    <w:rsid w:val="00D5216B"/>
    <w:rsid w:val="00D64B35"/>
    <w:rsid w:val="00D657B6"/>
    <w:rsid w:val="00D722D3"/>
    <w:rsid w:val="00D91B9B"/>
    <w:rsid w:val="00D944D9"/>
    <w:rsid w:val="00DA0641"/>
    <w:rsid w:val="00DB21F8"/>
    <w:rsid w:val="00DE6D90"/>
    <w:rsid w:val="00DF002F"/>
    <w:rsid w:val="00E0244D"/>
    <w:rsid w:val="00E12F45"/>
    <w:rsid w:val="00E15C42"/>
    <w:rsid w:val="00E24BCD"/>
    <w:rsid w:val="00E30B8F"/>
    <w:rsid w:val="00E54288"/>
    <w:rsid w:val="00E81E94"/>
    <w:rsid w:val="00E82607"/>
    <w:rsid w:val="00E870A7"/>
    <w:rsid w:val="00E972AF"/>
    <w:rsid w:val="00EA68A0"/>
    <w:rsid w:val="00EE1A0D"/>
    <w:rsid w:val="00EF074F"/>
    <w:rsid w:val="00F028AD"/>
    <w:rsid w:val="00F10073"/>
    <w:rsid w:val="00F10076"/>
    <w:rsid w:val="00F14845"/>
    <w:rsid w:val="00F463AF"/>
    <w:rsid w:val="00F954A2"/>
    <w:rsid w:val="00FA5A79"/>
    <w:rsid w:val="00FB0BFE"/>
    <w:rsid w:val="00FB0F59"/>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2558</Words>
  <Characters>14071</Characters>
  <Application>Microsoft Office Outlook</Application>
  <DocSecurity>4</DocSecurity>
  <Lines>117</Lines>
  <Paragraphs>33</Paragraphs>
  <ScaleCrop>false</ScaleCrop>
  <HeadingPairs>
    <vt:vector size="2" baseType="variant">
      <vt:variant>
        <vt:lpstr>Titre</vt:lpstr>
      </vt:variant>
      <vt:variant>
        <vt:i4>1</vt:i4>
      </vt:variant>
    </vt:vector>
  </HeadingPairs>
  <TitlesOfParts>
    <vt:vector size="1" baseType="lpstr">
      <vt:lpstr>CRPD/C/10/3</vt:lpstr>
    </vt:vector>
  </TitlesOfParts>
  <Company>Corinne</Company>
  <LinksUpToDate>false</LinksUpToDate>
  <CharactersWithSpaces>16596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CRPD/C/10/3</dc:title>
  <dc:subject>FINAL CRPD</dc:subject>
  <dc:creator>N-Rossi</dc:creator>
  <cp:keywords/>
  <dc:description/>
  <cp:lastModifiedBy>N-Rossi</cp:lastModifiedBy>
  <cp:revision>2</cp:revision>
  <cp:lastPrinted>2013-12-04T08:35:00Z</cp:lastPrinted>
  <dcterms:created xsi:type="dcterms:W3CDTF">2013-12-04T08:37:00Z</dcterms:created>
  <dcterms:modified xsi:type="dcterms:W3CDTF">2013-12-04T08:37:00Z</dcterms:modified>
</cp:coreProperties>
</file>